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A0584" w14:textId="77777777" w:rsidR="004453FD" w:rsidRDefault="007B4BAE">
      <w:pPr>
        <w:spacing w:before="60" w:line="360" w:lineRule="auto"/>
        <w:ind w:left="100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ZIMBABWE HARARE, 30 OCTOBER, 2023</w:t>
      </w:r>
    </w:p>
    <w:p w14:paraId="03727365" w14:textId="77777777" w:rsidR="004453FD" w:rsidRDefault="007B4BAE">
      <w:pPr>
        <w:spacing w:before="1"/>
        <w:ind w:left="100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JANUARY </w:t>
      </w:r>
      <w:r>
        <w:rPr>
          <w:b/>
          <w:spacing w:val="-4"/>
          <w:sz w:val="24"/>
        </w:rPr>
        <w:t>2023</w:t>
      </w:r>
    </w:p>
    <w:p w14:paraId="58C1A662" w14:textId="77777777" w:rsidR="004453FD" w:rsidRDefault="004453FD">
      <w:pPr>
        <w:pStyle w:val="BodyText"/>
        <w:rPr>
          <w:b/>
        </w:rPr>
      </w:pPr>
    </w:p>
    <w:p w14:paraId="1818DC63" w14:textId="77777777" w:rsidR="004453FD" w:rsidRDefault="004453FD">
      <w:pPr>
        <w:pStyle w:val="BodyText"/>
        <w:rPr>
          <w:b/>
        </w:rPr>
      </w:pPr>
    </w:p>
    <w:p w14:paraId="0CCB9331" w14:textId="77777777" w:rsidR="004453FD" w:rsidRDefault="007B4BAE">
      <w:pPr>
        <w:pStyle w:val="BodyText"/>
        <w:ind w:left="100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rPr>
          <w:spacing w:val="-2"/>
        </w:rPr>
        <w:t>between</w:t>
      </w:r>
    </w:p>
    <w:p w14:paraId="78DA6E61" w14:textId="77777777" w:rsidR="004453FD" w:rsidRDefault="004453FD">
      <w:pPr>
        <w:pStyle w:val="BodyText"/>
      </w:pPr>
    </w:p>
    <w:p w14:paraId="6EC96630" w14:textId="77777777" w:rsidR="004453FD" w:rsidRDefault="004453FD">
      <w:pPr>
        <w:pStyle w:val="BodyText"/>
      </w:pPr>
    </w:p>
    <w:p w14:paraId="3F622F75" w14:textId="77777777" w:rsidR="004453FD" w:rsidRDefault="007B4BAE">
      <w:pPr>
        <w:ind w:left="100"/>
        <w:rPr>
          <w:b/>
          <w:sz w:val="24"/>
        </w:rPr>
      </w:pPr>
      <w:r>
        <w:rPr>
          <w:b/>
          <w:sz w:val="24"/>
        </w:rPr>
        <w:t>SOUTHLEA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PRIMARY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SCHOOL</w:t>
      </w:r>
    </w:p>
    <w:p w14:paraId="34C36443" w14:textId="77777777" w:rsidR="004453FD" w:rsidRDefault="004453FD">
      <w:pPr>
        <w:pStyle w:val="BodyText"/>
        <w:rPr>
          <w:b/>
        </w:rPr>
      </w:pPr>
    </w:p>
    <w:p w14:paraId="46EA2020" w14:textId="77777777" w:rsidR="004453FD" w:rsidRDefault="007B4BAE">
      <w:pPr>
        <w:pStyle w:val="BodyText"/>
        <w:ind w:left="100"/>
      </w:pPr>
      <w:r>
        <w:rPr>
          <w:spacing w:val="-2"/>
        </w:rPr>
        <w:t>Versus</w:t>
      </w:r>
    </w:p>
    <w:p w14:paraId="1EDF57E6" w14:textId="77777777" w:rsidR="004453FD" w:rsidRDefault="004453FD">
      <w:pPr>
        <w:pStyle w:val="BodyText"/>
        <w:spacing w:before="1"/>
      </w:pPr>
    </w:p>
    <w:p w14:paraId="793BD816" w14:textId="77777777" w:rsidR="004453FD" w:rsidRDefault="007B4BAE">
      <w:pPr>
        <w:ind w:left="100"/>
        <w:rPr>
          <w:b/>
          <w:sz w:val="24"/>
        </w:rPr>
      </w:pPr>
      <w:r>
        <w:rPr>
          <w:b/>
          <w:sz w:val="24"/>
        </w:rPr>
        <w:t>MUCHAZOONA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MUDZORA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OTHERS</w:t>
      </w:r>
    </w:p>
    <w:p w14:paraId="07DDB36A" w14:textId="77777777" w:rsidR="004453FD" w:rsidRDefault="004453FD">
      <w:pPr>
        <w:pStyle w:val="BodyText"/>
        <w:rPr>
          <w:b/>
        </w:rPr>
      </w:pPr>
    </w:p>
    <w:p w14:paraId="5F38A0E1" w14:textId="77777777" w:rsidR="004453FD" w:rsidRDefault="004453FD">
      <w:pPr>
        <w:pStyle w:val="BodyText"/>
        <w:rPr>
          <w:b/>
        </w:rPr>
      </w:pPr>
    </w:p>
    <w:p w14:paraId="1A80BA7F" w14:textId="77777777" w:rsidR="004453FD" w:rsidRDefault="004453FD">
      <w:pPr>
        <w:pStyle w:val="BodyText"/>
        <w:rPr>
          <w:b/>
        </w:rPr>
      </w:pPr>
    </w:p>
    <w:p w14:paraId="577F5D0C" w14:textId="77777777" w:rsidR="004453FD" w:rsidRDefault="004453FD">
      <w:pPr>
        <w:pStyle w:val="BodyText"/>
        <w:spacing w:before="108"/>
        <w:rPr>
          <w:b/>
        </w:rPr>
      </w:pPr>
    </w:p>
    <w:p w14:paraId="4C217711" w14:textId="77777777" w:rsidR="004453FD" w:rsidRDefault="007B4BAE">
      <w:pPr>
        <w:pStyle w:val="Heading1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Honorable</w:t>
      </w:r>
      <w:r>
        <w:rPr>
          <w:spacing w:val="-3"/>
        </w:rPr>
        <w:t xml:space="preserve"> </w:t>
      </w:r>
      <w:r>
        <w:t xml:space="preserve">L. Hove, </w:t>
      </w:r>
      <w:r>
        <w:rPr>
          <w:spacing w:val="-2"/>
        </w:rPr>
        <w:t>Judge:</w:t>
      </w:r>
    </w:p>
    <w:p w14:paraId="3AE19B9F" w14:textId="77777777" w:rsidR="004453FD" w:rsidRDefault="004453FD">
      <w:pPr>
        <w:pStyle w:val="BodyText"/>
        <w:spacing w:before="161"/>
        <w:rPr>
          <w:b/>
        </w:rPr>
      </w:pPr>
    </w:p>
    <w:p w14:paraId="7C1BF16F" w14:textId="77777777" w:rsidR="004453FD" w:rsidRDefault="007B4BAE">
      <w:pPr>
        <w:pStyle w:val="BodyText"/>
        <w:tabs>
          <w:tab w:val="left" w:pos="1858"/>
        </w:tabs>
        <w:spacing w:line="360" w:lineRule="auto"/>
        <w:ind w:left="100" w:right="1129"/>
      </w:pPr>
      <w:r>
        <w:t>For Applicant</w:t>
      </w:r>
      <w:r>
        <w:tab/>
        <w:t>:</w:t>
      </w:r>
      <w:r>
        <w:rPr>
          <w:spacing w:val="36"/>
        </w:rPr>
        <w:t xml:space="preserve"> </w:t>
      </w:r>
      <w:proofErr w:type="spellStart"/>
      <w:r>
        <w:t>Mr.</w:t>
      </w:r>
      <w:proofErr w:type="gramStart"/>
      <w:r>
        <w:t>C.T</w:t>
      </w:r>
      <w:proofErr w:type="spellEnd"/>
      <w:proofErr w:type="gramEnd"/>
      <w:r>
        <w:rPr>
          <w:spacing w:val="-13"/>
        </w:rPr>
        <w:t xml:space="preserve"> </w:t>
      </w:r>
      <w:proofErr w:type="spellStart"/>
      <w:r>
        <w:t>Manyani</w:t>
      </w:r>
      <w:proofErr w:type="spellEnd"/>
      <w:r>
        <w:t xml:space="preserve"> For Respondents</w:t>
      </w:r>
      <w:r>
        <w:rPr>
          <w:spacing w:val="80"/>
        </w:rPr>
        <w:t xml:space="preserve"> </w:t>
      </w:r>
      <w:r>
        <w:t>:</w:t>
      </w:r>
      <w:r>
        <w:rPr>
          <w:spacing w:val="40"/>
        </w:rPr>
        <w:t xml:space="preserve"> </w:t>
      </w:r>
      <w:proofErr w:type="spellStart"/>
      <w:r>
        <w:t>A.Ndota</w:t>
      </w:r>
      <w:proofErr w:type="spellEnd"/>
    </w:p>
    <w:p w14:paraId="570A24E3" w14:textId="77777777" w:rsidR="004453FD" w:rsidRDefault="004453FD">
      <w:pPr>
        <w:pStyle w:val="BodyText"/>
        <w:spacing w:before="136"/>
      </w:pPr>
    </w:p>
    <w:p w14:paraId="3B35F228" w14:textId="77777777" w:rsidR="004453FD" w:rsidRDefault="007B4BAE">
      <w:pPr>
        <w:spacing w:before="1"/>
        <w:ind w:left="100"/>
        <w:rPr>
          <w:b/>
          <w:sz w:val="24"/>
        </w:rPr>
      </w:pPr>
      <w:r>
        <w:rPr>
          <w:b/>
          <w:sz w:val="24"/>
        </w:rPr>
        <w:t xml:space="preserve">HOVE </w:t>
      </w:r>
      <w:r>
        <w:rPr>
          <w:b/>
          <w:spacing w:val="-5"/>
          <w:sz w:val="24"/>
        </w:rPr>
        <w:t>J:</w:t>
      </w:r>
    </w:p>
    <w:p w14:paraId="1F97AC45" w14:textId="77777777" w:rsidR="004453FD" w:rsidRDefault="007B4BAE">
      <w:pPr>
        <w:spacing w:before="60"/>
        <w:ind w:left="100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JUDGMENT NO. </w:t>
      </w:r>
      <w:r>
        <w:rPr>
          <w:b/>
          <w:spacing w:val="-2"/>
          <w:sz w:val="24"/>
        </w:rPr>
        <w:t>LC/H/15/24</w:t>
      </w:r>
    </w:p>
    <w:p w14:paraId="18B88E56" w14:textId="77777777" w:rsidR="004453FD" w:rsidRDefault="007B4BAE">
      <w:pPr>
        <w:spacing w:before="138"/>
        <w:ind w:left="1120"/>
        <w:rPr>
          <w:b/>
          <w:sz w:val="24"/>
        </w:rPr>
      </w:pPr>
      <w:r>
        <w:rPr>
          <w:b/>
          <w:sz w:val="24"/>
        </w:rPr>
        <w:t xml:space="preserve">CASE NO. </w:t>
      </w:r>
      <w:r>
        <w:rPr>
          <w:b/>
          <w:spacing w:val="-2"/>
          <w:sz w:val="24"/>
        </w:rPr>
        <w:t>LC/H/156/23</w:t>
      </w:r>
    </w:p>
    <w:p w14:paraId="7B3946B7" w14:textId="77777777" w:rsidR="004453FD" w:rsidRDefault="004453FD">
      <w:pPr>
        <w:pStyle w:val="BodyText"/>
        <w:rPr>
          <w:b/>
        </w:rPr>
      </w:pPr>
    </w:p>
    <w:p w14:paraId="5F5AD3A3" w14:textId="77777777" w:rsidR="004453FD" w:rsidRDefault="004453FD">
      <w:pPr>
        <w:pStyle w:val="BodyText"/>
        <w:rPr>
          <w:b/>
        </w:rPr>
      </w:pPr>
    </w:p>
    <w:p w14:paraId="3A76097A" w14:textId="77777777" w:rsidR="004453FD" w:rsidRDefault="004453FD">
      <w:pPr>
        <w:pStyle w:val="BodyText"/>
        <w:rPr>
          <w:b/>
        </w:rPr>
      </w:pPr>
    </w:p>
    <w:p w14:paraId="5D56716C" w14:textId="77777777" w:rsidR="004453FD" w:rsidRDefault="004453FD">
      <w:pPr>
        <w:pStyle w:val="BodyText"/>
        <w:rPr>
          <w:b/>
        </w:rPr>
      </w:pPr>
    </w:p>
    <w:p w14:paraId="584A2FD9" w14:textId="77777777" w:rsidR="004453FD" w:rsidRDefault="004453FD">
      <w:pPr>
        <w:pStyle w:val="BodyText"/>
        <w:rPr>
          <w:b/>
        </w:rPr>
      </w:pPr>
    </w:p>
    <w:p w14:paraId="311A7C16" w14:textId="77777777" w:rsidR="004453FD" w:rsidRDefault="004453FD">
      <w:pPr>
        <w:pStyle w:val="BodyText"/>
        <w:spacing w:before="139"/>
        <w:rPr>
          <w:b/>
        </w:rPr>
      </w:pPr>
    </w:p>
    <w:p w14:paraId="6017332E" w14:textId="77777777" w:rsidR="004453FD" w:rsidRDefault="007B4BAE">
      <w:pPr>
        <w:pStyle w:val="Heading1"/>
        <w:ind w:left="2200"/>
      </w:pPr>
      <w:r>
        <w:rPr>
          <w:spacing w:val="-2"/>
        </w:rPr>
        <w:t>Applicant</w:t>
      </w:r>
    </w:p>
    <w:p w14:paraId="751347B8" w14:textId="77777777" w:rsidR="004453FD" w:rsidRDefault="004453FD">
      <w:pPr>
        <w:pStyle w:val="BodyText"/>
        <w:rPr>
          <w:b/>
        </w:rPr>
      </w:pPr>
    </w:p>
    <w:p w14:paraId="7FB36024" w14:textId="77777777" w:rsidR="004453FD" w:rsidRDefault="004453FD">
      <w:pPr>
        <w:pStyle w:val="BodyText"/>
        <w:rPr>
          <w:b/>
        </w:rPr>
      </w:pPr>
    </w:p>
    <w:p w14:paraId="1F7C407D" w14:textId="77777777" w:rsidR="004453FD" w:rsidRDefault="004453FD">
      <w:pPr>
        <w:pStyle w:val="BodyText"/>
        <w:spacing w:before="1"/>
        <w:rPr>
          <w:b/>
        </w:rPr>
      </w:pPr>
    </w:p>
    <w:p w14:paraId="7CC2B52D" w14:textId="77777777" w:rsidR="004453FD" w:rsidRDefault="007B4BAE">
      <w:pPr>
        <w:ind w:left="2219"/>
        <w:rPr>
          <w:b/>
          <w:sz w:val="24"/>
        </w:rPr>
      </w:pPr>
      <w:r>
        <w:rPr>
          <w:b/>
          <w:spacing w:val="-2"/>
          <w:sz w:val="24"/>
        </w:rPr>
        <w:t>Respondent</w:t>
      </w:r>
    </w:p>
    <w:p w14:paraId="54AD8146" w14:textId="77777777" w:rsidR="004453FD" w:rsidRDefault="004453FD">
      <w:pPr>
        <w:rPr>
          <w:sz w:val="24"/>
        </w:rPr>
        <w:sectPr w:rsidR="004453FD">
          <w:type w:val="continuous"/>
          <w:pgSz w:w="11910" w:h="16840"/>
          <w:pgMar w:top="1360" w:right="1360" w:bottom="280" w:left="1340" w:header="720" w:footer="720" w:gutter="0"/>
          <w:cols w:num="2" w:space="720" w:equalWidth="0">
            <w:col w:w="4811" w:space="230"/>
            <w:col w:w="4169"/>
          </w:cols>
        </w:sectPr>
      </w:pPr>
    </w:p>
    <w:p w14:paraId="1F453312" w14:textId="380EA5EC" w:rsidR="004453FD" w:rsidRDefault="004453FD">
      <w:pPr>
        <w:pStyle w:val="BodyText"/>
        <w:rPr>
          <w:b/>
        </w:rPr>
      </w:pPr>
    </w:p>
    <w:p w14:paraId="3CC50ECF" w14:textId="77777777" w:rsidR="004453FD" w:rsidRDefault="004453FD">
      <w:pPr>
        <w:pStyle w:val="BodyText"/>
        <w:rPr>
          <w:b/>
        </w:rPr>
      </w:pPr>
    </w:p>
    <w:p w14:paraId="6ED5E9CC" w14:textId="77777777" w:rsidR="004453FD" w:rsidRDefault="004453FD">
      <w:pPr>
        <w:pStyle w:val="BodyText"/>
        <w:spacing w:before="226"/>
        <w:rPr>
          <w:b/>
        </w:rPr>
      </w:pPr>
    </w:p>
    <w:p w14:paraId="1F7725B5" w14:textId="77777777" w:rsidR="004453FD" w:rsidRDefault="007B4BAE">
      <w:pPr>
        <w:pStyle w:val="BodyText"/>
        <w:spacing w:line="259" w:lineRule="auto"/>
        <w:ind w:left="100" w:right="142"/>
      </w:pPr>
      <w:r>
        <w:t>The</w:t>
      </w:r>
      <w:r>
        <w:rPr>
          <w:spacing w:val="-4"/>
        </w:rPr>
        <w:t xml:space="preserve"> </w:t>
      </w:r>
      <w:r>
        <w:t>appellant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casu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appealing</w:t>
      </w:r>
      <w:r>
        <w:rPr>
          <w:spacing w:val="-3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63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proofErr w:type="spellStart"/>
      <w:r>
        <w:t>Labour</w:t>
      </w:r>
      <w:proofErr w:type="spellEnd"/>
      <w:r>
        <w:t xml:space="preserve"> Act [Chapter 28:01] (the Act).</w:t>
      </w:r>
    </w:p>
    <w:p w14:paraId="38EE4820" w14:textId="77777777" w:rsidR="004453FD" w:rsidRDefault="007B4BAE">
      <w:pPr>
        <w:pStyle w:val="BodyText"/>
        <w:spacing w:before="160" w:line="398" w:lineRule="auto"/>
        <w:ind w:left="100" w:right="3495"/>
      </w:pPr>
      <w:r>
        <w:t>The</w:t>
      </w:r>
      <w:r>
        <w:rPr>
          <w:spacing w:val="-6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agent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default. </w:t>
      </w:r>
      <w:r>
        <w:rPr>
          <w:u w:val="single"/>
        </w:rPr>
        <w:t>The Background</w:t>
      </w:r>
    </w:p>
    <w:p w14:paraId="2851D662" w14:textId="77777777" w:rsidR="004453FD" w:rsidRDefault="007B4BAE">
      <w:pPr>
        <w:pStyle w:val="BodyText"/>
        <w:spacing w:line="259" w:lineRule="auto"/>
        <w:ind w:left="100" w:right="142"/>
      </w:pPr>
      <w:r>
        <w:t>The matter was referred to the designated agent to deal with claims raised by the appellant’s employees.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employed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capacities.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alleged</w:t>
      </w:r>
      <w:r>
        <w:rPr>
          <w:spacing w:val="-4"/>
        </w:rPr>
        <w:t xml:space="preserve"> </w:t>
      </w:r>
      <w:r>
        <w:t>that they had their contracts of employment unfairly terminated by the appellant, further, the employees alleged that they were being underpaid.</w:t>
      </w:r>
    </w:p>
    <w:p w14:paraId="669A3083" w14:textId="77777777" w:rsidR="004453FD" w:rsidRDefault="007B4BAE">
      <w:pPr>
        <w:pStyle w:val="BodyText"/>
        <w:spacing w:before="160" w:line="259" w:lineRule="auto"/>
        <w:ind w:left="100" w:right="454"/>
        <w:jc w:val="both"/>
      </w:pPr>
      <w:r>
        <w:t>The</w:t>
      </w:r>
      <w:r>
        <w:rPr>
          <w:spacing w:val="-4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agent</w:t>
      </w:r>
      <w:r>
        <w:rPr>
          <w:spacing w:val="-2"/>
        </w:rPr>
        <w:t xml:space="preserve"> </w:t>
      </w:r>
      <w:r>
        <w:t>wrote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appellant</w:t>
      </w:r>
      <w:r>
        <w:rPr>
          <w:spacing w:val="-2"/>
        </w:rPr>
        <w:t xml:space="preserve"> </w:t>
      </w:r>
      <w:r>
        <w:t>notifying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14 November 2021 and parties were directed to prepare detailed written heads of arguments. This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appellant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attend,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designated wrote to the parties again in the following manner.</w:t>
      </w:r>
    </w:p>
    <w:p w14:paraId="4443F34C" w14:textId="77777777" w:rsidR="004453FD" w:rsidRDefault="007B4BAE">
      <w:pPr>
        <w:pStyle w:val="BodyText"/>
        <w:spacing w:before="159" w:line="259" w:lineRule="auto"/>
        <w:ind w:left="820" w:right="142"/>
      </w:pPr>
      <w:r>
        <w:t>“</w:t>
      </w:r>
      <w:proofErr w:type="gramStart"/>
      <w:r>
        <w:t>the</w:t>
      </w:r>
      <w:proofErr w:type="gramEnd"/>
      <w:r>
        <w:rPr>
          <w:spacing w:val="-3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refers;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t>notified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 the attached claims by</w:t>
      </w:r>
      <w:r>
        <w:rPr>
          <w:spacing w:val="-1"/>
        </w:rPr>
        <w:t xml:space="preserve"> </w:t>
      </w:r>
      <w:r>
        <w:t>the claimants within (10) ten working days from the date of receiving this letter</w:t>
      </w:r>
    </w:p>
    <w:p w14:paraId="7DD97F0D" w14:textId="77777777" w:rsidR="004453FD" w:rsidRDefault="004453FD">
      <w:pPr>
        <w:spacing w:line="259" w:lineRule="auto"/>
        <w:sectPr w:rsidR="004453FD">
          <w:type w:val="continuous"/>
          <w:pgSz w:w="11910" w:h="16840"/>
          <w:pgMar w:top="1360" w:right="1360" w:bottom="280" w:left="1340" w:header="720" w:footer="720" w:gutter="0"/>
          <w:cols w:space="720"/>
        </w:sectPr>
      </w:pPr>
    </w:p>
    <w:p w14:paraId="1BEC0AC3" w14:textId="77777777" w:rsidR="004453FD" w:rsidRDefault="007B4BAE">
      <w:pPr>
        <w:pStyle w:val="BodyText"/>
        <w:spacing w:before="60" w:line="259" w:lineRule="auto"/>
        <w:ind w:left="820" w:right="45"/>
      </w:pPr>
      <w:r>
        <w:lastRenderedPageBreak/>
        <w:t>The tribunal will be dealing with the matter in terms of section 63 as read with statutory Instrument 77 of 2021 and a determination will be issued based on your submissions. The oral hearing will be set down if there are issues to be ironed out in the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submissions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notified</w:t>
      </w:r>
      <w:r>
        <w:rPr>
          <w:spacing w:val="-4"/>
        </w:rPr>
        <w:t xml:space="preserve"> </w:t>
      </w:r>
      <w:r>
        <w:t>accordingly.</w:t>
      </w:r>
      <w:r>
        <w:rPr>
          <w:spacing w:val="-2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 xml:space="preserve">the response will be assumed as a waiver to your rights to be heard in terms of the </w:t>
      </w:r>
      <w:proofErr w:type="spellStart"/>
      <w:r>
        <w:t>audi</w:t>
      </w:r>
      <w:proofErr w:type="spellEnd"/>
      <w:r>
        <w:t xml:space="preserve"> alteram pattern rule.</w:t>
      </w:r>
    </w:p>
    <w:p w14:paraId="4965AA30" w14:textId="77777777" w:rsidR="004453FD" w:rsidRDefault="007B4BAE">
      <w:pPr>
        <w:pStyle w:val="BodyText"/>
        <w:spacing w:before="159"/>
        <w:ind w:left="820"/>
      </w:pPr>
      <w:r>
        <w:t>Your</w:t>
      </w:r>
      <w:r>
        <w:rPr>
          <w:spacing w:val="-3"/>
        </w:rPr>
        <w:t xml:space="preserve"> </w:t>
      </w:r>
      <w:r>
        <w:t>cooperation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appreciated”</w:t>
      </w:r>
    </w:p>
    <w:p w14:paraId="5C3EDAFD" w14:textId="77777777" w:rsidR="004453FD" w:rsidRDefault="007B4BAE">
      <w:pPr>
        <w:pStyle w:val="BodyText"/>
        <w:spacing w:before="182" w:line="259" w:lineRule="auto"/>
        <w:ind w:left="100" w:right="373"/>
        <w:jc w:val="both"/>
      </w:pPr>
      <w:r>
        <w:t>The</w:t>
      </w:r>
      <w:r>
        <w:rPr>
          <w:spacing w:val="-1"/>
        </w:rPr>
        <w:t xml:space="preserve"> </w:t>
      </w:r>
      <w:r>
        <w:t>appellant did respond requesting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more time to consult. It requested for</w:t>
      </w:r>
      <w:r>
        <w:rPr>
          <w:spacing w:val="-1"/>
        </w:rPr>
        <w:t xml:space="preserve"> </w:t>
      </w:r>
      <w:r>
        <w:t>10 working days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Thereafter</w:t>
      </w:r>
      <w:r>
        <w:rPr>
          <w:spacing w:val="-3"/>
        </w:rPr>
        <w:t xml:space="preserve"> </w:t>
      </w:r>
      <w:r>
        <w:t>nothing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heard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appellant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about 30 January when the designated agent prepared and delivered its determination.</w:t>
      </w:r>
    </w:p>
    <w:p w14:paraId="7263F6CC" w14:textId="77777777" w:rsidR="004453FD" w:rsidRDefault="007B4BAE">
      <w:pPr>
        <w:pStyle w:val="BodyText"/>
        <w:spacing w:before="160" w:line="259" w:lineRule="auto"/>
        <w:ind w:left="100"/>
      </w:pPr>
      <w:r>
        <w:t>The designated agent viewed the failure to file a response by the appellant as a waiver of its 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heard.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agent</w:t>
      </w:r>
      <w:r>
        <w:rPr>
          <w:spacing w:val="-3"/>
        </w:rPr>
        <w:t xml:space="preserve"> </w:t>
      </w:r>
      <w:r>
        <w:t>proceeded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determination.</w:t>
      </w:r>
      <w:r>
        <w:rPr>
          <w:spacing w:val="-3"/>
        </w:rPr>
        <w:t xml:space="preserve"> </w:t>
      </w:r>
      <w:r>
        <w:t>The designated agent clearly stated that it was issuing a default determination.</w:t>
      </w:r>
    </w:p>
    <w:p w14:paraId="7FFFD69C" w14:textId="77777777" w:rsidR="004453FD" w:rsidRDefault="007B4BAE">
      <w:pPr>
        <w:pStyle w:val="BodyText"/>
        <w:spacing w:before="160" w:line="398" w:lineRule="auto"/>
        <w:ind w:left="100" w:right="1734"/>
      </w:pPr>
      <w:r>
        <w:t>The</w:t>
      </w:r>
      <w:r>
        <w:rPr>
          <w:spacing w:val="-5"/>
        </w:rPr>
        <w:t xml:space="preserve"> </w:t>
      </w:r>
      <w:r>
        <w:t>appellant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aggrieved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proceeded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court. The grounds of appeal are three (3) and these are they:</w:t>
      </w:r>
    </w:p>
    <w:p w14:paraId="14D90B19" w14:textId="77777777" w:rsidR="004453FD" w:rsidRDefault="007B4BAE">
      <w:pPr>
        <w:pStyle w:val="ListParagraph"/>
        <w:numPr>
          <w:ilvl w:val="0"/>
          <w:numId w:val="1"/>
        </w:numPr>
        <w:tabs>
          <w:tab w:val="left" w:pos="820"/>
        </w:tabs>
        <w:spacing w:line="261" w:lineRule="auto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agent grossly</w:t>
      </w:r>
      <w:r>
        <w:rPr>
          <w:spacing w:val="-7"/>
          <w:sz w:val="24"/>
        </w:rPr>
        <w:t xml:space="preserve"> </w:t>
      </w:r>
      <w:r>
        <w:rPr>
          <w:sz w:val="24"/>
        </w:rPr>
        <w:t>erred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law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ordering</w:t>
      </w:r>
      <w:r>
        <w:rPr>
          <w:spacing w:val="-4"/>
          <w:sz w:val="24"/>
        </w:rPr>
        <w:t xml:space="preserve"> </w:t>
      </w:r>
      <w:r>
        <w:rPr>
          <w:sz w:val="24"/>
        </w:rPr>
        <w:t>appellant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-7"/>
          <w:sz w:val="24"/>
        </w:rPr>
        <w:t xml:space="preserve"> </w:t>
      </w:r>
      <w:r>
        <w:rPr>
          <w:sz w:val="24"/>
        </w:rPr>
        <w:t>the respondents in circumstances where under payment of wages was not proven.</w:t>
      </w:r>
    </w:p>
    <w:p w14:paraId="658B6B43" w14:textId="77777777" w:rsidR="004453FD" w:rsidRDefault="007B4BAE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105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designate</w:t>
      </w:r>
      <w:r>
        <w:rPr>
          <w:spacing w:val="-1"/>
          <w:sz w:val="24"/>
        </w:rPr>
        <w:t xml:space="preserve"> </w:t>
      </w:r>
      <w:r>
        <w:rPr>
          <w:sz w:val="24"/>
        </w:rPr>
        <w:t>agent grossly</w:t>
      </w:r>
      <w:r>
        <w:rPr>
          <w:spacing w:val="-7"/>
          <w:sz w:val="24"/>
        </w:rPr>
        <w:t xml:space="preserve"> </w:t>
      </w:r>
      <w:r>
        <w:rPr>
          <w:sz w:val="24"/>
        </w:rPr>
        <w:t>erred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ordering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appellant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-7"/>
          <w:sz w:val="24"/>
        </w:rPr>
        <w:t xml:space="preserve"> </w:t>
      </w:r>
      <w:r>
        <w:rPr>
          <w:sz w:val="24"/>
        </w:rPr>
        <w:t>the respondents amounts that had prescribed at law.</w:t>
      </w:r>
    </w:p>
    <w:p w14:paraId="309ED77C" w14:textId="77777777" w:rsidR="004453FD" w:rsidRDefault="007B4BAE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78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designated agent grossly</w:t>
      </w:r>
      <w:r>
        <w:rPr>
          <w:spacing w:val="-6"/>
          <w:sz w:val="24"/>
        </w:rPr>
        <w:t xml:space="preserve"> </w:t>
      </w:r>
      <w:r>
        <w:rPr>
          <w:sz w:val="24"/>
        </w:rPr>
        <w:t>erred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ordering</w:t>
      </w:r>
      <w:r>
        <w:rPr>
          <w:spacing w:val="-3"/>
          <w:sz w:val="24"/>
        </w:rPr>
        <w:t xml:space="preserve"> </w:t>
      </w:r>
      <w:r>
        <w:rPr>
          <w:sz w:val="24"/>
        </w:rPr>
        <w:t>appellant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respondents the purported under payments of wages in USD currency in contravention of the fiscal laws.</w:t>
      </w:r>
    </w:p>
    <w:p w14:paraId="58BD8A56" w14:textId="77777777" w:rsidR="004453FD" w:rsidRDefault="007B4BAE">
      <w:pPr>
        <w:pStyle w:val="BodyText"/>
        <w:spacing w:before="153" w:line="259" w:lineRule="auto"/>
        <w:ind w:left="100" w:right="142"/>
      </w:pPr>
      <w:r>
        <w:t>All the issues raised in the grounds of appeal had not been raised by the appellant. The appellant</w:t>
      </w:r>
      <w:r>
        <w:rPr>
          <w:spacing w:val="-3"/>
        </w:rPr>
        <w:t xml:space="preserve"> </w:t>
      </w:r>
      <w:r>
        <w:t>defaulted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default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it.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appellant</w:t>
      </w:r>
      <w:r>
        <w:rPr>
          <w:spacing w:val="-3"/>
        </w:rPr>
        <w:t xml:space="preserve"> </w:t>
      </w:r>
      <w:r>
        <w:t>ought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 sought that the default order be rescinded first before seeking to appeal against a default order. This is not lawful.</w:t>
      </w:r>
    </w:p>
    <w:p w14:paraId="7A70DA5C" w14:textId="77777777" w:rsidR="004453FD" w:rsidRDefault="007B4BAE">
      <w:pPr>
        <w:spacing w:before="159"/>
        <w:ind w:left="10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Zvinavashe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 Ndlovu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2006 (2)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ZLR 372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court held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follows;</w:t>
      </w:r>
    </w:p>
    <w:p w14:paraId="5675E272" w14:textId="77777777" w:rsidR="004453FD" w:rsidRDefault="007B4BAE">
      <w:pPr>
        <w:spacing w:before="182" w:line="259" w:lineRule="auto"/>
        <w:ind w:left="100" w:right="142" w:firstLine="1079"/>
        <w:rPr>
          <w:i/>
          <w:sz w:val="24"/>
        </w:rPr>
      </w:pPr>
      <w:r>
        <w:rPr>
          <w:i/>
          <w:sz w:val="24"/>
        </w:rPr>
        <w:t>‘Counsel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respondent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argued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correctly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default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judgment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set aside 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successful application for rescission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judgment under the rules of Court’ this is the only way to purge the default, the court added, otherwise the default remains unpurged. In </w:t>
      </w:r>
      <w:r>
        <w:rPr>
          <w:b/>
          <w:i/>
          <w:sz w:val="24"/>
        </w:rPr>
        <w:t xml:space="preserve">OK Zimbabwean limited v. Tazvivinga SC 134/21 </w:t>
      </w:r>
      <w:r>
        <w:rPr>
          <w:i/>
          <w:sz w:val="24"/>
        </w:rPr>
        <w:t>the court held that;</w:t>
      </w:r>
    </w:p>
    <w:p w14:paraId="037D2654" w14:textId="77777777" w:rsidR="004453FD" w:rsidRDefault="007B4BAE">
      <w:pPr>
        <w:spacing w:before="160" w:line="396" w:lineRule="auto"/>
        <w:ind w:left="2080" w:hanging="600"/>
        <w:rPr>
          <w:i/>
          <w:sz w:val="24"/>
        </w:rPr>
      </w:pPr>
      <w:r>
        <w:rPr>
          <w:i/>
          <w:sz w:val="24"/>
        </w:rPr>
        <w:t>‘</w:t>
      </w:r>
      <w:proofErr w:type="gramStart"/>
      <w:r>
        <w:rPr>
          <w:i/>
          <w:sz w:val="24"/>
        </w:rPr>
        <w:t>according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law,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cannot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appeal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seek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against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default Judgment. ‘</w:t>
      </w:r>
    </w:p>
    <w:p w14:paraId="7334221B" w14:textId="77777777" w:rsidR="004453FD" w:rsidRDefault="004453FD">
      <w:pPr>
        <w:pStyle w:val="BodyText"/>
        <w:spacing w:before="186"/>
        <w:rPr>
          <w:i/>
        </w:rPr>
      </w:pPr>
    </w:p>
    <w:p w14:paraId="320D4B7D" w14:textId="77777777" w:rsidR="004453FD" w:rsidRDefault="007B4BAE">
      <w:pPr>
        <w:pStyle w:val="BodyText"/>
        <w:spacing w:line="259" w:lineRule="auto"/>
        <w:ind w:left="100"/>
      </w:pPr>
      <w:r>
        <w:t>The Supreme Court has stated that the proper procedure is to seek a default judgement’s rescission before one can raise all the issues it has with the dispute. Before seeking its rescission,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relate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default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judgement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way.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cannot appeal against a default order neither can one seek a review against it.</w:t>
      </w:r>
    </w:p>
    <w:p w14:paraId="4315C09E" w14:textId="77777777" w:rsidR="004453FD" w:rsidRDefault="004453FD">
      <w:pPr>
        <w:spacing w:line="259" w:lineRule="auto"/>
        <w:sectPr w:rsidR="004453FD">
          <w:pgSz w:w="11910" w:h="16840"/>
          <w:pgMar w:top="1360" w:right="1360" w:bottom="280" w:left="1340" w:header="720" w:footer="720" w:gutter="0"/>
          <w:cols w:space="720"/>
        </w:sectPr>
      </w:pPr>
    </w:p>
    <w:p w14:paraId="348B4ECE" w14:textId="25001492" w:rsidR="004453FD" w:rsidRDefault="004453FD">
      <w:pPr>
        <w:pStyle w:val="BodyText"/>
        <w:spacing w:before="244"/>
      </w:pPr>
    </w:p>
    <w:p w14:paraId="5F5B13C5" w14:textId="77777777" w:rsidR="004453FD" w:rsidRDefault="007B4BAE">
      <w:pPr>
        <w:ind w:left="100"/>
        <w:rPr>
          <w:b/>
          <w:sz w:val="24"/>
        </w:rPr>
      </w:pPr>
      <w:r>
        <w:rPr>
          <w:b/>
          <w:spacing w:val="-2"/>
          <w:sz w:val="24"/>
          <w:u w:val="single"/>
        </w:rPr>
        <w:t>Order:</w:t>
      </w:r>
    </w:p>
    <w:p w14:paraId="44124BBA" w14:textId="77777777" w:rsidR="004453FD" w:rsidRDefault="007B4BAE">
      <w:pPr>
        <w:pStyle w:val="BodyText"/>
        <w:spacing w:before="183"/>
        <w:ind w:left="100"/>
      </w:pPr>
      <w:r>
        <w:t>The</w:t>
      </w:r>
      <w:r>
        <w:rPr>
          <w:spacing w:val="-4"/>
        </w:rPr>
        <w:t xml:space="preserve"> </w:t>
      </w:r>
      <w:r>
        <w:t>appeal be and is hereby</w:t>
      </w:r>
      <w:r>
        <w:rPr>
          <w:spacing w:val="-5"/>
        </w:rPr>
        <w:t xml:space="preserve"> </w:t>
      </w:r>
      <w:r>
        <w:t>struck off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roll</w:t>
      </w:r>
      <w:r>
        <w:rPr>
          <w:spacing w:val="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spacing w:val="-2"/>
        </w:rPr>
        <w:t>costs.</w:t>
      </w:r>
    </w:p>
    <w:sectPr w:rsidR="004453FD">
      <w:pgSz w:w="11910" w:h="16840"/>
      <w:pgMar w:top="9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95B3D"/>
    <w:multiLevelType w:val="hybridMultilevel"/>
    <w:tmpl w:val="E6F02C7A"/>
    <w:lvl w:ilvl="0" w:tplc="C8EA758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1438F0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BA2A91D2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9386EE4C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4" w:tplc="6DB2BA32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 w:tplc="B8309592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 w:tplc="9ED83F00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 w:tplc="66E4B1AA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 w:tplc="49AA8F9E">
      <w:numFmt w:val="bullet"/>
      <w:lvlText w:val="•"/>
      <w:lvlJc w:val="left"/>
      <w:pPr>
        <w:ind w:left="7529" w:hanging="360"/>
      </w:pPr>
      <w:rPr>
        <w:rFonts w:hint="default"/>
        <w:lang w:val="en-US" w:eastAsia="en-US" w:bidi="ar-SA"/>
      </w:rPr>
    </w:lvl>
  </w:abstractNum>
  <w:num w:numId="1" w16cid:durableId="15631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FD"/>
    <w:rsid w:val="004453FD"/>
    <w:rsid w:val="007B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F51AE"/>
  <w15:docId w15:val="{8859E4A6-E691-417E-9EF3-2136BB82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right="11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cp:lastModifiedBy>Ophiliah Tokowoyo</cp:lastModifiedBy>
  <cp:revision>2</cp:revision>
  <dcterms:created xsi:type="dcterms:W3CDTF">2024-02-12T09:47:00Z</dcterms:created>
  <dcterms:modified xsi:type="dcterms:W3CDTF">2024-02-12T09:47:00Z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2024-02-12T00:00:00Z</vt:filetime>
  </property>
  <property fmtid="{D5CDD505-2E9C-101B-9397-08002B2CF9AE}" pid="5" name="Producer">
    <vt:lpwstr>䵩捲潳潦璮⁗潲搠㈰ㄹ㬠浯摩晩敤⁵獩湧⁩呥硴′⸱⸷⁢礠ㅔ㍘吀</vt:lpwstr>
  </property>
</Properties>
</file>