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F1" w:rsidRDefault="00685EF1" w:rsidP="00685EF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6E20D2">
        <w:rPr>
          <w:b/>
          <w:sz w:val="22"/>
          <w:szCs w:val="22"/>
        </w:rPr>
        <w:t>213</w:t>
      </w:r>
      <w:bookmarkStart w:id="0" w:name="_GoBack"/>
      <w:bookmarkEnd w:id="0"/>
      <w:r>
        <w:rPr>
          <w:b/>
          <w:sz w:val="22"/>
          <w:szCs w:val="22"/>
        </w:rPr>
        <w:t>/2016</w:t>
      </w:r>
    </w:p>
    <w:p w:rsidR="00685EF1" w:rsidRDefault="00685EF1" w:rsidP="00685EF1">
      <w:pPr>
        <w:spacing w:line="360" w:lineRule="auto"/>
        <w:jc w:val="both"/>
        <w:rPr>
          <w:b/>
          <w:sz w:val="22"/>
          <w:szCs w:val="22"/>
        </w:rPr>
      </w:pPr>
    </w:p>
    <w:p w:rsidR="00685EF1" w:rsidRDefault="00685EF1" w:rsidP="00685EF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23 MARCH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LC/H/994/15</w:t>
      </w:r>
    </w:p>
    <w:p w:rsidR="00685EF1" w:rsidRDefault="00685EF1" w:rsidP="00685EF1">
      <w:pPr>
        <w:spacing w:line="360" w:lineRule="auto"/>
        <w:jc w:val="both"/>
        <w:rPr>
          <w:b/>
          <w:sz w:val="22"/>
          <w:szCs w:val="22"/>
        </w:rPr>
      </w:pPr>
    </w:p>
    <w:p w:rsidR="00685EF1" w:rsidRDefault="00685EF1" w:rsidP="00685EF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3501E9">
        <w:rPr>
          <w:b/>
          <w:sz w:val="22"/>
          <w:szCs w:val="22"/>
        </w:rPr>
        <w:t>8 APRIL</w:t>
      </w:r>
      <w:r>
        <w:rPr>
          <w:b/>
          <w:sz w:val="22"/>
          <w:szCs w:val="22"/>
        </w:rPr>
        <w:t xml:space="preserve"> 2016</w:t>
      </w:r>
    </w:p>
    <w:p w:rsidR="00685EF1" w:rsidRDefault="00685EF1" w:rsidP="00685EF1">
      <w:pPr>
        <w:jc w:val="both"/>
        <w:rPr>
          <w:b/>
          <w:sz w:val="22"/>
          <w:szCs w:val="22"/>
        </w:rPr>
      </w:pPr>
    </w:p>
    <w:p w:rsidR="00685EF1" w:rsidRDefault="00685EF1" w:rsidP="00685EF1">
      <w:pPr>
        <w:spacing w:line="360" w:lineRule="auto"/>
        <w:jc w:val="both"/>
      </w:pPr>
    </w:p>
    <w:p w:rsidR="00685EF1" w:rsidRDefault="00685EF1" w:rsidP="00685EF1">
      <w:pPr>
        <w:spacing w:line="360" w:lineRule="auto"/>
        <w:jc w:val="both"/>
        <w:rPr>
          <w:b/>
        </w:rPr>
      </w:pPr>
      <w:r>
        <w:rPr>
          <w:b/>
        </w:rPr>
        <w:t>SOUTHERN AFRICAN AIDS TRUST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</w:p>
    <w:p w:rsidR="00685EF1" w:rsidRDefault="00685EF1" w:rsidP="00685EF1">
      <w:pPr>
        <w:spacing w:line="360" w:lineRule="auto"/>
        <w:jc w:val="both"/>
        <w:rPr>
          <w:b/>
        </w:rPr>
      </w:pPr>
    </w:p>
    <w:p w:rsidR="00685EF1" w:rsidRDefault="00685EF1" w:rsidP="00685EF1">
      <w:pPr>
        <w:jc w:val="both"/>
        <w:rPr>
          <w:b/>
        </w:rPr>
      </w:pPr>
      <w:r>
        <w:rPr>
          <w:b/>
        </w:rPr>
        <w:t>MAXMILL</w:t>
      </w:r>
      <w:r w:rsidR="003027C3">
        <w:rPr>
          <w:b/>
        </w:rPr>
        <w:t>AN MUGABE</w:t>
      </w:r>
      <w:r w:rsidR="003027C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Respondent </w:t>
      </w:r>
      <w:r>
        <w:rPr>
          <w:b/>
        </w:rPr>
        <w:tab/>
      </w:r>
    </w:p>
    <w:p w:rsidR="00685EF1" w:rsidRDefault="00685EF1" w:rsidP="00685EF1">
      <w:pPr>
        <w:spacing w:line="360" w:lineRule="auto"/>
        <w:jc w:val="both"/>
        <w:rPr>
          <w:b/>
        </w:rPr>
      </w:pPr>
    </w:p>
    <w:p w:rsidR="00685EF1" w:rsidRDefault="00685EF1" w:rsidP="00685EF1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685EF1" w:rsidRDefault="00685EF1" w:rsidP="00685EF1">
      <w:pPr>
        <w:spacing w:line="360" w:lineRule="auto"/>
        <w:jc w:val="both"/>
      </w:pPr>
    </w:p>
    <w:p w:rsidR="00685EF1" w:rsidRDefault="00685EF1" w:rsidP="00685EF1">
      <w:pPr>
        <w:spacing w:line="360" w:lineRule="auto"/>
        <w:jc w:val="both"/>
        <w:rPr>
          <w:b/>
        </w:rPr>
      </w:pPr>
      <w:r>
        <w:rPr>
          <w:b/>
        </w:rPr>
        <w:t xml:space="preserve">For Appellant </w:t>
      </w:r>
      <w:r>
        <w:rPr>
          <w:b/>
        </w:rPr>
        <w:tab/>
      </w:r>
      <w:r>
        <w:rPr>
          <w:b/>
        </w:rPr>
        <w:tab/>
      </w:r>
      <w:r w:rsidR="003027C3">
        <w:rPr>
          <w:b/>
        </w:rPr>
        <w:t>Mr E.T. Moyo, Attorney</w:t>
      </w:r>
    </w:p>
    <w:p w:rsidR="00685EF1" w:rsidRDefault="00685EF1" w:rsidP="00685EF1">
      <w:pPr>
        <w:jc w:val="both"/>
        <w:rPr>
          <w:b/>
        </w:rPr>
      </w:pPr>
      <w:r>
        <w:rPr>
          <w:b/>
        </w:rPr>
        <w:tab/>
      </w:r>
    </w:p>
    <w:p w:rsidR="00685EF1" w:rsidRDefault="00685EF1" w:rsidP="00685EF1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3027C3">
        <w:rPr>
          <w:b/>
        </w:rPr>
        <w:t>Mr O. Shava</w:t>
      </w:r>
      <w:r>
        <w:rPr>
          <w:b/>
        </w:rPr>
        <w:t>, Atto</w:t>
      </w:r>
      <w:r w:rsidR="003027C3">
        <w:rPr>
          <w:b/>
        </w:rPr>
        <w:t>r</w:t>
      </w:r>
      <w:r>
        <w:rPr>
          <w:b/>
        </w:rPr>
        <w:t>ney</w:t>
      </w:r>
    </w:p>
    <w:p w:rsidR="00685EF1" w:rsidRDefault="00685EF1" w:rsidP="00685EF1">
      <w:pPr>
        <w:spacing w:line="360" w:lineRule="auto"/>
        <w:jc w:val="both"/>
        <w:rPr>
          <w:b/>
          <w:sz w:val="28"/>
          <w:szCs w:val="28"/>
        </w:rPr>
      </w:pPr>
    </w:p>
    <w:p w:rsidR="00685EF1" w:rsidRDefault="00685EF1" w:rsidP="00685EF1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9E0590" w:rsidRDefault="009E0590" w:rsidP="000A6412">
      <w:pPr>
        <w:spacing w:line="360" w:lineRule="auto"/>
      </w:pPr>
    </w:p>
    <w:p w:rsidR="004D47CD" w:rsidRDefault="004D47CD" w:rsidP="00B851EB">
      <w:pPr>
        <w:spacing w:line="360" w:lineRule="auto"/>
        <w:jc w:val="both"/>
      </w:pPr>
      <w:r>
        <w:t>On 1</w:t>
      </w:r>
      <w:r w:rsidR="00F21517">
        <w:t>5</w:t>
      </w:r>
      <w:r>
        <w:t>th October 2015 at Harare, Arbitrator M.</w:t>
      </w:r>
      <w:r w:rsidR="00B851EB">
        <w:t xml:space="preserve"> Kazembe issued an arbitration award.  In terms thereof he dismissed Appellant’s appeal against the penalty imposed </w:t>
      </w:r>
      <w:r w:rsidR="00F21517">
        <w:t>on</w:t>
      </w:r>
      <w:r w:rsidR="00B851EB">
        <w:t xml:space="preserve"> Respondent by the disciplinary authority.  Appellant then appealed to this Court against the award.  Respondent opposed the appeal.</w:t>
      </w:r>
    </w:p>
    <w:p w:rsidR="00B51DFE" w:rsidRDefault="00B51DFE" w:rsidP="000A6412">
      <w:pPr>
        <w:jc w:val="both"/>
      </w:pPr>
    </w:p>
    <w:p w:rsidR="00B51DFE" w:rsidRDefault="00B51DFE" w:rsidP="00B851EB">
      <w:pPr>
        <w:spacing w:line="360" w:lineRule="auto"/>
        <w:jc w:val="both"/>
      </w:pPr>
      <w:r>
        <w:t>The pertinent portion of the grounds of appeal complained that,</w:t>
      </w:r>
    </w:p>
    <w:p w:rsidR="00B51DFE" w:rsidRPr="000A6412" w:rsidRDefault="00B51DFE" w:rsidP="000A6412">
      <w:pPr>
        <w:jc w:val="both"/>
        <w:rPr>
          <w:sz w:val="22"/>
          <w:szCs w:val="22"/>
        </w:rPr>
      </w:pPr>
    </w:p>
    <w:p w:rsidR="00B51DFE" w:rsidRPr="000A6412" w:rsidRDefault="00B51DFE" w:rsidP="000A6412">
      <w:pPr>
        <w:spacing w:line="276" w:lineRule="auto"/>
        <w:ind w:left="1440" w:hanging="720"/>
        <w:jc w:val="both"/>
        <w:rPr>
          <w:sz w:val="22"/>
          <w:szCs w:val="22"/>
        </w:rPr>
      </w:pPr>
      <w:r w:rsidRPr="000A6412">
        <w:rPr>
          <w:sz w:val="22"/>
          <w:szCs w:val="22"/>
        </w:rPr>
        <w:t>“a.</w:t>
      </w:r>
      <w:r w:rsidRPr="000A6412">
        <w:rPr>
          <w:sz w:val="22"/>
          <w:szCs w:val="22"/>
        </w:rPr>
        <w:tab/>
        <w:t>The record demonstrates that the Respondent had been convicted of a serious act of misconduct which goes to the root of his employment</w:t>
      </w:r>
      <w:r w:rsidR="00F54D4C" w:rsidRPr="000A6412">
        <w:rPr>
          <w:sz w:val="22"/>
          <w:szCs w:val="22"/>
        </w:rPr>
        <w:t xml:space="preserve"> contract and therefore justified dismissal in the first instance,</w:t>
      </w:r>
      <w:r w:rsidR="00907302" w:rsidRPr="000A6412">
        <w:rPr>
          <w:sz w:val="22"/>
          <w:szCs w:val="22"/>
        </w:rPr>
        <w:t xml:space="preserve"> a relevant fact which either the disciplinary authority failed to take into consideration at all or failed to give due weight, and</w:t>
      </w:r>
    </w:p>
    <w:p w:rsidR="00907302" w:rsidRPr="000A6412" w:rsidRDefault="00907302" w:rsidP="000A6412">
      <w:pPr>
        <w:spacing w:line="276" w:lineRule="auto"/>
        <w:ind w:left="1440" w:hanging="720"/>
        <w:jc w:val="both"/>
        <w:rPr>
          <w:sz w:val="22"/>
          <w:szCs w:val="22"/>
        </w:rPr>
      </w:pPr>
      <w:r w:rsidRPr="000A6412">
        <w:rPr>
          <w:sz w:val="22"/>
          <w:szCs w:val="22"/>
        </w:rPr>
        <w:t xml:space="preserve"> b.</w:t>
      </w:r>
      <w:r w:rsidRPr="000A6412">
        <w:rPr>
          <w:sz w:val="22"/>
          <w:szCs w:val="22"/>
        </w:rPr>
        <w:tab/>
      </w:r>
      <w:r w:rsidR="00123076" w:rsidRPr="000A6412">
        <w:rPr>
          <w:sz w:val="22"/>
          <w:szCs w:val="22"/>
        </w:rPr>
        <w:t>The disciplinary authority had been influenced by an irrelevant consideration in placing emphasis as</w:t>
      </w:r>
      <w:r w:rsidR="00950EFD" w:rsidRPr="000A6412">
        <w:rPr>
          <w:sz w:val="22"/>
          <w:szCs w:val="22"/>
        </w:rPr>
        <w:t xml:space="preserve"> she did on the naivety of the complainant, an inconsequential fact altogether.”</w:t>
      </w:r>
    </w:p>
    <w:p w:rsidR="00950EFD" w:rsidRDefault="00950EFD" w:rsidP="000A6412">
      <w:pPr>
        <w:jc w:val="both"/>
      </w:pPr>
    </w:p>
    <w:p w:rsidR="00F21517" w:rsidRDefault="00F21517" w:rsidP="000A6412">
      <w:pPr>
        <w:jc w:val="both"/>
      </w:pPr>
    </w:p>
    <w:p w:rsidR="00950EFD" w:rsidRDefault="00950EFD" w:rsidP="00950EFD">
      <w:pPr>
        <w:spacing w:line="360" w:lineRule="auto"/>
        <w:jc w:val="both"/>
      </w:pPr>
      <w:r>
        <w:lastRenderedPageBreak/>
        <w:t xml:space="preserve">Respondent’s case was succinctly set out </w:t>
      </w:r>
      <w:r w:rsidR="00C30CAC">
        <w:t>in his Heads of Argument thus,</w:t>
      </w:r>
    </w:p>
    <w:p w:rsidR="00C30CAC" w:rsidRDefault="00C30CAC" w:rsidP="00F21517">
      <w:pPr>
        <w:jc w:val="both"/>
      </w:pPr>
    </w:p>
    <w:p w:rsidR="00C30CAC" w:rsidRPr="00B72FD0" w:rsidRDefault="00C30CAC" w:rsidP="000A6412">
      <w:pPr>
        <w:spacing w:line="276" w:lineRule="auto"/>
        <w:ind w:left="1440" w:hanging="720"/>
        <w:jc w:val="both"/>
        <w:rPr>
          <w:sz w:val="22"/>
          <w:szCs w:val="22"/>
        </w:rPr>
      </w:pPr>
      <w:r w:rsidRPr="00B72FD0">
        <w:rPr>
          <w:sz w:val="22"/>
          <w:szCs w:val="22"/>
        </w:rPr>
        <w:t>“1.</w:t>
      </w:r>
      <w:r w:rsidRPr="00B72FD0">
        <w:rPr>
          <w:sz w:val="22"/>
          <w:szCs w:val="22"/>
        </w:rPr>
        <w:tab/>
        <w:t>The arbitral award is flawless.  It cannot be rather challenged in any way.</w:t>
      </w:r>
    </w:p>
    <w:p w:rsidR="00C65506" w:rsidRDefault="00C65506" w:rsidP="000A6412">
      <w:pPr>
        <w:spacing w:line="276" w:lineRule="auto"/>
        <w:ind w:left="1440" w:hanging="720"/>
        <w:jc w:val="both"/>
      </w:pPr>
      <w:r w:rsidRPr="00B72FD0">
        <w:rPr>
          <w:sz w:val="22"/>
          <w:szCs w:val="22"/>
        </w:rPr>
        <w:t xml:space="preserve"> 2.</w:t>
      </w:r>
      <w:r w:rsidRPr="00B72FD0">
        <w:rPr>
          <w:sz w:val="22"/>
          <w:szCs w:val="22"/>
        </w:rPr>
        <w:tab/>
      </w:r>
      <w:proofErr w:type="gramStart"/>
      <w:r w:rsidRPr="00B72FD0">
        <w:rPr>
          <w:sz w:val="22"/>
          <w:szCs w:val="22"/>
        </w:rPr>
        <w:t>The</w:t>
      </w:r>
      <w:proofErr w:type="gramEnd"/>
      <w:r w:rsidRPr="00B72FD0">
        <w:rPr>
          <w:sz w:val="22"/>
          <w:szCs w:val="22"/>
        </w:rPr>
        <w:t xml:space="preserve"> appellant failed to demonstrate that the disciplinary </w:t>
      </w:r>
      <w:r w:rsidR="00A07D28" w:rsidRPr="00B72FD0">
        <w:rPr>
          <w:sz w:val="22"/>
          <w:szCs w:val="22"/>
        </w:rPr>
        <w:t>authority had exercised her discretion injudiciously and the Arbitrator-a-quo</w:t>
      </w:r>
      <w:r w:rsidR="0029074D" w:rsidRPr="00B72FD0">
        <w:rPr>
          <w:sz w:val="22"/>
          <w:szCs w:val="22"/>
        </w:rPr>
        <w:t xml:space="preserve">, as he ought to have done, correctly </w:t>
      </w:r>
      <w:r w:rsidR="004861FF" w:rsidRPr="00B72FD0">
        <w:rPr>
          <w:sz w:val="22"/>
          <w:szCs w:val="22"/>
        </w:rPr>
        <w:t>refused to set aside the penalty imposed by the Disciplinary Authority</w:t>
      </w:r>
      <w:r w:rsidR="00EA014A" w:rsidRPr="00B72FD0">
        <w:rPr>
          <w:sz w:val="22"/>
          <w:szCs w:val="22"/>
        </w:rPr>
        <w:t>.”</w:t>
      </w:r>
    </w:p>
    <w:p w:rsidR="00EA014A" w:rsidRDefault="00EA014A" w:rsidP="00DE2E43">
      <w:pPr>
        <w:jc w:val="both"/>
      </w:pPr>
    </w:p>
    <w:p w:rsidR="00EA014A" w:rsidRDefault="00EA014A" w:rsidP="00EA014A">
      <w:pPr>
        <w:spacing w:line="360" w:lineRule="auto"/>
        <w:jc w:val="both"/>
      </w:pPr>
      <w:r>
        <w:t>The incident in question occurred at a workshop in Masvingo.  In the evening Respondent and a friend visited</w:t>
      </w:r>
      <w:r w:rsidR="008D2BAA">
        <w:t xml:space="preserve"> complainant at her hotel room.  The friend departed leaving complainant</w:t>
      </w:r>
      <w:r w:rsidR="00581333">
        <w:t xml:space="preserve"> with Appellant.  She asked him to leave but he</w:t>
      </w:r>
      <w:r w:rsidR="00B72FD0">
        <w:t xml:space="preserve"> did not do so.  She got into be</w:t>
      </w:r>
      <w:r w:rsidR="00581333">
        <w:t>d</w:t>
      </w:r>
      <w:r w:rsidR="00E711DB">
        <w:t xml:space="preserve"> and turned her back on him.  He then stripped and entered her bed.  She resisted and told him to leave</w:t>
      </w:r>
      <w:r w:rsidR="00325E01">
        <w:t>.  Thereupon he dressed and after a few words left the room.  He was charged with misconduct on these facts.  The matter was heard by Advocate J Wood</w:t>
      </w:r>
      <w:r w:rsidR="00B72FD0">
        <w:t xml:space="preserve"> acting</w:t>
      </w:r>
      <w:r w:rsidR="00A902D4">
        <w:t xml:space="preserve"> as the Disciplinary Authority.  </w:t>
      </w:r>
      <w:r w:rsidR="0073652F">
        <w:t>She found him guilty of conduct inconsistent with the terms of his employment contract.  After considering mitigating and aggravating factors she re</w:t>
      </w:r>
      <w:r w:rsidR="009844A8">
        <w:t>commended</w:t>
      </w:r>
      <w:r w:rsidR="00B72FD0">
        <w:t xml:space="preserve"> as penalty</w:t>
      </w:r>
      <w:r w:rsidR="009844A8">
        <w:t xml:space="preserve"> a final written warning, a suspension without pay for one month and </w:t>
      </w:r>
      <w:r w:rsidR="009F0909">
        <w:t>course</w:t>
      </w:r>
      <w:r w:rsidR="00C26F53">
        <w:t xml:space="preserve"> of counseling by a person nominated by the employer.</w:t>
      </w:r>
    </w:p>
    <w:p w:rsidR="00A96501" w:rsidRDefault="00A96501" w:rsidP="00DE2E43">
      <w:pPr>
        <w:jc w:val="both"/>
      </w:pPr>
    </w:p>
    <w:p w:rsidR="00A96501" w:rsidRDefault="00A96501" w:rsidP="00EA014A">
      <w:pPr>
        <w:spacing w:line="360" w:lineRule="auto"/>
        <w:jc w:val="both"/>
      </w:pPr>
      <w:r>
        <w:t>What weighed with Advocate Wood appears from the following excerpt from her recommendation.</w:t>
      </w:r>
    </w:p>
    <w:p w:rsidR="00A96501" w:rsidRDefault="00A96501" w:rsidP="00DE2E43">
      <w:pPr>
        <w:jc w:val="both"/>
      </w:pPr>
    </w:p>
    <w:p w:rsidR="000D1554" w:rsidRPr="00DE2E43" w:rsidRDefault="00157D16" w:rsidP="00DE2E43">
      <w:pPr>
        <w:spacing w:line="276" w:lineRule="auto"/>
        <w:ind w:left="720"/>
        <w:jc w:val="both"/>
        <w:rPr>
          <w:sz w:val="22"/>
          <w:szCs w:val="22"/>
        </w:rPr>
      </w:pPr>
      <w:r w:rsidRPr="00DE2E43">
        <w:rPr>
          <w:sz w:val="22"/>
          <w:szCs w:val="22"/>
        </w:rPr>
        <w:t xml:space="preserve">“The respondent may be an advocate for women’s rights but first and foremost he is a man and it is by no means unusual for a man’s actions to be controlled by </w:t>
      </w:r>
      <w:r w:rsidR="00AF3265" w:rsidRPr="00DE2E43">
        <w:rPr>
          <w:sz w:val="22"/>
          <w:szCs w:val="22"/>
        </w:rPr>
        <w:t>his hormones, rather than his head, hence the need for workshops such as that in which the two parties were participating.  The respondent</w:t>
      </w:r>
      <w:r w:rsidR="002B76AA" w:rsidRPr="00DE2E43">
        <w:rPr>
          <w:sz w:val="22"/>
          <w:szCs w:val="22"/>
        </w:rPr>
        <w:t xml:space="preserve"> was obviously </w:t>
      </w:r>
      <w:r w:rsidR="001342C1" w:rsidRPr="00DE2E43">
        <w:rPr>
          <w:sz w:val="22"/>
          <w:szCs w:val="22"/>
        </w:rPr>
        <w:t>attracted</w:t>
      </w:r>
      <w:r w:rsidR="002B76AA" w:rsidRPr="00DE2E43">
        <w:rPr>
          <w:sz w:val="22"/>
          <w:szCs w:val="22"/>
        </w:rPr>
        <w:t xml:space="preserve"> to the complainant-he had invited her out the previous evening and remained in her room when Innocent left.  She herself admitted that he might have been under the impression that she was</w:t>
      </w:r>
      <w:r w:rsidR="00C2072C" w:rsidRPr="00DE2E43">
        <w:rPr>
          <w:sz w:val="22"/>
          <w:szCs w:val="22"/>
        </w:rPr>
        <w:t xml:space="preserve"> not </w:t>
      </w:r>
      <w:r w:rsidR="002B20E7" w:rsidRPr="00DE2E43">
        <w:rPr>
          <w:sz w:val="22"/>
          <w:szCs w:val="22"/>
        </w:rPr>
        <w:t>displeased</w:t>
      </w:r>
      <w:r w:rsidR="00C2072C" w:rsidRPr="00DE2E43">
        <w:rPr>
          <w:sz w:val="22"/>
          <w:szCs w:val="22"/>
        </w:rPr>
        <w:t xml:space="preserve"> with his presence in her room that evening so he may have seen her action in getting into</w:t>
      </w:r>
      <w:r w:rsidR="002B20E7" w:rsidRPr="00DE2E43">
        <w:rPr>
          <w:sz w:val="22"/>
          <w:szCs w:val="22"/>
        </w:rPr>
        <w:t xml:space="preserve"> bed as an invitation to join her.  It was certainly a temptation which the respondent was clearly </w:t>
      </w:r>
      <w:r w:rsidR="00C943E0" w:rsidRPr="00DE2E43">
        <w:rPr>
          <w:sz w:val="22"/>
          <w:szCs w:val="22"/>
        </w:rPr>
        <w:t>unable</w:t>
      </w:r>
      <w:r w:rsidR="00EF4FB0" w:rsidRPr="00DE2E43">
        <w:rPr>
          <w:sz w:val="22"/>
          <w:szCs w:val="22"/>
        </w:rPr>
        <w:t xml:space="preserve"> to resist but, in his situation, he should have</w:t>
      </w:r>
      <w:r w:rsidR="006E7CB5" w:rsidRPr="00DE2E43">
        <w:rPr>
          <w:sz w:val="22"/>
          <w:szCs w:val="22"/>
        </w:rPr>
        <w:t xml:space="preserve"> known better than to strip and jump into bed with the complainant without ascertaining if it was actually her wish that he did so.  However, in respondent’s favour </w:t>
      </w:r>
      <w:r w:rsidR="009C72AD" w:rsidRPr="00DE2E43">
        <w:rPr>
          <w:sz w:val="22"/>
          <w:szCs w:val="22"/>
        </w:rPr>
        <w:t xml:space="preserve">is the </w:t>
      </w:r>
      <w:r w:rsidR="000D1554" w:rsidRPr="00DE2E43">
        <w:rPr>
          <w:sz w:val="22"/>
          <w:szCs w:val="22"/>
        </w:rPr>
        <w:t>fact that he realized his mistake and left without offering any real resistance.”</w:t>
      </w:r>
    </w:p>
    <w:p w:rsidR="000D1554" w:rsidRDefault="000D1554" w:rsidP="00DE2E43">
      <w:pPr>
        <w:jc w:val="both"/>
      </w:pPr>
    </w:p>
    <w:p w:rsidR="00AC5E71" w:rsidRDefault="00AC5E71" w:rsidP="00DE2E43">
      <w:pPr>
        <w:jc w:val="both"/>
      </w:pPr>
    </w:p>
    <w:p w:rsidR="00A96501" w:rsidRDefault="000D1554" w:rsidP="00EA014A">
      <w:pPr>
        <w:spacing w:line="360" w:lineRule="auto"/>
        <w:jc w:val="both"/>
      </w:pPr>
      <w:r>
        <w:lastRenderedPageBreak/>
        <w:t>I agree entirel</w:t>
      </w:r>
      <w:r w:rsidR="004747A5">
        <w:t xml:space="preserve">y with the </w:t>
      </w:r>
      <w:r w:rsidR="00DD7975">
        <w:t>authority’s summation of the misconduct.  This was a serious offence which was mitigated by the mixed signals compla</w:t>
      </w:r>
      <w:r w:rsidR="00E258CE">
        <w:t>inant gave.  More importantly Respondent desisted from</w:t>
      </w:r>
      <w:r w:rsidR="00F92A99">
        <w:t xml:space="preserve"> pressing his luck as soon as he realized that complainant was not </w:t>
      </w:r>
      <w:r w:rsidR="0075488A">
        <w:t>interested.  He did not use any force or threat thereof.  Being a once</w:t>
      </w:r>
      <w:r w:rsidR="004F1AA0">
        <w:t>-off occurrence I am satisfied that a penalty less than dismiss</w:t>
      </w:r>
      <w:r w:rsidR="00402C59">
        <w:t>al was warranted.  An act of serious misconduct warrants dismissal but it is not every such act</w:t>
      </w:r>
      <w:r w:rsidR="009E0590">
        <w:t xml:space="preserve"> which deserves the drastic penalty of dismissal.  This case is an example of one of those cases where dismissal is un</w:t>
      </w:r>
      <w:r w:rsidR="00735486">
        <w:t>warranted.  The authority exercised her discretion on penalty in favour of the employee.  I accept that this is a border-line case and as such the exercise of discretion may go</w:t>
      </w:r>
      <w:r w:rsidR="00820F66">
        <w:t xml:space="preserve"> either way.  Thus there is no basis for interfering with the authority’s determination and by extens</w:t>
      </w:r>
      <w:r w:rsidR="00245B56">
        <w:t>ion the arbitrator’s</w:t>
      </w:r>
      <w:r w:rsidR="00BA61CF">
        <w:t xml:space="preserve"> award.</w:t>
      </w:r>
      <w:r w:rsidR="00C943E0">
        <w:t xml:space="preserve"> </w:t>
      </w:r>
    </w:p>
    <w:p w:rsidR="00BA61CF" w:rsidRDefault="00BA61CF" w:rsidP="00DE2E43">
      <w:pPr>
        <w:jc w:val="both"/>
      </w:pPr>
    </w:p>
    <w:p w:rsidR="00BA61CF" w:rsidRDefault="00BA61CF" w:rsidP="00EA014A">
      <w:pPr>
        <w:spacing w:line="360" w:lineRule="auto"/>
        <w:jc w:val="both"/>
      </w:pPr>
      <w:r>
        <w:t xml:space="preserve">Cases galore where cited to the effect that </w:t>
      </w:r>
      <w:r w:rsidR="006A47C2">
        <w:t>Courts should not interfere with the employer’s discretion on penalty.  But the employer delegated its discretion to the disciplinary authority.  Once</w:t>
      </w:r>
      <w:r w:rsidR="003B0DC5">
        <w:t xml:space="preserve"> exercise</w:t>
      </w:r>
      <w:r w:rsidR="00AC5E71">
        <w:t xml:space="preserve">d, the </w:t>
      </w:r>
      <w:r w:rsidR="00AC5E71" w:rsidRPr="003501E9">
        <w:rPr>
          <w:u w:val="single"/>
        </w:rPr>
        <w:t>authority’s discretion</w:t>
      </w:r>
      <w:r w:rsidR="003B0DC5">
        <w:t xml:space="preserve"> cannot lightly be interfered with</w:t>
      </w:r>
      <w:r w:rsidR="00F96AF7">
        <w:t xml:space="preserve">.  That is how those cases apply </w:t>
      </w:r>
      <w:r w:rsidR="00F96AF7" w:rsidRPr="00F96AF7">
        <w:rPr>
          <w:i/>
        </w:rPr>
        <w:t>in casu</w:t>
      </w:r>
      <w:r w:rsidR="00F96AF7">
        <w:t>.</w:t>
      </w:r>
    </w:p>
    <w:p w:rsidR="00DE2E43" w:rsidRDefault="00DE2E43" w:rsidP="00EA014A">
      <w:pPr>
        <w:spacing w:line="360" w:lineRule="auto"/>
        <w:jc w:val="both"/>
      </w:pPr>
    </w:p>
    <w:p w:rsidR="007B6F93" w:rsidRDefault="007B6F93" w:rsidP="00EA014A">
      <w:pPr>
        <w:spacing w:line="360" w:lineRule="auto"/>
        <w:jc w:val="both"/>
      </w:pPr>
    </w:p>
    <w:p w:rsidR="007B6F93" w:rsidRDefault="007B6F93" w:rsidP="00EA014A">
      <w:pPr>
        <w:spacing w:line="360" w:lineRule="auto"/>
        <w:jc w:val="both"/>
      </w:pPr>
    </w:p>
    <w:p w:rsidR="00DE2E43" w:rsidRDefault="00DE2E43" w:rsidP="00DE2E43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DE2E43" w:rsidRDefault="00DE2E43" w:rsidP="00DE2E43">
      <w:pPr>
        <w:spacing w:line="360" w:lineRule="auto"/>
        <w:jc w:val="both"/>
        <w:rPr>
          <w:b/>
        </w:rPr>
      </w:pPr>
    </w:p>
    <w:p w:rsidR="00DE2E43" w:rsidRDefault="00DE2E43" w:rsidP="00DE2E4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1C50BD">
        <w:rPr>
          <w:b/>
        </w:rPr>
        <w:t xml:space="preserve">The </w:t>
      </w:r>
      <w:r>
        <w:rPr>
          <w:b/>
        </w:rPr>
        <w:t>appeal be and is hereby dismissed; and</w:t>
      </w:r>
    </w:p>
    <w:p w:rsidR="00DE2E43" w:rsidRPr="001C50BD" w:rsidRDefault="00DE2E43" w:rsidP="00DE2E43">
      <w:pPr>
        <w:pStyle w:val="ListParagraph"/>
        <w:jc w:val="both"/>
        <w:rPr>
          <w:b/>
        </w:rPr>
      </w:pPr>
    </w:p>
    <w:p w:rsidR="00DE2E43" w:rsidRPr="00A23A60" w:rsidRDefault="00DE2E43" w:rsidP="00DE2E4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A23A60">
        <w:rPr>
          <w:b/>
        </w:rPr>
        <w:t>Each party shall bear its own costs.</w:t>
      </w:r>
    </w:p>
    <w:p w:rsidR="00DE2E43" w:rsidRDefault="00DE2E43" w:rsidP="00DE2E43">
      <w:pPr>
        <w:pStyle w:val="ListParagraph"/>
        <w:spacing w:line="360" w:lineRule="auto"/>
        <w:jc w:val="both"/>
        <w:rPr>
          <w:b/>
        </w:rPr>
      </w:pPr>
    </w:p>
    <w:p w:rsidR="00DE2E43" w:rsidRDefault="00DE2E43" w:rsidP="00DE2E43">
      <w:pPr>
        <w:pStyle w:val="ListParagraph"/>
        <w:spacing w:line="360" w:lineRule="auto"/>
        <w:jc w:val="both"/>
        <w:rPr>
          <w:b/>
        </w:rPr>
      </w:pPr>
    </w:p>
    <w:p w:rsidR="00DE2E43" w:rsidRPr="008C1574" w:rsidRDefault="00DE2E43" w:rsidP="00DE2E43">
      <w:pPr>
        <w:pStyle w:val="ListParagraph"/>
        <w:spacing w:line="360" w:lineRule="auto"/>
        <w:jc w:val="both"/>
        <w:rPr>
          <w:b/>
        </w:rPr>
      </w:pPr>
    </w:p>
    <w:p w:rsidR="00DE2E43" w:rsidRDefault="00AC5E71" w:rsidP="00DE2E43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G. </w:t>
      </w:r>
      <w:r w:rsidR="00DE2E43">
        <w:rPr>
          <w:b/>
        </w:rPr>
        <w:t>MUSARIRI</w:t>
      </w:r>
    </w:p>
    <w:p w:rsidR="00DE2E43" w:rsidRDefault="00DE2E43" w:rsidP="00DE2E43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J.U.D.G.E.</w:t>
      </w:r>
    </w:p>
    <w:p w:rsidR="00A96501" w:rsidRDefault="00A96501" w:rsidP="00EA014A">
      <w:pPr>
        <w:spacing w:line="360" w:lineRule="auto"/>
        <w:jc w:val="both"/>
      </w:pPr>
    </w:p>
    <w:p w:rsidR="00B851EB" w:rsidRDefault="00B851EB" w:rsidP="00B851EB">
      <w:pPr>
        <w:spacing w:line="360" w:lineRule="auto"/>
        <w:jc w:val="both"/>
      </w:pPr>
    </w:p>
    <w:p w:rsidR="004D47CD" w:rsidRDefault="004D47CD"/>
    <w:sectPr w:rsidR="004D47CD" w:rsidSect="00326E0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9B" w:rsidRDefault="00BF439B" w:rsidP="00326E0B">
      <w:r>
        <w:separator/>
      </w:r>
    </w:p>
  </w:endnote>
  <w:endnote w:type="continuationSeparator" w:id="0">
    <w:p w:rsidR="00BF439B" w:rsidRDefault="00BF439B" w:rsidP="003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672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590" w:rsidRDefault="009E05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D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0590" w:rsidRDefault="009E0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9B" w:rsidRDefault="00BF439B" w:rsidP="00326E0B">
      <w:r>
        <w:separator/>
      </w:r>
    </w:p>
  </w:footnote>
  <w:footnote w:type="continuationSeparator" w:id="0">
    <w:p w:rsidR="00BF439B" w:rsidRDefault="00BF439B" w:rsidP="003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90" w:rsidRPr="00326E0B" w:rsidRDefault="009E059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66D5C">
      <w:rPr>
        <w:lang w:val="en-ZW"/>
      </w:rPr>
      <w:t>213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F1"/>
    <w:rsid w:val="000A6412"/>
    <w:rsid w:val="000D1554"/>
    <w:rsid w:val="00123076"/>
    <w:rsid w:val="001342C1"/>
    <w:rsid w:val="00157D16"/>
    <w:rsid w:val="002164CD"/>
    <w:rsid w:val="00245B56"/>
    <w:rsid w:val="0029074D"/>
    <w:rsid w:val="002B20E7"/>
    <w:rsid w:val="002B76AA"/>
    <w:rsid w:val="002F673E"/>
    <w:rsid w:val="003027C3"/>
    <w:rsid w:val="00325E01"/>
    <w:rsid w:val="00326E0B"/>
    <w:rsid w:val="003501E9"/>
    <w:rsid w:val="003B0DC5"/>
    <w:rsid w:val="00402C59"/>
    <w:rsid w:val="004747A5"/>
    <w:rsid w:val="004861FF"/>
    <w:rsid w:val="004D47CD"/>
    <w:rsid w:val="004F1AA0"/>
    <w:rsid w:val="00534DC1"/>
    <w:rsid w:val="00581333"/>
    <w:rsid w:val="00666D5C"/>
    <w:rsid w:val="00685EF1"/>
    <w:rsid w:val="006A47C2"/>
    <w:rsid w:val="006C27AD"/>
    <w:rsid w:val="006E20D2"/>
    <w:rsid w:val="006E7CB5"/>
    <w:rsid w:val="00711E2A"/>
    <w:rsid w:val="00735486"/>
    <w:rsid w:val="0073652F"/>
    <w:rsid w:val="0075488A"/>
    <w:rsid w:val="007B6F93"/>
    <w:rsid w:val="00820F66"/>
    <w:rsid w:val="008D2BAA"/>
    <w:rsid w:val="00902F28"/>
    <w:rsid w:val="00907302"/>
    <w:rsid w:val="00950EFD"/>
    <w:rsid w:val="009844A8"/>
    <w:rsid w:val="009C72AD"/>
    <w:rsid w:val="009E0590"/>
    <w:rsid w:val="009F0909"/>
    <w:rsid w:val="00A07D28"/>
    <w:rsid w:val="00A902D4"/>
    <w:rsid w:val="00A96501"/>
    <w:rsid w:val="00AC5E71"/>
    <w:rsid w:val="00AF3265"/>
    <w:rsid w:val="00B51DFE"/>
    <w:rsid w:val="00B72FD0"/>
    <w:rsid w:val="00B851EB"/>
    <w:rsid w:val="00B94E20"/>
    <w:rsid w:val="00BA61CF"/>
    <w:rsid w:val="00BF439B"/>
    <w:rsid w:val="00C2072C"/>
    <w:rsid w:val="00C26F53"/>
    <w:rsid w:val="00C30CAC"/>
    <w:rsid w:val="00C54348"/>
    <w:rsid w:val="00C65506"/>
    <w:rsid w:val="00C943E0"/>
    <w:rsid w:val="00CE3527"/>
    <w:rsid w:val="00D5276A"/>
    <w:rsid w:val="00DD7975"/>
    <w:rsid w:val="00DE2E43"/>
    <w:rsid w:val="00E258CE"/>
    <w:rsid w:val="00E711DB"/>
    <w:rsid w:val="00E819DA"/>
    <w:rsid w:val="00EA014A"/>
    <w:rsid w:val="00EF4FB0"/>
    <w:rsid w:val="00F21517"/>
    <w:rsid w:val="00F54D4C"/>
    <w:rsid w:val="00F92A99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F1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0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0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E2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F1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0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0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E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25</cp:revision>
  <dcterms:created xsi:type="dcterms:W3CDTF">2016-03-31T12:53:00Z</dcterms:created>
  <dcterms:modified xsi:type="dcterms:W3CDTF">2016-04-04T10:25:00Z</dcterms:modified>
</cp:coreProperties>
</file>