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699" w:rsidRPr="00DF475A" w:rsidRDefault="001A5699" w:rsidP="001A5699">
      <w:pPr>
        <w:keepLines/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1A5699" w:rsidRPr="00DF475A" w:rsidRDefault="001A5699" w:rsidP="001A5699">
      <w:p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Civil Appeal – </w:t>
      </w:r>
      <w:r w:rsidRPr="00DF475A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Ex tempore</w:t>
      </w:r>
    </w:p>
    <w:p w:rsidR="001A5699" w:rsidRPr="00DF475A" w:rsidRDefault="001A5699" w:rsidP="001A5699">
      <w:pPr>
        <w:keepLines/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70731" w:rsidRPr="00DF475A" w:rsidRDefault="00270731" w:rsidP="001A5699">
      <w:pPr>
        <w:keepLines/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SONGXIANG </w:t>
      </w:r>
      <w:r w:rsidR="008A634A" w:rsidRPr="00DF475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</w:t>
      </w:r>
      <w:r w:rsidRPr="00DF475A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INDUSTRY</w:t>
      </w:r>
      <w:r w:rsidR="008A634A" w:rsidRPr="00DF475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</w:t>
      </w:r>
      <w:r w:rsidRPr="00DF475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INVESTMENTS </w:t>
      </w:r>
    </w:p>
    <w:p w:rsidR="001A5699" w:rsidRPr="00DF475A" w:rsidRDefault="001A5699" w:rsidP="001A5699">
      <w:pPr>
        <w:keepLines/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v </w:t>
      </w:r>
    </w:p>
    <w:p w:rsidR="001A5699" w:rsidRPr="00DF475A" w:rsidRDefault="008A634A" w:rsidP="001A5699">
      <w:pPr>
        <w:keepLines/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b/>
          <w:sz w:val="24"/>
          <w:szCs w:val="24"/>
          <w:lang w:val="en-US"/>
        </w:rPr>
        <w:t>ROSE      N.     HEUER     &amp;     THREE     OTHERS</w:t>
      </w:r>
    </w:p>
    <w:p w:rsidR="001A5699" w:rsidRPr="00DF475A" w:rsidRDefault="001A5699" w:rsidP="001A5699">
      <w:pPr>
        <w:keepLines/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1A5699" w:rsidRPr="00DF475A" w:rsidRDefault="001A5699" w:rsidP="001A5699">
      <w:pPr>
        <w:keepLines/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1A5699" w:rsidRPr="00DF475A" w:rsidRDefault="001A5699" w:rsidP="001A5699">
      <w:pPr>
        <w:keepLines/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1A5699" w:rsidRPr="00DF475A" w:rsidRDefault="001A5699" w:rsidP="001A5699">
      <w:pPr>
        <w:keepLines/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1A5699" w:rsidRPr="00DF475A" w:rsidRDefault="001A5699" w:rsidP="001A5699">
      <w:pPr>
        <w:keepLines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SUPREME COURT OF ZIMBABWE</w:t>
      </w:r>
      <w:r w:rsidRPr="00DF475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DF475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DF475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DF475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</w:p>
    <w:p w:rsidR="001A5699" w:rsidRPr="00DF475A" w:rsidRDefault="00981B1E" w:rsidP="001A56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b/>
          <w:sz w:val="24"/>
          <w:szCs w:val="24"/>
          <w:lang w:val="en-US"/>
        </w:rPr>
        <w:t>GWAUNZA DCJ,</w:t>
      </w:r>
      <w:r w:rsidR="001A5699" w:rsidRPr="00DF475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MATHONSI JA</w:t>
      </w:r>
      <w:r w:rsidRPr="00DF475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AND KUDYA AJA</w:t>
      </w:r>
    </w:p>
    <w:p w:rsidR="001A5699" w:rsidRPr="00DF475A" w:rsidRDefault="001A5699" w:rsidP="001A56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BULAWAYO: </w:t>
      </w:r>
      <w:r w:rsidR="00981B1E" w:rsidRPr="00DF475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MARCH </w:t>
      </w:r>
      <w:r w:rsidR="008A634A" w:rsidRPr="00DF475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24, 2021 </w:t>
      </w:r>
    </w:p>
    <w:p w:rsidR="001A5699" w:rsidRPr="00DF475A" w:rsidRDefault="001A5699" w:rsidP="001A56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1A5699" w:rsidRPr="00DF475A" w:rsidRDefault="001A5699" w:rsidP="002564E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1A5699" w:rsidRPr="00DF475A" w:rsidRDefault="001A5699" w:rsidP="001A56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</w:p>
    <w:p w:rsidR="001A5699" w:rsidRPr="00DF475A" w:rsidRDefault="00981B1E" w:rsidP="001A5699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i/>
          <w:sz w:val="24"/>
          <w:szCs w:val="24"/>
          <w:lang w:val="en-US"/>
        </w:rPr>
        <w:t>T. Cherry</w:t>
      </w:r>
      <w:r w:rsidR="001A5699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, for the Appellant</w:t>
      </w:r>
    </w:p>
    <w:p w:rsidR="001A5699" w:rsidRPr="00DF475A" w:rsidRDefault="00981B1E" w:rsidP="001A5699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i/>
          <w:sz w:val="24"/>
          <w:szCs w:val="24"/>
          <w:lang w:val="en-US"/>
        </w:rPr>
        <w:t>L</w:t>
      </w:r>
      <w:r w:rsidR="001A5699" w:rsidRPr="00DF475A">
        <w:rPr>
          <w:rFonts w:ascii="Times New Roman" w:eastAsia="Calibri" w:hAnsi="Times New Roman" w:cs="Times New Roman"/>
          <w:i/>
          <w:sz w:val="24"/>
          <w:szCs w:val="24"/>
          <w:lang w:val="en-US"/>
        </w:rPr>
        <w:t>.</w:t>
      </w:r>
      <w:r w:rsidRPr="00DF475A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Nkomo </w:t>
      </w: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with</w:t>
      </w:r>
      <w:r w:rsidRPr="00DF475A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J. Tshuma</w:t>
      </w:r>
      <w:r w:rsidR="001A5699" w:rsidRPr="00DF475A">
        <w:rPr>
          <w:rFonts w:ascii="Times New Roman" w:eastAsia="Calibri" w:hAnsi="Times New Roman" w:cs="Times New Roman"/>
          <w:i/>
          <w:sz w:val="24"/>
          <w:szCs w:val="24"/>
          <w:lang w:val="en-US"/>
        </w:rPr>
        <w:t>,</w:t>
      </w:r>
      <w:r w:rsidR="001A5699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for the </w:t>
      </w:r>
      <w:r w:rsidR="008A634A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first</w:t>
      </w: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1A5699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Respondent</w:t>
      </w:r>
    </w:p>
    <w:p w:rsidR="001A5699" w:rsidRPr="00DF475A" w:rsidRDefault="001A5699" w:rsidP="001A5699">
      <w:p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</w:p>
    <w:p w:rsidR="001A5699" w:rsidRPr="00DF475A" w:rsidRDefault="001A5699" w:rsidP="001D16DD">
      <w:pPr>
        <w:spacing w:after="0" w:line="480" w:lineRule="auto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MATHONSI JA:</w:t>
      </w: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0B6CD0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This is an appeal against </w:t>
      </w:r>
      <w:r w:rsidR="001D16DD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confirmation of a provisional order issued by the court </w:t>
      </w:r>
      <w:r w:rsidR="005A71FB" w:rsidRPr="00DF475A">
        <w:rPr>
          <w:rFonts w:ascii="Times New Roman" w:eastAsia="Calibri" w:hAnsi="Times New Roman" w:cs="Times New Roman"/>
          <w:i/>
          <w:sz w:val="24"/>
          <w:szCs w:val="24"/>
          <w:lang w:val="en-US"/>
        </w:rPr>
        <w:t>a quo</w:t>
      </w:r>
      <w:r w:rsidR="001D16DD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on 21 May 2020.</w:t>
      </w:r>
    </w:p>
    <w:p w:rsidR="000B6CD0" w:rsidRPr="00DF475A" w:rsidRDefault="000B6CD0" w:rsidP="001D16DD">
      <w:pPr>
        <w:spacing w:after="0" w:line="480" w:lineRule="auto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D16DD" w:rsidRPr="00DF475A" w:rsidRDefault="001D16DD" w:rsidP="001D16DD">
      <w:pPr>
        <w:spacing w:after="0" w:line="480" w:lineRule="auto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The terms of the final order appear at p 398 of the record and essentially interdicted the</w:t>
      </w:r>
      <w:r w:rsidR="008A634A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second</w:t>
      </w: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respondent herein from removing any equipment from Empress Mine which is at the centre of the dispute. In the same order the appellant </w:t>
      </w:r>
      <w:r w:rsidR="00F2570F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was allowed </w:t>
      </w: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to remove its own equipment from the same mining claim.</w:t>
      </w:r>
    </w:p>
    <w:p w:rsidR="000B6CD0" w:rsidRPr="00DF475A" w:rsidRDefault="000B6CD0" w:rsidP="001D16DD">
      <w:pPr>
        <w:spacing w:after="0" w:line="480" w:lineRule="auto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D16DD" w:rsidRPr="00DF475A" w:rsidRDefault="001D16DD" w:rsidP="001D16DD">
      <w:pPr>
        <w:spacing w:after="0" w:line="480" w:lineRule="auto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Further, the final order also interdicted the appellant</w:t>
      </w:r>
      <w:r w:rsidR="00577C3F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2B2A83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 w:rsidR="008A634A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second</w:t>
      </w:r>
      <w:r w:rsidR="00577C3F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respondent, and the </w:t>
      </w:r>
      <w:r w:rsidR="008A634A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fourth</w:t>
      </w:r>
      <w:r w:rsidR="00577C3F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respondent from interfering with the </w:t>
      </w:r>
      <w:r w:rsidR="008A634A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first</w:t>
      </w:r>
      <w:r w:rsidR="00577C3F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respondent’s mining activities at the mine.</w:t>
      </w:r>
      <w:r w:rsidR="008A634A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order also authorised the first</w:t>
      </w:r>
      <w:r w:rsidR="00443D55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respondent to carry out mining activities at the mine. Finally, the appellant, the </w:t>
      </w:r>
      <w:r w:rsidR="002564E1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second</w:t>
      </w:r>
      <w:r w:rsidR="00443D55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and the </w:t>
      </w:r>
      <w:r w:rsidR="002564E1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fourth </w:t>
      </w:r>
      <w:r w:rsidR="00443D55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respondents were ejected from the mine.</w:t>
      </w:r>
    </w:p>
    <w:p w:rsidR="000B6CD0" w:rsidRPr="00DF475A" w:rsidRDefault="000B6CD0" w:rsidP="001D16DD">
      <w:pPr>
        <w:spacing w:after="0" w:line="480" w:lineRule="auto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56CE0" w:rsidRPr="00DF475A" w:rsidRDefault="00443D55" w:rsidP="00DA3905">
      <w:pPr>
        <w:spacing w:after="0" w:line="480" w:lineRule="auto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The court observed that the final order in its paragraphs 2, 3, and 4 was improperly made to be subject to the finalisation of case number HC 5673/18 which is between the </w:t>
      </w:r>
      <w:r w:rsidR="002564E1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first</w:t>
      </w: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</w:t>
      </w:r>
      <w:r w:rsidR="002564E1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second</w:t>
      </w: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respondents.</w:t>
      </w:r>
      <w:r w:rsidR="001E4F9F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Mr</w:t>
      </w:r>
      <w:r w:rsidR="001E4F9F" w:rsidRPr="00DF475A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Nkomo</w:t>
      </w:r>
      <w:r w:rsidR="001E4F9F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for the </w:t>
      </w:r>
      <w:r w:rsidR="002564E1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first </w:t>
      </w:r>
      <w:r w:rsidR="001E4F9F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respondent </w:t>
      </w:r>
      <w:r w:rsidR="00E56CE0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conceded the irregularity of the order and prayed for the removal of any reference to case number HC 5673/18.</w:t>
      </w:r>
    </w:p>
    <w:p w:rsidR="000B6CD0" w:rsidRPr="00DF475A" w:rsidRDefault="000B6CD0" w:rsidP="00DA3905">
      <w:pPr>
        <w:spacing w:after="0" w:line="480" w:lineRule="auto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33BEA" w:rsidRPr="00DF475A" w:rsidRDefault="00DA3905" w:rsidP="00562711">
      <w:pPr>
        <w:spacing w:after="0" w:line="480" w:lineRule="auto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Mr</w:t>
      </w:r>
      <w:r w:rsidRPr="00DF475A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Cherry</w:t>
      </w: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for the appellant reluctantly conceded that the appellant had no basis for approaching this court on appeal considering that the real dispute was between the </w:t>
      </w:r>
      <w:r w:rsidR="002564E1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first</w:t>
      </w: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</w:t>
      </w:r>
      <w:r w:rsidR="002564E1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second</w:t>
      </w: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respondents based on a contract whic</w:t>
      </w:r>
      <w:r w:rsidR="002B2A83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h the appellant was not privy t</w:t>
      </w: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o.</w:t>
      </w:r>
      <w:r w:rsidR="003C318C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More importantly, the </w:t>
      </w:r>
      <w:r w:rsidR="002564E1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second</w:t>
      </w:r>
      <w:r w:rsidR="003C318C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respondent had the provisional order confirmed against it in default and no rescission of that confirmation was sought.</w:t>
      </w:r>
      <w:r w:rsidR="007E13FF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that regard, the appellant, whose defense in the court </w:t>
      </w:r>
      <w:r w:rsidR="005A71FB" w:rsidRPr="00DF475A">
        <w:rPr>
          <w:rFonts w:ascii="Times New Roman" w:eastAsia="Calibri" w:hAnsi="Times New Roman" w:cs="Times New Roman"/>
          <w:i/>
          <w:sz w:val="24"/>
          <w:szCs w:val="24"/>
          <w:lang w:val="en-US"/>
        </w:rPr>
        <w:t>a quo</w:t>
      </w:r>
      <w:r w:rsidR="007E13FF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was dependent on its agreement with the </w:t>
      </w:r>
      <w:r w:rsidR="002564E1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second</w:t>
      </w:r>
      <w:r w:rsidR="007E13FF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respondent had no leg to stand on.</w:t>
      </w:r>
      <w:r w:rsidR="00562711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33BEA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Against this background, the </w:t>
      </w:r>
      <w:r w:rsidR="00695FEC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reluctant concession by Mr</w:t>
      </w:r>
      <w:r w:rsidR="00695FEC" w:rsidRPr="00DF475A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Cherry</w:t>
      </w:r>
      <w:r w:rsidR="00695FEC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was proper</w:t>
      </w:r>
      <w:r w:rsidR="00F2570F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ly made</w:t>
      </w:r>
      <w:r w:rsidR="00695FEC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0B6CD0" w:rsidRPr="00DF475A" w:rsidRDefault="000B6CD0" w:rsidP="00562711">
      <w:pPr>
        <w:spacing w:after="0" w:line="480" w:lineRule="auto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62711" w:rsidRPr="00DF475A" w:rsidRDefault="00F2570F" w:rsidP="00562711">
      <w:pPr>
        <w:spacing w:after="0" w:line="480" w:lineRule="auto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="00562711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he </w:t>
      </w:r>
      <w:r w:rsidR="002564E1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first</w:t>
      </w:r>
      <w:r w:rsidR="00562711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respondent prayed for costs against the appellant on the higher</w:t>
      </w:r>
      <w:r w:rsidR="00FE6C3E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scale</w:t>
      </w:r>
      <w:r w:rsidR="00562711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It was the view of the </w:t>
      </w:r>
      <w:r w:rsidR="002564E1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first</w:t>
      </w:r>
      <w:r w:rsidR="00562711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respondent that such costs were warranted because of the appellant’s conduct in pursuing a meritless appeal while unduly holding on to possession of the mining claim. The appellant persisted with the appeal despite an earlier judgment of the court </w:t>
      </w:r>
      <w:r w:rsidR="005A71FB" w:rsidRPr="00DF475A">
        <w:rPr>
          <w:rFonts w:ascii="Times New Roman" w:eastAsia="Calibri" w:hAnsi="Times New Roman" w:cs="Times New Roman"/>
          <w:i/>
          <w:sz w:val="24"/>
          <w:szCs w:val="24"/>
          <w:lang w:val="en-US"/>
        </w:rPr>
        <w:t>a quo</w:t>
      </w:r>
      <w:r w:rsidR="00562711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which was not appealed against to the effect </w:t>
      </w:r>
      <w:r w:rsidR="00562711" w:rsidRPr="00DF475A">
        <w:rPr>
          <w:rFonts w:ascii="Times New Roman" w:eastAsia="Calibri" w:hAnsi="Times New Roman" w:cs="Times New Roman"/>
          <w:i/>
          <w:sz w:val="24"/>
          <w:szCs w:val="24"/>
          <w:lang w:val="en-US"/>
        </w:rPr>
        <w:t>inter alia</w:t>
      </w:r>
      <w:r w:rsidR="00562711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that the appellant had no </w:t>
      </w:r>
      <w:r w:rsidR="00562711" w:rsidRPr="00DF475A">
        <w:rPr>
          <w:rFonts w:ascii="Times New Roman" w:eastAsia="Calibri" w:hAnsi="Times New Roman" w:cs="Times New Roman"/>
          <w:i/>
          <w:sz w:val="24"/>
          <w:szCs w:val="24"/>
          <w:lang w:val="en-US"/>
        </w:rPr>
        <w:t>locus standi</w:t>
      </w:r>
      <w:r w:rsidR="00562711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to claim possession</w:t>
      </w: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the </w:t>
      </w:r>
      <w:r w:rsidR="002030D9">
        <w:rPr>
          <w:rFonts w:ascii="Times New Roman" w:eastAsia="Calibri" w:hAnsi="Times New Roman" w:cs="Times New Roman"/>
          <w:sz w:val="24"/>
          <w:szCs w:val="24"/>
          <w:lang w:val="en-US"/>
        </w:rPr>
        <w:t>mine</w:t>
      </w: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0B6CD0" w:rsidRPr="00DF475A" w:rsidRDefault="000B6CD0" w:rsidP="00562711">
      <w:pPr>
        <w:spacing w:after="0" w:line="480" w:lineRule="auto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62711" w:rsidRPr="00DF475A" w:rsidRDefault="00562711" w:rsidP="00562711">
      <w:pPr>
        <w:spacing w:after="0" w:line="480" w:lineRule="auto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 addition, following the spoliation proceedings, which </w:t>
      </w:r>
      <w:r w:rsidR="002564E1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it </w:t>
      </w:r>
      <w:r w:rsidR="00182AE0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lost</w:t>
      </w:r>
      <w:r w:rsidR="00F2570F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182AE0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appellant up to this day has not explained how it gained possession of the mine.</w:t>
      </w:r>
      <w:r w:rsidR="006059F8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appellant’s persistence with the appeal has unnecessarily put the </w:t>
      </w:r>
      <w:r w:rsidR="002564E1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first</w:t>
      </w:r>
      <w:r w:rsidR="006059F8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respondent out of pocket.</w:t>
      </w:r>
      <w:r w:rsidR="00A54F98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Against this, the court finds no merit in Mr</w:t>
      </w:r>
      <w:r w:rsidR="00A54F98" w:rsidRPr="00DF475A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Cherry’s</w:t>
      </w:r>
      <w:r w:rsidR="00A54F98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submission that costs should be awarded on an ordinary scale.</w:t>
      </w:r>
    </w:p>
    <w:p w:rsidR="00613345" w:rsidRPr="00DF475A" w:rsidRDefault="00613345" w:rsidP="00562711">
      <w:pPr>
        <w:spacing w:after="0" w:line="480" w:lineRule="auto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64900" w:rsidRPr="00DF475A" w:rsidRDefault="00C64900" w:rsidP="00562711">
      <w:pPr>
        <w:spacing w:after="0" w:line="480" w:lineRule="auto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In our view case No HC 5673/18 in which the </w:t>
      </w:r>
      <w:r w:rsidR="002564E1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first</w:t>
      </w: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respondent is seeking confirmation of her cancellation of the agreement o</w:t>
      </w:r>
      <w:r w:rsidR="002564E1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 sale between herself and the second </w:t>
      </w: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respondent, has no bearing on the present matter. </w:t>
      </w:r>
      <w:r w:rsidR="00613345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order made in this matter should not affect the progression of case number HC 5673/18. </w:t>
      </w:r>
    </w:p>
    <w:p w:rsidR="001A5699" w:rsidRPr="00DF475A" w:rsidRDefault="001A5699" w:rsidP="00F2570F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A5699" w:rsidRPr="00DF475A" w:rsidRDefault="001A5699" w:rsidP="001A5699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b/>
          <w:sz w:val="24"/>
          <w:szCs w:val="24"/>
          <w:lang w:val="en-US"/>
        </w:rPr>
        <w:t>DISPOSITION</w:t>
      </w:r>
    </w:p>
    <w:p w:rsidR="001A5699" w:rsidRPr="00DF475A" w:rsidRDefault="00613345" w:rsidP="001A5699">
      <w:pPr>
        <w:spacing w:after="0" w:line="480" w:lineRule="auto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In the result; it be and is hereby ordered as follows:</w:t>
      </w:r>
    </w:p>
    <w:p w:rsidR="001A5699" w:rsidRPr="00DF475A" w:rsidRDefault="001A5699" w:rsidP="00F2570F">
      <w:pPr>
        <w:numPr>
          <w:ilvl w:val="0"/>
          <w:numId w:val="2"/>
        </w:numPr>
        <w:spacing w:after="0" w:afterAutospacing="1" w:line="240" w:lineRule="auto"/>
        <w:ind w:left="1170" w:hanging="4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appeal </w:t>
      </w:r>
      <w:r w:rsidR="00613345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is hereby dismissed with costs on the scale of legal practitioner and client.</w:t>
      </w:r>
    </w:p>
    <w:p w:rsidR="00613345" w:rsidRPr="00DF475A" w:rsidRDefault="00613345" w:rsidP="00F2570F">
      <w:pPr>
        <w:numPr>
          <w:ilvl w:val="0"/>
          <w:numId w:val="2"/>
        </w:numPr>
        <w:spacing w:after="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In the exercise of this court’s discretion in terms of s 25 of the Supreme Court Act [</w:t>
      </w:r>
      <w:r w:rsidRPr="00DF475A">
        <w:rPr>
          <w:rFonts w:ascii="Times New Roman" w:eastAsia="Calibri" w:hAnsi="Times New Roman" w:cs="Times New Roman"/>
          <w:i/>
          <w:sz w:val="24"/>
          <w:szCs w:val="24"/>
          <w:lang w:val="en-US"/>
        </w:rPr>
        <w:t>Chapter 7:13</w:t>
      </w: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], the order of the court </w:t>
      </w:r>
      <w:r w:rsidR="005A71FB" w:rsidRPr="00DF475A">
        <w:rPr>
          <w:rFonts w:ascii="Times New Roman" w:eastAsia="Calibri" w:hAnsi="Times New Roman" w:cs="Times New Roman"/>
          <w:i/>
          <w:sz w:val="24"/>
          <w:szCs w:val="24"/>
          <w:lang w:val="en-US"/>
        </w:rPr>
        <w:t>a quo</w:t>
      </w: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is amended to read as follows</w:t>
      </w:r>
    </w:p>
    <w:p w:rsidR="008A634A" w:rsidRPr="00DF475A" w:rsidRDefault="008A634A" w:rsidP="00F2570F">
      <w:pPr>
        <w:spacing w:after="0" w:afterAutospacing="1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“1. </w:t>
      </w:r>
      <w:r w:rsidR="00613345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The provisional order be and is hereby confirmed.</w:t>
      </w:r>
    </w:p>
    <w:p w:rsidR="008A634A" w:rsidRPr="00DF475A" w:rsidRDefault="008A634A" w:rsidP="0034078F">
      <w:pPr>
        <w:spacing w:after="0" w:afterAutospacing="1" w:line="240" w:lineRule="auto"/>
        <w:ind w:left="1980" w:hanging="4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 </w:t>
      </w:r>
      <w:r w:rsidR="00613345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The 1</w:t>
      </w:r>
      <w:r w:rsidR="00613345" w:rsidRPr="00DF475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st</w:t>
      </w:r>
      <w:r w:rsidR="00613345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respondent be and is hereby interdicted from removing any equipment from Empress Mine.</w:t>
      </w:r>
    </w:p>
    <w:p w:rsidR="00F2570F" w:rsidRPr="00DF475A" w:rsidRDefault="008A634A" w:rsidP="0034078F">
      <w:pPr>
        <w:spacing w:after="0" w:afterAutospacing="1" w:line="240" w:lineRule="auto"/>
        <w:ind w:left="1890" w:hanging="4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3. </w:t>
      </w:r>
      <w:r w:rsidR="00613345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The 2</w:t>
      </w:r>
      <w:r w:rsidR="00613345" w:rsidRPr="00DF475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nd</w:t>
      </w:r>
      <w:r w:rsidR="00613345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respondent be and is hereby allowed to remove its equipment from Empress Mine.</w:t>
      </w:r>
    </w:p>
    <w:p w:rsidR="00F2570F" w:rsidRPr="00DF475A" w:rsidRDefault="00F2570F" w:rsidP="0034078F">
      <w:pPr>
        <w:spacing w:after="0" w:afterAutospacing="1" w:line="240" w:lineRule="auto"/>
        <w:ind w:left="1890" w:hanging="4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4. </w:t>
      </w:r>
      <w:r w:rsidR="00401E3D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The 1</w:t>
      </w:r>
      <w:r w:rsidR="00401E3D" w:rsidRPr="00DF475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st</w:t>
      </w:r>
      <w:r w:rsidR="00401E3D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, 2</w:t>
      </w:r>
      <w:r w:rsidR="00401E3D" w:rsidRPr="00DF475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nd</w:t>
      </w:r>
      <w:r w:rsidR="00A2759D" w:rsidRPr="00DF475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,</w:t>
      </w:r>
      <w:r w:rsidR="00401E3D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3</w:t>
      </w:r>
      <w:r w:rsidR="00401E3D" w:rsidRPr="00DF475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rd</w:t>
      </w:r>
      <w:r w:rsidR="00401E3D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respondents be and is hereby interdicted from interfering with the applicant’s mining activities </w:t>
      </w:r>
      <w:r w:rsidR="00372772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at Empress Mine.</w:t>
      </w:r>
    </w:p>
    <w:p w:rsidR="00F2570F" w:rsidRPr="00DF475A" w:rsidRDefault="00F2570F" w:rsidP="0034078F">
      <w:pPr>
        <w:spacing w:after="0" w:afterAutospacing="1" w:line="240" w:lineRule="auto"/>
        <w:ind w:left="1890" w:hanging="4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5. </w:t>
      </w:r>
      <w:r w:rsidR="001C5325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The applicant be and is hereby authorised to carry out mining activities at Empress Mine.</w:t>
      </w:r>
    </w:p>
    <w:p w:rsidR="00F2570F" w:rsidRPr="00DF475A" w:rsidRDefault="00F2570F" w:rsidP="0034078F">
      <w:pPr>
        <w:spacing w:after="0" w:afterAutospacing="1" w:line="240" w:lineRule="auto"/>
        <w:ind w:left="1890" w:hanging="4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6. </w:t>
      </w:r>
      <w:r w:rsidR="00334DDB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The 1</w:t>
      </w:r>
      <w:r w:rsidR="00334DDB" w:rsidRPr="00DF475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st</w:t>
      </w:r>
      <w:r w:rsidR="00334DDB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, 2</w:t>
      </w:r>
      <w:r w:rsidR="00334DDB" w:rsidRPr="00DF475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nd</w:t>
      </w:r>
      <w:r w:rsidR="00334DDB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, and 3</w:t>
      </w:r>
      <w:r w:rsidR="00334DDB" w:rsidRPr="00DF475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rd</w:t>
      </w:r>
      <w:r w:rsidR="00334DDB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respondents and all those claiming occupation through them be ejected from Empress Mine.</w:t>
      </w:r>
    </w:p>
    <w:p w:rsidR="00A96FD4" w:rsidRPr="00DF475A" w:rsidRDefault="00F2570F" w:rsidP="0034078F">
      <w:pPr>
        <w:spacing w:after="0" w:afterAutospacing="1" w:line="240" w:lineRule="auto"/>
        <w:ind w:left="180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7. </w:t>
      </w:r>
      <w:r w:rsidR="00A96FD4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The 1</w:t>
      </w:r>
      <w:r w:rsidR="00A96FD4" w:rsidRPr="00DF475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st</w:t>
      </w:r>
      <w:r w:rsidR="00A96FD4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, 2</w:t>
      </w:r>
      <w:r w:rsidR="00A96FD4" w:rsidRPr="00DF475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nd</w:t>
      </w:r>
      <w:r w:rsidR="00A96FD4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, and 3</w:t>
      </w:r>
      <w:r w:rsidR="00A96FD4" w:rsidRPr="00DF475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rd</w:t>
      </w:r>
      <w:r w:rsidR="00D83874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respondents shall </w:t>
      </w:r>
      <w:r w:rsidR="00A96FD4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pay the costs of this application jointly and severally the one p</w:t>
      </w:r>
      <w:r w:rsidR="008A634A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aying the other to be absolved.”</w:t>
      </w:r>
    </w:p>
    <w:p w:rsidR="001A5699" w:rsidRPr="00DF475A" w:rsidRDefault="001A5699" w:rsidP="001A5699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2570F" w:rsidRDefault="00F2570F" w:rsidP="001A5699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C259D" w:rsidRPr="00DF475A" w:rsidRDefault="002C259D" w:rsidP="001A5699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1A5699" w:rsidRPr="00DF475A" w:rsidRDefault="001A5699" w:rsidP="001A5699">
      <w:pPr>
        <w:spacing w:after="0" w:line="480" w:lineRule="auto"/>
        <w:ind w:left="1440"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b/>
          <w:sz w:val="24"/>
          <w:szCs w:val="24"/>
          <w:lang w:val="en-US"/>
        </w:rPr>
        <w:t>GWAUNZA DCJ</w:t>
      </w: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34078F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I agree</w:t>
      </w:r>
    </w:p>
    <w:p w:rsidR="001A5699" w:rsidRPr="00DF475A" w:rsidRDefault="001A5699" w:rsidP="001A5699">
      <w:pPr>
        <w:spacing w:after="0" w:line="48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A5699" w:rsidRPr="00DF475A" w:rsidRDefault="001A5699" w:rsidP="001A5699">
      <w:pPr>
        <w:spacing w:after="0" w:line="48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A5699" w:rsidRPr="00DF475A" w:rsidRDefault="000B6CD0" w:rsidP="001A5699">
      <w:pPr>
        <w:spacing w:after="0" w:line="480" w:lineRule="auto"/>
        <w:ind w:left="1440"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b/>
          <w:sz w:val="24"/>
          <w:szCs w:val="24"/>
          <w:lang w:val="en-US"/>
        </w:rPr>
        <w:t>KUDYA</w:t>
      </w:r>
      <w:r w:rsidR="001A5699" w:rsidRPr="00DF475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</w:t>
      </w:r>
      <w:r w:rsidRPr="00DF475A"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r w:rsidR="001A5699" w:rsidRPr="00DF475A">
        <w:rPr>
          <w:rFonts w:ascii="Times New Roman" w:eastAsia="Calibri" w:hAnsi="Times New Roman" w:cs="Times New Roman"/>
          <w:b/>
          <w:sz w:val="24"/>
          <w:szCs w:val="24"/>
          <w:lang w:val="en-US"/>
        </w:rPr>
        <w:t>JA</w:t>
      </w:r>
      <w:r w:rsidR="001A5699" w:rsidRPr="00DF475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1A5699" w:rsidRPr="00DF475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1A5699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34078F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I agree</w:t>
      </w:r>
    </w:p>
    <w:p w:rsidR="001A5699" w:rsidRPr="00DF475A" w:rsidRDefault="001A5699" w:rsidP="001A5699">
      <w:pPr>
        <w:spacing w:after="0" w:line="48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A5699" w:rsidRPr="00DF475A" w:rsidRDefault="001A5699" w:rsidP="001A5699">
      <w:pPr>
        <w:keepLines/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</w:p>
    <w:p w:rsidR="001A5699" w:rsidRDefault="001A5699" w:rsidP="001A5699">
      <w:pPr>
        <w:keepLines/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</w:p>
    <w:p w:rsidR="002C259D" w:rsidRDefault="002C259D" w:rsidP="001A5699">
      <w:pPr>
        <w:keepLines/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</w:p>
    <w:p w:rsidR="002C259D" w:rsidRDefault="002C259D" w:rsidP="001A5699">
      <w:pPr>
        <w:keepLines/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</w:p>
    <w:p w:rsidR="002C259D" w:rsidRDefault="002C259D" w:rsidP="001A5699">
      <w:pPr>
        <w:keepLines/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</w:p>
    <w:p w:rsidR="002C259D" w:rsidRDefault="002C259D" w:rsidP="001A5699">
      <w:pPr>
        <w:keepLines/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</w:p>
    <w:p w:rsidR="002C259D" w:rsidRPr="00DF475A" w:rsidRDefault="002C259D" w:rsidP="001A5699">
      <w:pPr>
        <w:keepLines/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</w:p>
    <w:p w:rsidR="0075309A" w:rsidRPr="00DF475A" w:rsidRDefault="0075309A" w:rsidP="0075309A">
      <w:pPr>
        <w:keepLines/>
        <w:spacing w:before="100" w:beforeAutospacing="1" w:after="100" w:afterAutospacing="1" w:line="48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Hussein, Ranchhod &amp; Co, </w:t>
      </w: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appellant’s legal practitioners</w:t>
      </w:r>
    </w:p>
    <w:p w:rsidR="0075309A" w:rsidRPr="00DF475A" w:rsidRDefault="0075309A" w:rsidP="0075309A">
      <w:pPr>
        <w:keepLine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i/>
          <w:sz w:val="24"/>
          <w:szCs w:val="24"/>
          <w:lang w:val="en-US"/>
        </w:rPr>
        <w:t>Webb, Low &amp; Barry Inc Ben Baron &amp; Partners</w:t>
      </w:r>
      <w:r w:rsidR="001A5699" w:rsidRPr="00DF475A">
        <w:rPr>
          <w:rFonts w:ascii="Times New Roman" w:eastAsia="Calibri" w:hAnsi="Times New Roman" w:cs="Times New Roman"/>
          <w:i/>
          <w:sz w:val="24"/>
          <w:szCs w:val="24"/>
          <w:lang w:val="en-US"/>
        </w:rPr>
        <w:t>,</w:t>
      </w:r>
      <w:r w:rsidR="001A5699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Pr="00DF475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st</w:t>
      </w: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respondent’s legal practitioners</w:t>
      </w:r>
    </w:p>
    <w:p w:rsidR="0075309A" w:rsidRPr="00DF475A" w:rsidRDefault="0075309A" w:rsidP="0075309A">
      <w:pPr>
        <w:keepLine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A5699" w:rsidRPr="00DF475A" w:rsidRDefault="0075309A" w:rsidP="001A5699">
      <w:pPr>
        <w:keepLines/>
        <w:spacing w:before="100" w:beforeAutospacing="1" w:after="100" w:afterAutospacing="1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F475A">
        <w:rPr>
          <w:rFonts w:ascii="Times New Roman" w:eastAsia="Calibri" w:hAnsi="Times New Roman" w:cs="Times New Roman"/>
          <w:i/>
          <w:sz w:val="24"/>
          <w:szCs w:val="24"/>
          <w:lang w:val="en-US"/>
        </w:rPr>
        <w:t>Makonese, Chambati &amp; Mataka</w:t>
      </w:r>
      <w:r w:rsidR="001A5699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Pr="00DF475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nd</w:t>
      </w:r>
      <w:r w:rsidR="00B42D25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1A5699" w:rsidRPr="00DF475A">
        <w:rPr>
          <w:rFonts w:ascii="Times New Roman" w:eastAsia="Calibri" w:hAnsi="Times New Roman" w:cs="Times New Roman"/>
          <w:sz w:val="24"/>
          <w:szCs w:val="24"/>
          <w:lang w:val="en-US"/>
        </w:rPr>
        <w:t>respondent’s legal practitioners</w:t>
      </w:r>
    </w:p>
    <w:p w:rsidR="00B606FF" w:rsidRPr="00DF475A" w:rsidRDefault="00B606FF">
      <w:pPr>
        <w:rPr>
          <w:rFonts w:ascii="Times New Roman" w:hAnsi="Times New Roman" w:cs="Times New Roman"/>
          <w:sz w:val="24"/>
          <w:szCs w:val="24"/>
        </w:rPr>
      </w:pPr>
    </w:p>
    <w:sectPr w:rsidR="00B606FF" w:rsidRPr="00DF475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7FB" w:rsidRDefault="001077FB" w:rsidP="00270731">
      <w:pPr>
        <w:spacing w:after="0" w:line="240" w:lineRule="auto"/>
      </w:pPr>
      <w:r>
        <w:separator/>
      </w:r>
    </w:p>
  </w:endnote>
  <w:endnote w:type="continuationSeparator" w:id="0">
    <w:p w:rsidR="001077FB" w:rsidRDefault="001077FB" w:rsidP="0027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7FB" w:rsidRDefault="001077FB" w:rsidP="00270731">
      <w:pPr>
        <w:spacing w:after="0" w:line="240" w:lineRule="auto"/>
      </w:pPr>
      <w:r>
        <w:separator/>
      </w:r>
    </w:p>
  </w:footnote>
  <w:footnote w:type="continuationSeparator" w:id="0">
    <w:p w:rsidR="001077FB" w:rsidRDefault="001077FB" w:rsidP="00270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731" w:rsidRPr="008A634A" w:rsidRDefault="008A634A" w:rsidP="008A634A">
    <w:pPr>
      <w:pStyle w:val="Header"/>
      <w:rPr>
        <w:rFonts w:ascii="Times New Roman" w:hAnsi="Times New Roman" w:cs="Times New Roman"/>
        <w:sz w:val="24"/>
        <w:szCs w:val="24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634A" w:rsidRPr="008A634A" w:rsidRDefault="008A634A" w:rsidP="008A634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</w:pPr>
                          <w:r w:rsidRPr="008A634A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 xml:space="preserve">Judgment No. SC </w:t>
                          </w:r>
                          <w:r w:rsidR="00C450CD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40</w:t>
                          </w:r>
                          <w:r w:rsidRPr="008A634A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/21</w:t>
                          </w:r>
                        </w:p>
                        <w:p w:rsidR="008A634A" w:rsidRPr="008A634A" w:rsidRDefault="008A634A" w:rsidP="008A634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</w:pPr>
                          <w:r w:rsidRPr="008A634A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ab/>
                          </w:r>
                          <w:r w:rsidRPr="008A634A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ab/>
                            <w:t>Civil Appeal No. SCB 209/20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:rsidR="008A634A" w:rsidRPr="008A634A" w:rsidRDefault="008A634A" w:rsidP="008A634A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</w:pPr>
                    <w:r w:rsidRPr="008A634A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 xml:space="preserve">Judgment No. SC </w:t>
                    </w:r>
                    <w:r w:rsidR="00C450CD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40</w:t>
                    </w:r>
                    <w:r w:rsidRPr="008A634A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/21</w:t>
                    </w:r>
                  </w:p>
                  <w:p w:rsidR="008A634A" w:rsidRPr="008A634A" w:rsidRDefault="008A634A" w:rsidP="008A634A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</w:pPr>
                    <w:r w:rsidRPr="008A634A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ab/>
                    </w:r>
                    <w:r w:rsidRPr="008A634A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ab/>
                      <w:t>Civil Appeal No. SCB 209/20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8A634A" w:rsidRDefault="008A634A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F4C1F" w:rsidRPr="00EF4C1F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a8d08d [1945]" stroked="f">
              <v:textbox style="mso-fit-shape-to-text:t" inset=",0,,0">
                <w:txbxContent>
                  <w:p w:rsidR="008A634A" w:rsidRDefault="008A634A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F4C1F" w:rsidRPr="00EF4C1F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8546A"/>
    <w:multiLevelType w:val="hybridMultilevel"/>
    <w:tmpl w:val="1292CF60"/>
    <w:lvl w:ilvl="0" w:tplc="4C2ED1A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3240" w:hanging="360"/>
      </w:pPr>
    </w:lvl>
    <w:lvl w:ilvl="2" w:tplc="3009001B" w:tentative="1">
      <w:start w:val="1"/>
      <w:numFmt w:val="lowerRoman"/>
      <w:lvlText w:val="%3."/>
      <w:lvlJc w:val="right"/>
      <w:pPr>
        <w:ind w:left="3960" w:hanging="180"/>
      </w:pPr>
    </w:lvl>
    <w:lvl w:ilvl="3" w:tplc="3009000F" w:tentative="1">
      <w:start w:val="1"/>
      <w:numFmt w:val="decimal"/>
      <w:lvlText w:val="%4."/>
      <w:lvlJc w:val="left"/>
      <w:pPr>
        <w:ind w:left="4680" w:hanging="360"/>
      </w:pPr>
    </w:lvl>
    <w:lvl w:ilvl="4" w:tplc="30090019" w:tentative="1">
      <w:start w:val="1"/>
      <w:numFmt w:val="lowerLetter"/>
      <w:lvlText w:val="%5."/>
      <w:lvlJc w:val="left"/>
      <w:pPr>
        <w:ind w:left="5400" w:hanging="360"/>
      </w:pPr>
    </w:lvl>
    <w:lvl w:ilvl="5" w:tplc="3009001B" w:tentative="1">
      <w:start w:val="1"/>
      <w:numFmt w:val="lowerRoman"/>
      <w:lvlText w:val="%6."/>
      <w:lvlJc w:val="right"/>
      <w:pPr>
        <w:ind w:left="6120" w:hanging="180"/>
      </w:pPr>
    </w:lvl>
    <w:lvl w:ilvl="6" w:tplc="3009000F" w:tentative="1">
      <w:start w:val="1"/>
      <w:numFmt w:val="decimal"/>
      <w:lvlText w:val="%7."/>
      <w:lvlJc w:val="left"/>
      <w:pPr>
        <w:ind w:left="6840" w:hanging="360"/>
      </w:pPr>
    </w:lvl>
    <w:lvl w:ilvl="7" w:tplc="30090019" w:tentative="1">
      <w:start w:val="1"/>
      <w:numFmt w:val="lowerLetter"/>
      <w:lvlText w:val="%8."/>
      <w:lvlJc w:val="left"/>
      <w:pPr>
        <w:ind w:left="7560" w:hanging="360"/>
      </w:pPr>
    </w:lvl>
    <w:lvl w:ilvl="8" w:tplc="3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4475643"/>
    <w:multiLevelType w:val="hybridMultilevel"/>
    <w:tmpl w:val="B4640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3711F"/>
    <w:multiLevelType w:val="hybridMultilevel"/>
    <w:tmpl w:val="759AFA8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zM1NDY1NLU0MbJU0lEKTi0uzszPAykwrAUAvVQLCiwAAAA="/>
  </w:docVars>
  <w:rsids>
    <w:rsidRoot w:val="001A5699"/>
    <w:rsid w:val="00057653"/>
    <w:rsid w:val="000B6CD0"/>
    <w:rsid w:val="001077FB"/>
    <w:rsid w:val="00182AE0"/>
    <w:rsid w:val="001A5699"/>
    <w:rsid w:val="001C5325"/>
    <w:rsid w:val="001D16DD"/>
    <w:rsid w:val="001E4F9F"/>
    <w:rsid w:val="002030D9"/>
    <w:rsid w:val="002564E1"/>
    <w:rsid w:val="00270731"/>
    <w:rsid w:val="002B2A83"/>
    <w:rsid w:val="002C259D"/>
    <w:rsid w:val="00334DDB"/>
    <w:rsid w:val="0034078F"/>
    <w:rsid w:val="00372772"/>
    <w:rsid w:val="003C318C"/>
    <w:rsid w:val="003F30E7"/>
    <w:rsid w:val="00401E3D"/>
    <w:rsid w:val="00433BEA"/>
    <w:rsid w:val="00443D55"/>
    <w:rsid w:val="00562711"/>
    <w:rsid w:val="00577C3F"/>
    <w:rsid w:val="005A71FB"/>
    <w:rsid w:val="006059F8"/>
    <w:rsid w:val="00613345"/>
    <w:rsid w:val="00695FEC"/>
    <w:rsid w:val="0075309A"/>
    <w:rsid w:val="007E13FF"/>
    <w:rsid w:val="008A634A"/>
    <w:rsid w:val="008C6E60"/>
    <w:rsid w:val="00942F8A"/>
    <w:rsid w:val="00981B1E"/>
    <w:rsid w:val="00A2759D"/>
    <w:rsid w:val="00A54F98"/>
    <w:rsid w:val="00A96FD4"/>
    <w:rsid w:val="00AE4927"/>
    <w:rsid w:val="00B42D25"/>
    <w:rsid w:val="00B606FF"/>
    <w:rsid w:val="00BD64E8"/>
    <w:rsid w:val="00C450CD"/>
    <w:rsid w:val="00C64900"/>
    <w:rsid w:val="00D83874"/>
    <w:rsid w:val="00DA3905"/>
    <w:rsid w:val="00DF475A"/>
    <w:rsid w:val="00E56CE0"/>
    <w:rsid w:val="00EF4C1F"/>
    <w:rsid w:val="00F2570F"/>
    <w:rsid w:val="00FE4B19"/>
    <w:rsid w:val="00FE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79343C-B232-4E09-8EFA-28591E76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731"/>
  </w:style>
  <w:style w:type="paragraph" w:styleId="Footer">
    <w:name w:val="footer"/>
    <w:basedOn w:val="Normal"/>
    <w:link w:val="FooterChar"/>
    <w:uiPriority w:val="99"/>
    <w:unhideWhenUsed/>
    <w:rsid w:val="00270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731"/>
  </w:style>
  <w:style w:type="paragraph" w:styleId="ListParagraph">
    <w:name w:val="List Paragraph"/>
    <w:basedOn w:val="Normal"/>
    <w:uiPriority w:val="34"/>
    <w:qFormat/>
    <w:rsid w:val="00613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account</cp:lastModifiedBy>
  <cp:revision>2</cp:revision>
  <cp:lastPrinted>2021-05-03T12:46:00Z</cp:lastPrinted>
  <dcterms:created xsi:type="dcterms:W3CDTF">2021-05-17T07:51:00Z</dcterms:created>
  <dcterms:modified xsi:type="dcterms:W3CDTF">2021-05-17T07:51:00Z</dcterms:modified>
</cp:coreProperties>
</file>