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6B3" w:rsidRDefault="001406B3" w:rsidP="001406B3">
      <w:pPr>
        <w:spacing w:line="360" w:lineRule="auto"/>
        <w:jc w:val="both"/>
        <w:rPr>
          <w:b/>
          <w:sz w:val="22"/>
          <w:szCs w:val="22"/>
        </w:rPr>
      </w:pPr>
      <w:r>
        <w:rPr>
          <w:b/>
          <w:sz w:val="22"/>
          <w:szCs w:val="22"/>
        </w:rPr>
        <w:t>IN THE LABOUR COURT OF ZIMBABWE</w:t>
      </w:r>
      <w:r>
        <w:rPr>
          <w:b/>
          <w:sz w:val="22"/>
          <w:szCs w:val="22"/>
        </w:rPr>
        <w:tab/>
        <w:t xml:space="preserve">                 JUDGMENT NO. LC/H/</w:t>
      </w:r>
      <w:r w:rsidR="00A36C35">
        <w:rPr>
          <w:b/>
          <w:sz w:val="22"/>
          <w:szCs w:val="22"/>
        </w:rPr>
        <w:t>297</w:t>
      </w:r>
      <w:r>
        <w:rPr>
          <w:b/>
          <w:sz w:val="22"/>
          <w:szCs w:val="22"/>
        </w:rPr>
        <w:t>/16</w:t>
      </w:r>
    </w:p>
    <w:p w:rsidR="001406B3" w:rsidRDefault="001406B3" w:rsidP="001406B3">
      <w:pPr>
        <w:spacing w:line="360" w:lineRule="auto"/>
        <w:jc w:val="both"/>
        <w:rPr>
          <w:b/>
          <w:sz w:val="22"/>
          <w:szCs w:val="22"/>
        </w:rPr>
      </w:pPr>
      <w:r>
        <w:rPr>
          <w:b/>
          <w:sz w:val="22"/>
          <w:szCs w:val="22"/>
        </w:rPr>
        <w:t>HARARE, 18 MARCH 2016</w:t>
      </w:r>
      <w:r>
        <w:rPr>
          <w:b/>
          <w:sz w:val="22"/>
          <w:szCs w:val="22"/>
        </w:rPr>
        <w:tab/>
      </w:r>
      <w:r>
        <w:rPr>
          <w:b/>
          <w:sz w:val="22"/>
          <w:szCs w:val="22"/>
        </w:rPr>
        <w:tab/>
      </w:r>
      <w:r>
        <w:rPr>
          <w:b/>
          <w:sz w:val="22"/>
          <w:szCs w:val="22"/>
        </w:rPr>
        <w:tab/>
      </w:r>
      <w:r>
        <w:rPr>
          <w:b/>
          <w:sz w:val="22"/>
          <w:szCs w:val="22"/>
        </w:rPr>
        <w:tab/>
        <w:t xml:space="preserve">      CASE NO. LC/H/</w:t>
      </w:r>
      <w:r w:rsidR="00FD238D">
        <w:rPr>
          <w:b/>
          <w:sz w:val="22"/>
          <w:szCs w:val="22"/>
        </w:rPr>
        <w:t>APP/1011/15</w:t>
      </w:r>
    </w:p>
    <w:p w:rsidR="001406B3" w:rsidRDefault="001406B3" w:rsidP="001406B3">
      <w:pPr>
        <w:spacing w:line="360" w:lineRule="auto"/>
        <w:jc w:val="both"/>
        <w:rPr>
          <w:b/>
          <w:sz w:val="22"/>
          <w:szCs w:val="22"/>
        </w:rPr>
      </w:pPr>
      <w:r>
        <w:rPr>
          <w:b/>
          <w:sz w:val="22"/>
          <w:szCs w:val="22"/>
        </w:rPr>
        <w:t xml:space="preserve">AND </w:t>
      </w:r>
      <w:r w:rsidR="00A36C35">
        <w:rPr>
          <w:b/>
          <w:sz w:val="22"/>
          <w:szCs w:val="22"/>
        </w:rPr>
        <w:t xml:space="preserve">13 </w:t>
      </w:r>
      <w:proofErr w:type="gramStart"/>
      <w:r w:rsidR="00A36C35">
        <w:rPr>
          <w:b/>
          <w:sz w:val="22"/>
          <w:szCs w:val="22"/>
        </w:rPr>
        <w:t>MAY</w:t>
      </w:r>
      <w:r w:rsidR="00FE578C">
        <w:rPr>
          <w:b/>
          <w:sz w:val="22"/>
          <w:szCs w:val="22"/>
        </w:rPr>
        <w:t xml:space="preserve"> </w:t>
      </w:r>
      <w:r>
        <w:rPr>
          <w:b/>
          <w:sz w:val="22"/>
          <w:szCs w:val="22"/>
        </w:rPr>
        <w:t xml:space="preserve"> 2016</w:t>
      </w:r>
      <w:proofErr w:type="gramEnd"/>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bookmarkStart w:id="0" w:name="_GoBack"/>
      <w:bookmarkEnd w:id="0"/>
    </w:p>
    <w:p w:rsidR="001406B3" w:rsidRDefault="001406B3" w:rsidP="001406B3">
      <w:pPr>
        <w:spacing w:line="360" w:lineRule="auto"/>
        <w:jc w:val="both"/>
      </w:pPr>
      <w:r>
        <w:t>In the matter between:-</w:t>
      </w:r>
    </w:p>
    <w:p w:rsidR="001406B3" w:rsidRDefault="001406B3" w:rsidP="001406B3">
      <w:pPr>
        <w:spacing w:line="360" w:lineRule="auto"/>
        <w:jc w:val="both"/>
      </w:pPr>
    </w:p>
    <w:p w:rsidR="001406B3" w:rsidRDefault="00492D11" w:rsidP="001406B3">
      <w:pPr>
        <w:spacing w:line="360" w:lineRule="auto"/>
        <w:jc w:val="both"/>
        <w:rPr>
          <w:b/>
        </w:rPr>
      </w:pPr>
      <w:r>
        <w:rPr>
          <w:b/>
        </w:rPr>
        <w:t xml:space="preserve">SONDIWA MATEMA </w:t>
      </w:r>
      <w:r w:rsidR="00EF2FC5">
        <w:rPr>
          <w:b/>
        </w:rPr>
        <w:tab/>
      </w:r>
      <w:r>
        <w:rPr>
          <w:b/>
        </w:rPr>
        <w:tab/>
      </w:r>
      <w:r>
        <w:rPr>
          <w:b/>
        </w:rPr>
        <w:tab/>
      </w:r>
      <w:r>
        <w:rPr>
          <w:b/>
        </w:rPr>
        <w:tab/>
      </w:r>
      <w:r>
        <w:rPr>
          <w:b/>
        </w:rPr>
        <w:tab/>
      </w:r>
      <w:r>
        <w:rPr>
          <w:b/>
        </w:rPr>
        <w:tab/>
        <w:t>1</w:t>
      </w:r>
      <w:r w:rsidRPr="00492D11">
        <w:rPr>
          <w:b/>
          <w:vertAlign w:val="superscript"/>
        </w:rPr>
        <w:t>st</w:t>
      </w:r>
      <w:r>
        <w:rPr>
          <w:b/>
        </w:rPr>
        <w:t xml:space="preserve"> Applicant</w:t>
      </w:r>
    </w:p>
    <w:p w:rsidR="001406B3" w:rsidRDefault="001406B3" w:rsidP="001406B3">
      <w:pPr>
        <w:spacing w:line="360" w:lineRule="auto"/>
        <w:jc w:val="both"/>
        <w:rPr>
          <w:sz w:val="22"/>
          <w:szCs w:val="22"/>
        </w:rPr>
      </w:pPr>
      <w:r>
        <w:rPr>
          <w:sz w:val="22"/>
          <w:szCs w:val="22"/>
        </w:rPr>
        <w:t>And</w:t>
      </w:r>
    </w:p>
    <w:p w:rsidR="00492D11" w:rsidRDefault="003D3685" w:rsidP="001406B3">
      <w:pPr>
        <w:spacing w:line="360" w:lineRule="auto"/>
        <w:jc w:val="both"/>
        <w:rPr>
          <w:b/>
          <w:sz w:val="22"/>
          <w:szCs w:val="22"/>
        </w:rPr>
      </w:pPr>
      <w:r>
        <w:rPr>
          <w:b/>
          <w:sz w:val="22"/>
          <w:szCs w:val="22"/>
        </w:rPr>
        <w:t>RUTH MIRISAU</w:t>
      </w:r>
      <w:r w:rsidR="00EF2FC5">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2</w:t>
      </w:r>
      <w:r w:rsidRPr="003D3685">
        <w:rPr>
          <w:b/>
          <w:sz w:val="22"/>
          <w:szCs w:val="22"/>
          <w:vertAlign w:val="superscript"/>
        </w:rPr>
        <w:t>nd</w:t>
      </w:r>
      <w:r>
        <w:rPr>
          <w:b/>
          <w:sz w:val="22"/>
          <w:szCs w:val="22"/>
        </w:rPr>
        <w:t xml:space="preserve"> Applicant</w:t>
      </w:r>
    </w:p>
    <w:p w:rsidR="003D3685" w:rsidRDefault="003D3685" w:rsidP="001406B3">
      <w:pPr>
        <w:spacing w:line="360" w:lineRule="auto"/>
        <w:jc w:val="both"/>
        <w:rPr>
          <w:sz w:val="22"/>
          <w:szCs w:val="22"/>
        </w:rPr>
      </w:pPr>
      <w:r w:rsidRPr="003D3685">
        <w:rPr>
          <w:sz w:val="22"/>
          <w:szCs w:val="22"/>
        </w:rPr>
        <w:t>And</w:t>
      </w:r>
    </w:p>
    <w:p w:rsidR="00B86C0A" w:rsidRDefault="00B86C0A" w:rsidP="001406B3">
      <w:pPr>
        <w:spacing w:line="360" w:lineRule="auto"/>
        <w:jc w:val="both"/>
        <w:rPr>
          <w:b/>
          <w:sz w:val="22"/>
          <w:szCs w:val="22"/>
        </w:rPr>
      </w:pPr>
      <w:r>
        <w:rPr>
          <w:b/>
          <w:sz w:val="22"/>
          <w:szCs w:val="22"/>
        </w:rPr>
        <w:t>MOSES TAKAWIRA</w:t>
      </w:r>
      <w:r w:rsidR="00EF2FC5">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sidRPr="00B86C0A">
        <w:rPr>
          <w:b/>
          <w:sz w:val="22"/>
          <w:szCs w:val="22"/>
          <w:vertAlign w:val="superscript"/>
        </w:rPr>
        <w:t>rd</w:t>
      </w:r>
      <w:r>
        <w:rPr>
          <w:b/>
          <w:sz w:val="22"/>
          <w:szCs w:val="22"/>
        </w:rPr>
        <w:t xml:space="preserve"> Applicant</w:t>
      </w:r>
    </w:p>
    <w:p w:rsidR="00B86C0A" w:rsidRDefault="00B86C0A" w:rsidP="001406B3">
      <w:pPr>
        <w:spacing w:line="360" w:lineRule="auto"/>
        <w:jc w:val="both"/>
        <w:rPr>
          <w:sz w:val="22"/>
          <w:szCs w:val="22"/>
        </w:rPr>
      </w:pPr>
      <w:r>
        <w:rPr>
          <w:sz w:val="22"/>
          <w:szCs w:val="22"/>
        </w:rPr>
        <w:t>And</w:t>
      </w:r>
    </w:p>
    <w:p w:rsidR="00B86C0A" w:rsidRDefault="00B86C0A" w:rsidP="001406B3">
      <w:pPr>
        <w:spacing w:line="360" w:lineRule="auto"/>
        <w:jc w:val="both"/>
        <w:rPr>
          <w:b/>
          <w:sz w:val="22"/>
          <w:szCs w:val="22"/>
        </w:rPr>
      </w:pPr>
      <w:r>
        <w:rPr>
          <w:b/>
          <w:sz w:val="22"/>
          <w:szCs w:val="22"/>
        </w:rPr>
        <w:t>NANTY MIKAEL</w:t>
      </w:r>
      <w:r w:rsidR="00EF2FC5">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4</w:t>
      </w:r>
      <w:r w:rsidRPr="00B86C0A">
        <w:rPr>
          <w:b/>
          <w:sz w:val="22"/>
          <w:szCs w:val="22"/>
          <w:vertAlign w:val="superscript"/>
        </w:rPr>
        <w:t>th</w:t>
      </w:r>
      <w:r>
        <w:rPr>
          <w:b/>
          <w:sz w:val="22"/>
          <w:szCs w:val="22"/>
        </w:rPr>
        <w:t xml:space="preserve"> Applicant</w:t>
      </w:r>
    </w:p>
    <w:p w:rsidR="00B86C0A" w:rsidRDefault="00114261" w:rsidP="001406B3">
      <w:pPr>
        <w:spacing w:line="360" w:lineRule="auto"/>
        <w:jc w:val="both"/>
        <w:rPr>
          <w:sz w:val="22"/>
          <w:szCs w:val="22"/>
        </w:rPr>
      </w:pPr>
      <w:r>
        <w:rPr>
          <w:sz w:val="22"/>
          <w:szCs w:val="22"/>
        </w:rPr>
        <w:t xml:space="preserve">And </w:t>
      </w:r>
    </w:p>
    <w:p w:rsidR="00114261" w:rsidRDefault="00114261" w:rsidP="001406B3">
      <w:pPr>
        <w:spacing w:line="360" w:lineRule="auto"/>
        <w:jc w:val="both"/>
        <w:rPr>
          <w:b/>
          <w:sz w:val="22"/>
          <w:szCs w:val="22"/>
        </w:rPr>
      </w:pPr>
      <w:r>
        <w:rPr>
          <w:b/>
          <w:sz w:val="22"/>
          <w:szCs w:val="22"/>
        </w:rPr>
        <w:t>LORAINE WISKOT</w:t>
      </w:r>
      <w:r w:rsidR="00EF2FC5">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5</w:t>
      </w:r>
      <w:r w:rsidRPr="00114261">
        <w:rPr>
          <w:b/>
          <w:sz w:val="22"/>
          <w:szCs w:val="22"/>
          <w:vertAlign w:val="superscript"/>
        </w:rPr>
        <w:t>th</w:t>
      </w:r>
      <w:r>
        <w:rPr>
          <w:b/>
          <w:sz w:val="22"/>
          <w:szCs w:val="22"/>
        </w:rPr>
        <w:t xml:space="preserve"> Applicant</w:t>
      </w:r>
    </w:p>
    <w:p w:rsidR="00114261" w:rsidRPr="00114261" w:rsidRDefault="00114261" w:rsidP="001406B3">
      <w:pPr>
        <w:spacing w:line="360" w:lineRule="auto"/>
        <w:jc w:val="both"/>
        <w:rPr>
          <w:sz w:val="22"/>
          <w:szCs w:val="22"/>
        </w:rPr>
      </w:pPr>
      <w:r w:rsidRPr="00114261">
        <w:rPr>
          <w:sz w:val="22"/>
          <w:szCs w:val="22"/>
        </w:rPr>
        <w:t>And</w:t>
      </w:r>
    </w:p>
    <w:p w:rsidR="001406B3" w:rsidRPr="00EF2FC5" w:rsidRDefault="003A24A5" w:rsidP="001406B3">
      <w:pPr>
        <w:spacing w:line="360" w:lineRule="auto"/>
        <w:jc w:val="both"/>
        <w:rPr>
          <w:b/>
          <w:sz w:val="22"/>
          <w:szCs w:val="22"/>
        </w:rPr>
      </w:pPr>
      <w:r w:rsidRPr="00EF2FC5">
        <w:rPr>
          <w:b/>
          <w:sz w:val="22"/>
          <w:szCs w:val="22"/>
        </w:rPr>
        <w:t>KEFALOS CHEESE PRODUCTS</w:t>
      </w:r>
      <w:r w:rsidR="00EF2FC5" w:rsidRPr="00EF2FC5">
        <w:rPr>
          <w:b/>
          <w:sz w:val="22"/>
          <w:szCs w:val="22"/>
        </w:rPr>
        <w:t xml:space="preserve"> (PVT) LTD</w:t>
      </w:r>
      <w:r w:rsidR="001406B3" w:rsidRPr="00EF2FC5">
        <w:rPr>
          <w:b/>
          <w:sz w:val="22"/>
          <w:szCs w:val="22"/>
        </w:rPr>
        <w:tab/>
      </w:r>
      <w:r w:rsidR="001406B3" w:rsidRPr="00EF2FC5">
        <w:rPr>
          <w:b/>
          <w:sz w:val="22"/>
          <w:szCs w:val="22"/>
        </w:rPr>
        <w:tab/>
      </w:r>
      <w:r w:rsidR="001406B3" w:rsidRPr="00EF2FC5">
        <w:rPr>
          <w:b/>
          <w:sz w:val="22"/>
          <w:szCs w:val="22"/>
        </w:rPr>
        <w:tab/>
        <w:t>Respondent</w:t>
      </w:r>
    </w:p>
    <w:p w:rsidR="001406B3" w:rsidRDefault="001406B3" w:rsidP="001406B3">
      <w:pPr>
        <w:spacing w:line="360" w:lineRule="auto"/>
        <w:jc w:val="both"/>
        <w:rPr>
          <w:b/>
        </w:rPr>
      </w:pPr>
    </w:p>
    <w:p w:rsidR="001406B3" w:rsidRDefault="001406B3" w:rsidP="001406B3">
      <w:pPr>
        <w:spacing w:line="360" w:lineRule="auto"/>
        <w:jc w:val="both"/>
      </w:pPr>
      <w:r>
        <w:t>Before The Honourable E. Muchawa, Judge</w:t>
      </w:r>
    </w:p>
    <w:p w:rsidR="001406B3" w:rsidRDefault="001406B3" w:rsidP="001406B3">
      <w:pPr>
        <w:spacing w:line="360" w:lineRule="auto"/>
        <w:jc w:val="both"/>
      </w:pPr>
    </w:p>
    <w:p w:rsidR="001406B3" w:rsidRDefault="001406B3" w:rsidP="001406B3">
      <w:pPr>
        <w:spacing w:line="360" w:lineRule="auto"/>
        <w:ind w:left="2880" w:hanging="2880"/>
        <w:jc w:val="both"/>
        <w:rPr>
          <w:b/>
        </w:rPr>
      </w:pPr>
      <w:r>
        <w:rPr>
          <w:b/>
        </w:rPr>
        <w:t xml:space="preserve">For </w:t>
      </w:r>
      <w:r w:rsidR="00EF2FC5">
        <w:rPr>
          <w:b/>
        </w:rPr>
        <w:t>Applicants</w:t>
      </w:r>
      <w:r>
        <w:rPr>
          <w:b/>
        </w:rPr>
        <w:tab/>
      </w:r>
      <w:r w:rsidR="00A509F5">
        <w:rPr>
          <w:b/>
        </w:rPr>
        <w:t>E. Mukwewa</w:t>
      </w:r>
      <w:r>
        <w:rPr>
          <w:b/>
        </w:rPr>
        <w:t xml:space="preserve"> (Legal Practitioner)</w:t>
      </w:r>
    </w:p>
    <w:p w:rsidR="001406B3" w:rsidRDefault="001406B3" w:rsidP="001406B3">
      <w:pPr>
        <w:spacing w:line="360" w:lineRule="auto"/>
        <w:ind w:left="2880" w:hanging="2880"/>
        <w:jc w:val="both"/>
        <w:rPr>
          <w:b/>
        </w:rPr>
      </w:pPr>
      <w:r>
        <w:rPr>
          <w:b/>
        </w:rPr>
        <w:t>For Respondent</w:t>
      </w:r>
      <w:r>
        <w:rPr>
          <w:b/>
        </w:rPr>
        <w:tab/>
      </w:r>
      <w:r w:rsidR="00A509F5">
        <w:rPr>
          <w:b/>
        </w:rPr>
        <w:t xml:space="preserve">I Chingarande </w:t>
      </w:r>
      <w:r>
        <w:rPr>
          <w:b/>
        </w:rPr>
        <w:t xml:space="preserve">(Legal </w:t>
      </w:r>
      <w:r w:rsidR="00A509F5">
        <w:rPr>
          <w:b/>
        </w:rPr>
        <w:t>Practitioner</w:t>
      </w:r>
      <w:r>
        <w:rPr>
          <w:b/>
        </w:rPr>
        <w:t>)</w:t>
      </w:r>
    </w:p>
    <w:p w:rsidR="001406B3" w:rsidRDefault="001406B3" w:rsidP="001406B3">
      <w:pPr>
        <w:spacing w:line="360" w:lineRule="auto"/>
        <w:ind w:left="2880" w:hanging="2880"/>
        <w:jc w:val="both"/>
        <w:rPr>
          <w:b/>
          <w:sz w:val="28"/>
          <w:szCs w:val="28"/>
        </w:rPr>
      </w:pPr>
    </w:p>
    <w:p w:rsidR="001406B3" w:rsidRDefault="001406B3" w:rsidP="001406B3">
      <w:pPr>
        <w:spacing w:line="360" w:lineRule="auto"/>
        <w:jc w:val="both"/>
        <w:rPr>
          <w:b/>
        </w:rPr>
      </w:pPr>
      <w:r>
        <w:rPr>
          <w:b/>
        </w:rPr>
        <w:t>MUCHAWA, J:</w:t>
      </w:r>
    </w:p>
    <w:p w:rsidR="00EF2FC5" w:rsidRDefault="00EF2FC5" w:rsidP="00887511">
      <w:pPr>
        <w:spacing w:line="360" w:lineRule="auto"/>
        <w:jc w:val="both"/>
      </w:pPr>
    </w:p>
    <w:p w:rsidR="00887511" w:rsidRDefault="00887511" w:rsidP="00887511">
      <w:pPr>
        <w:spacing w:line="360" w:lineRule="auto"/>
        <w:jc w:val="both"/>
      </w:pPr>
      <w:r>
        <w:tab/>
        <w:t>This is an application for rescission of judgment.</w:t>
      </w:r>
    </w:p>
    <w:p w:rsidR="00887511" w:rsidRDefault="00887511" w:rsidP="00364B8F">
      <w:pPr>
        <w:jc w:val="both"/>
      </w:pPr>
    </w:p>
    <w:p w:rsidR="00887511" w:rsidRDefault="00887511" w:rsidP="00887511">
      <w:pPr>
        <w:spacing w:line="360" w:lineRule="auto"/>
        <w:jc w:val="both"/>
      </w:pPr>
      <w:r>
        <w:tab/>
        <w:t>On the 21</w:t>
      </w:r>
      <w:r w:rsidRPr="00887511">
        <w:rPr>
          <w:vertAlign w:val="superscript"/>
        </w:rPr>
        <w:t>st</w:t>
      </w:r>
      <w:r>
        <w:t xml:space="preserve"> May 2015, the applicants filed an appeal with this court against a determination of an arbitrator from the National</w:t>
      </w:r>
      <w:r w:rsidR="00116EFE">
        <w:t xml:space="preserve"> </w:t>
      </w:r>
      <w:r w:rsidR="003A0997">
        <w:t>Employment Council</w:t>
      </w:r>
      <w:r w:rsidR="00116EFE">
        <w:t xml:space="preserve"> for Food and Allied Industries.  They were</w:t>
      </w:r>
      <w:r w:rsidR="00BA28C8">
        <w:t xml:space="preserve"> represented by Messrs Maeresera and Partners Legal Practitioners.</w:t>
      </w:r>
    </w:p>
    <w:p w:rsidR="00BA28C8" w:rsidRDefault="00BA28C8" w:rsidP="00887511">
      <w:pPr>
        <w:spacing w:line="360" w:lineRule="auto"/>
        <w:jc w:val="both"/>
      </w:pPr>
    </w:p>
    <w:p w:rsidR="00BA28C8" w:rsidRDefault="00BA28C8" w:rsidP="000B30EE">
      <w:pPr>
        <w:spacing w:line="360" w:lineRule="auto"/>
        <w:ind w:firstLine="720"/>
        <w:jc w:val="both"/>
      </w:pPr>
      <w:r>
        <w:lastRenderedPageBreak/>
        <w:t>T</w:t>
      </w:r>
      <w:r w:rsidR="0061148C">
        <w:t>he respondents filed a notice o</w:t>
      </w:r>
      <w:r>
        <w:t>f response to the appeal on the 11</w:t>
      </w:r>
      <w:r w:rsidRPr="00BA28C8">
        <w:rPr>
          <w:vertAlign w:val="superscript"/>
        </w:rPr>
        <w:t>th</w:t>
      </w:r>
      <w:r>
        <w:t xml:space="preserve"> of June 2015 and duly served a copy on the applicants’</w:t>
      </w:r>
      <w:r w:rsidR="0061148C">
        <w:t xml:space="preserve"> legal practitioners on the 15</w:t>
      </w:r>
      <w:r w:rsidR="0061148C" w:rsidRPr="0061148C">
        <w:rPr>
          <w:vertAlign w:val="superscript"/>
        </w:rPr>
        <w:t>th</w:t>
      </w:r>
      <w:r w:rsidR="0061148C">
        <w:t xml:space="preserve"> of June 2015.</w:t>
      </w:r>
    </w:p>
    <w:p w:rsidR="000B30EE" w:rsidRDefault="000B30EE" w:rsidP="00760483">
      <w:pPr>
        <w:ind w:firstLine="720"/>
        <w:jc w:val="both"/>
      </w:pPr>
    </w:p>
    <w:p w:rsidR="000B30EE" w:rsidRDefault="000B30EE" w:rsidP="000B30EE">
      <w:pPr>
        <w:spacing w:line="360" w:lineRule="auto"/>
        <w:ind w:firstLine="720"/>
        <w:jc w:val="both"/>
      </w:pPr>
      <w:r>
        <w:t>As the applicants were represented by a legal practitioner, they had an obligation to file heads of argument in terms of Rule 19 (1) (a) of the Labour Court Rules Statutory Instrument 59 of 2006; that is, within fourteen days of receiving the notice of response.  The applicants therefore had up to the 3</w:t>
      </w:r>
      <w:r w:rsidRPr="000B30EE">
        <w:rPr>
          <w:vertAlign w:val="superscript"/>
        </w:rPr>
        <w:t>rd</w:t>
      </w:r>
      <w:r>
        <w:t xml:space="preserve"> of July 2015 to file their heads of argument but only filed these on the 27</w:t>
      </w:r>
      <w:r w:rsidRPr="000B30EE">
        <w:rPr>
          <w:vertAlign w:val="superscript"/>
        </w:rPr>
        <w:t>th</w:t>
      </w:r>
      <w:r>
        <w:t xml:space="preserve"> July 2015.</w:t>
      </w:r>
    </w:p>
    <w:p w:rsidR="000A7071" w:rsidRDefault="000A7071" w:rsidP="00364B8F">
      <w:pPr>
        <w:ind w:firstLine="720"/>
        <w:jc w:val="both"/>
      </w:pPr>
    </w:p>
    <w:p w:rsidR="000A7071" w:rsidRDefault="000A7071" w:rsidP="000B30EE">
      <w:pPr>
        <w:spacing w:line="360" w:lineRule="auto"/>
        <w:ind w:firstLine="720"/>
        <w:jc w:val="both"/>
      </w:pPr>
      <w:r>
        <w:t>Meanwhile the respondent proceeded to seek for a dismissal of the appeal in terms of Rule 19 (3</w:t>
      </w:r>
      <w:r w:rsidR="00595960">
        <w:t>) (a) of the Labour Court Rules o</w:t>
      </w:r>
      <w:r>
        <w:t>n the 9</w:t>
      </w:r>
      <w:r w:rsidRPr="000A7071">
        <w:rPr>
          <w:vertAlign w:val="superscript"/>
        </w:rPr>
        <w:t>th</w:t>
      </w:r>
      <w:r>
        <w:t xml:space="preserve"> of July 2015, without notice to the other party as allowed by Rule 19 (4).</w:t>
      </w:r>
    </w:p>
    <w:p w:rsidR="000A7071" w:rsidRDefault="000A7071" w:rsidP="00760483">
      <w:pPr>
        <w:ind w:firstLine="720"/>
        <w:jc w:val="both"/>
      </w:pPr>
    </w:p>
    <w:p w:rsidR="000A7071" w:rsidRDefault="000A7071" w:rsidP="000B30EE">
      <w:pPr>
        <w:spacing w:line="360" w:lineRule="auto"/>
        <w:ind w:firstLine="720"/>
        <w:jc w:val="both"/>
      </w:pPr>
      <w:r>
        <w:t>On the 29</w:t>
      </w:r>
      <w:r w:rsidRPr="000A7071">
        <w:rPr>
          <w:vertAlign w:val="superscript"/>
        </w:rPr>
        <w:t>th</w:t>
      </w:r>
      <w:r>
        <w:t xml:space="preserve"> of July 2015 this court </w:t>
      </w:r>
      <w:r w:rsidR="007B46A3">
        <w:t>duly dismissed the appeal as requested by the respondent.</w:t>
      </w:r>
    </w:p>
    <w:p w:rsidR="007B46A3" w:rsidRDefault="007B46A3" w:rsidP="00760483">
      <w:pPr>
        <w:ind w:firstLine="720"/>
        <w:jc w:val="both"/>
      </w:pPr>
    </w:p>
    <w:p w:rsidR="007B46A3" w:rsidRDefault="007B46A3" w:rsidP="000B30EE">
      <w:pPr>
        <w:spacing w:line="360" w:lineRule="auto"/>
        <w:ind w:firstLine="720"/>
        <w:jc w:val="both"/>
      </w:pPr>
      <w:r>
        <w:t>This is why the applicants have made this application for rescission of judgment.</w:t>
      </w:r>
    </w:p>
    <w:p w:rsidR="007B46A3" w:rsidRDefault="007B46A3" w:rsidP="00760483">
      <w:pPr>
        <w:ind w:firstLine="720"/>
        <w:jc w:val="both"/>
      </w:pPr>
    </w:p>
    <w:p w:rsidR="007B46A3" w:rsidRDefault="007B46A3" w:rsidP="000B30EE">
      <w:pPr>
        <w:spacing w:line="360" w:lineRule="auto"/>
        <w:ind w:firstLine="720"/>
        <w:jc w:val="both"/>
      </w:pPr>
      <w:r>
        <w:t xml:space="preserve">The factors to be </w:t>
      </w:r>
      <w:r w:rsidR="003F2754">
        <w:t>considered in deciding whether a default judgment should be rescinded are:-</w:t>
      </w:r>
    </w:p>
    <w:p w:rsidR="003F2754" w:rsidRDefault="003F2754" w:rsidP="00760483">
      <w:pPr>
        <w:jc w:val="both"/>
      </w:pPr>
    </w:p>
    <w:p w:rsidR="003F2754" w:rsidRDefault="00BA7F2F" w:rsidP="003F2754">
      <w:pPr>
        <w:pStyle w:val="ListParagraph"/>
        <w:numPr>
          <w:ilvl w:val="0"/>
          <w:numId w:val="2"/>
        </w:numPr>
        <w:spacing w:line="360" w:lineRule="auto"/>
        <w:jc w:val="both"/>
      </w:pPr>
      <w:r>
        <w:t>the reasonableness of the applicants’</w:t>
      </w:r>
      <w:r w:rsidR="00AE3F31">
        <w:t xml:space="preserve"> </w:t>
      </w:r>
      <w:r>
        <w:t>explanation for the default.</w:t>
      </w:r>
    </w:p>
    <w:p w:rsidR="00BA7F2F" w:rsidRDefault="00AE3F31" w:rsidP="003F2754">
      <w:pPr>
        <w:pStyle w:val="ListParagraph"/>
        <w:numPr>
          <w:ilvl w:val="0"/>
          <w:numId w:val="2"/>
        </w:numPr>
        <w:spacing w:line="360" w:lineRule="auto"/>
        <w:jc w:val="both"/>
      </w:pPr>
      <w:r>
        <w:t>t</w:t>
      </w:r>
      <w:r w:rsidR="0026330F">
        <w:t>he bona fide</w:t>
      </w:r>
      <w:r w:rsidR="00BA7F2F">
        <w:t xml:space="preserve">s </w:t>
      </w:r>
      <w:r>
        <w:t>of the application to rescind the judgment, and</w:t>
      </w:r>
    </w:p>
    <w:p w:rsidR="00AE3F31" w:rsidRDefault="00AE3F31" w:rsidP="003F2754">
      <w:pPr>
        <w:pStyle w:val="ListParagraph"/>
        <w:numPr>
          <w:ilvl w:val="0"/>
          <w:numId w:val="2"/>
        </w:numPr>
        <w:spacing w:line="360" w:lineRule="auto"/>
        <w:jc w:val="both"/>
      </w:pPr>
      <w:r>
        <w:t>the bona fides of the</w:t>
      </w:r>
      <w:r w:rsidR="003F205B">
        <w:t xml:space="preserve"> defence on the merits of the case and whether the defence carries some prospects of success.</w:t>
      </w:r>
    </w:p>
    <w:p w:rsidR="00066800" w:rsidRDefault="00066800" w:rsidP="00760483">
      <w:pPr>
        <w:jc w:val="both"/>
      </w:pPr>
    </w:p>
    <w:p w:rsidR="00066800" w:rsidRDefault="00066800" w:rsidP="00066800">
      <w:pPr>
        <w:spacing w:line="360" w:lineRule="auto"/>
        <w:jc w:val="both"/>
      </w:pPr>
      <w:r>
        <w:t xml:space="preserve">See </w:t>
      </w:r>
      <w:r w:rsidRPr="00386D58">
        <w:rPr>
          <w:i/>
        </w:rPr>
        <w:t xml:space="preserve">Stockil </w:t>
      </w:r>
      <w:r>
        <w:t xml:space="preserve">v </w:t>
      </w:r>
      <w:r w:rsidRPr="00386D58">
        <w:rPr>
          <w:i/>
        </w:rPr>
        <w:t>Griffiths</w:t>
      </w:r>
      <w:r>
        <w:t xml:space="preserve"> 1992 (1) ZLR 172 (SC).</w:t>
      </w:r>
    </w:p>
    <w:p w:rsidR="00066800" w:rsidRDefault="00066800" w:rsidP="00760483">
      <w:pPr>
        <w:jc w:val="both"/>
      </w:pPr>
    </w:p>
    <w:p w:rsidR="00066800" w:rsidRDefault="00066800" w:rsidP="003C1836">
      <w:pPr>
        <w:spacing w:line="360" w:lineRule="auto"/>
        <w:ind w:firstLine="720"/>
        <w:jc w:val="both"/>
      </w:pPr>
      <w:r>
        <w:t>I turn to apply the law to the facts of this case.</w:t>
      </w:r>
    </w:p>
    <w:p w:rsidR="003C1836" w:rsidRDefault="003C1836" w:rsidP="00760483">
      <w:pPr>
        <w:ind w:firstLine="720"/>
        <w:jc w:val="both"/>
      </w:pPr>
    </w:p>
    <w:p w:rsidR="003C1836" w:rsidRPr="008408D9" w:rsidRDefault="00386D58" w:rsidP="003C1836">
      <w:pPr>
        <w:spacing w:line="360" w:lineRule="auto"/>
        <w:ind w:firstLine="720"/>
        <w:jc w:val="both"/>
        <w:rPr>
          <w:u w:val="single"/>
        </w:rPr>
      </w:pPr>
      <w:r w:rsidRPr="008408D9">
        <w:rPr>
          <w:u w:val="single"/>
        </w:rPr>
        <w:t>Explanation</w:t>
      </w:r>
      <w:r w:rsidR="003C1836" w:rsidRPr="008408D9">
        <w:rPr>
          <w:u w:val="single"/>
        </w:rPr>
        <w:t xml:space="preserve"> for the default</w:t>
      </w:r>
    </w:p>
    <w:p w:rsidR="003C1836" w:rsidRDefault="003C1836" w:rsidP="008408D9">
      <w:pPr>
        <w:ind w:firstLine="720"/>
        <w:jc w:val="both"/>
      </w:pPr>
    </w:p>
    <w:p w:rsidR="003C1836" w:rsidRDefault="003C1836" w:rsidP="003C1836">
      <w:pPr>
        <w:spacing w:line="360" w:lineRule="auto"/>
        <w:ind w:firstLine="720"/>
        <w:jc w:val="both"/>
      </w:pPr>
      <w:r>
        <w:lastRenderedPageBreak/>
        <w:t xml:space="preserve">The </w:t>
      </w:r>
      <w:r w:rsidR="003E5B4B">
        <w:t>applicants’ explanation</w:t>
      </w:r>
      <w:r>
        <w:t xml:space="preserve"> for the non compliance with timeous filing of heads of argument is that </w:t>
      </w:r>
      <w:r w:rsidR="003E5B4B">
        <w:t>the five applicants</w:t>
      </w:r>
      <w:r w:rsidR="004D3E1D">
        <w:t xml:space="preserve"> who have been out of employment for nearly four years failed to timeously raise the fees required by their legal practitioners.</w:t>
      </w:r>
    </w:p>
    <w:p w:rsidR="00765CA9" w:rsidRDefault="00765CA9" w:rsidP="00232443">
      <w:pPr>
        <w:ind w:firstLine="720"/>
        <w:jc w:val="both"/>
      </w:pPr>
    </w:p>
    <w:p w:rsidR="00765CA9" w:rsidRDefault="00765CA9" w:rsidP="003C1836">
      <w:pPr>
        <w:spacing w:line="360" w:lineRule="auto"/>
        <w:ind w:firstLine="720"/>
        <w:jc w:val="both"/>
      </w:pPr>
      <w:r>
        <w:t>The respondent counter argues that this is not a reasonable and acceptable explanation as their heads of argument were subsequently then filed by the same law firm whom they allege they could not</w:t>
      </w:r>
      <w:r w:rsidR="00E32CBB">
        <w:t xml:space="preserve"> pay.  It is pointed out that </w:t>
      </w:r>
      <w:r w:rsidR="00E06AB3">
        <w:t>the legal representatives could</w:t>
      </w:r>
      <w:r w:rsidR="00E32CBB">
        <w:t xml:space="preserve"> have renounced agency so as to remove the obligation to file heads of argument in terms of Rule 19.</w:t>
      </w:r>
    </w:p>
    <w:p w:rsidR="00E32CBB" w:rsidRDefault="00E32CBB" w:rsidP="00232443">
      <w:pPr>
        <w:ind w:firstLine="720"/>
        <w:jc w:val="both"/>
      </w:pPr>
    </w:p>
    <w:p w:rsidR="00E32CBB" w:rsidRDefault="00D07847" w:rsidP="003C1836">
      <w:pPr>
        <w:spacing w:line="360" w:lineRule="auto"/>
        <w:ind w:firstLine="720"/>
        <w:jc w:val="both"/>
      </w:pPr>
      <w:r>
        <w:t>It is contended that the behavior of the applicants and their legal</w:t>
      </w:r>
      <w:r w:rsidR="004F0D34">
        <w:t xml:space="preserve"> representatives is a perfect example of willful default as set out by McNally JA (as he then was</w:t>
      </w:r>
      <w:r w:rsidR="00F52863">
        <w:t>)</w:t>
      </w:r>
      <w:r w:rsidR="004F0D34">
        <w:t xml:space="preserve"> wherein he said</w:t>
      </w:r>
      <w:r w:rsidR="00E54561">
        <w:t>;</w:t>
      </w:r>
    </w:p>
    <w:p w:rsidR="00E54561" w:rsidRDefault="00E54561" w:rsidP="00232443">
      <w:pPr>
        <w:ind w:firstLine="720"/>
        <w:jc w:val="both"/>
      </w:pPr>
    </w:p>
    <w:p w:rsidR="00E54561" w:rsidRPr="00232443" w:rsidRDefault="00E54561" w:rsidP="00232443">
      <w:pPr>
        <w:spacing w:line="276" w:lineRule="auto"/>
        <w:ind w:left="720"/>
        <w:jc w:val="both"/>
        <w:rPr>
          <w:sz w:val="22"/>
          <w:szCs w:val="22"/>
        </w:rPr>
      </w:pPr>
      <w:r w:rsidRPr="00232443">
        <w:rPr>
          <w:sz w:val="22"/>
          <w:szCs w:val="22"/>
        </w:rPr>
        <w:t>“Wilful default occurs when a party, with full knowledge of the service or set down of the matter and of the risks attenda</w:t>
      </w:r>
      <w:r w:rsidR="00A73F5D" w:rsidRPr="00232443">
        <w:rPr>
          <w:sz w:val="22"/>
          <w:szCs w:val="22"/>
        </w:rPr>
        <w:t>nt upon default, freely takes a decision to refrain from appearing.”</w:t>
      </w:r>
    </w:p>
    <w:p w:rsidR="00A73F5D" w:rsidRDefault="00A73F5D" w:rsidP="00E365A8">
      <w:pPr>
        <w:ind w:firstLine="720"/>
        <w:jc w:val="both"/>
      </w:pPr>
    </w:p>
    <w:p w:rsidR="00A73F5D" w:rsidRDefault="00A73F5D" w:rsidP="003C1836">
      <w:pPr>
        <w:spacing w:line="360" w:lineRule="auto"/>
        <w:ind w:firstLine="720"/>
        <w:jc w:val="both"/>
      </w:pPr>
      <w:r>
        <w:t xml:space="preserve">I was urged to visit the results of the lack of diligence of the </w:t>
      </w:r>
      <w:r w:rsidR="00142438">
        <w:t>attorney onto the litigant as the attorney is the representative whom the litigant has chosen for himself.</w:t>
      </w:r>
    </w:p>
    <w:p w:rsidR="00142438" w:rsidRDefault="00142438" w:rsidP="00E365A8">
      <w:pPr>
        <w:ind w:firstLine="720"/>
        <w:jc w:val="both"/>
      </w:pPr>
    </w:p>
    <w:p w:rsidR="00142438" w:rsidRDefault="00142438" w:rsidP="003C1836">
      <w:pPr>
        <w:spacing w:line="360" w:lineRule="auto"/>
        <w:ind w:firstLine="720"/>
        <w:jc w:val="both"/>
        <w:rPr>
          <w:lang w:val="en-ZW"/>
        </w:rPr>
      </w:pPr>
      <w:r>
        <w:t xml:space="preserve">In assessing the reasonableness of the explanation tendered I associate myself with the reasoning of Ndou J in </w:t>
      </w:r>
      <w:r w:rsidRPr="00E365A8">
        <w:rPr>
          <w:i/>
        </w:rPr>
        <w:t>Madzi</w:t>
      </w:r>
      <w:r w:rsidR="001052AD" w:rsidRPr="00E365A8">
        <w:rPr>
          <w:i/>
        </w:rPr>
        <w:t xml:space="preserve">vanzira &amp; 2 </w:t>
      </w:r>
      <w:r w:rsidR="001052AD" w:rsidRPr="00E365A8">
        <w:rPr>
          <w:i/>
          <w:lang w:val="en-ZW"/>
        </w:rPr>
        <w:t>ORS</w:t>
      </w:r>
      <w:r w:rsidR="001052AD">
        <w:rPr>
          <w:lang w:val="en-ZW"/>
        </w:rPr>
        <w:t xml:space="preserve"> v </w:t>
      </w:r>
      <w:r w:rsidR="001052AD" w:rsidRPr="00037232">
        <w:rPr>
          <w:i/>
          <w:u w:val="single"/>
          <w:lang w:val="en-ZW"/>
        </w:rPr>
        <w:t>Dexprint Investment</w:t>
      </w:r>
      <w:r w:rsidR="001052AD" w:rsidRPr="00E365A8">
        <w:rPr>
          <w:u w:val="single"/>
          <w:lang w:val="en-ZW"/>
        </w:rPr>
        <w:t xml:space="preserve"> </w:t>
      </w:r>
      <w:r w:rsidR="001052AD" w:rsidRPr="00037232">
        <w:rPr>
          <w:i/>
          <w:u w:val="single"/>
          <w:lang w:val="en-ZW"/>
        </w:rPr>
        <w:t>(Pvt) Ltd</w:t>
      </w:r>
      <w:r w:rsidR="001052AD">
        <w:rPr>
          <w:lang w:val="en-ZW"/>
        </w:rPr>
        <w:t xml:space="preserve"> HH 145-2002 who in considering the urgency of a matter brought to him noted</w:t>
      </w:r>
      <w:r w:rsidR="004433EE">
        <w:rPr>
          <w:lang w:val="en-ZW"/>
        </w:rPr>
        <w:t xml:space="preserve"> that that all matters that come before the courts are without doubt dealing with prejudice or potenti</w:t>
      </w:r>
      <w:r w:rsidR="007812C9">
        <w:rPr>
          <w:lang w:val="en-ZW"/>
        </w:rPr>
        <w:t xml:space="preserve">al prejudice to the plaintiff or applicant in one </w:t>
      </w:r>
      <w:r w:rsidR="00F426D2">
        <w:rPr>
          <w:lang w:val="en-ZW"/>
        </w:rPr>
        <w:t>way or another but not all of them qualified to be dealt with as urgent.</w:t>
      </w:r>
    </w:p>
    <w:p w:rsidR="00F426D2" w:rsidRDefault="00F426D2" w:rsidP="00037232">
      <w:pPr>
        <w:ind w:firstLine="720"/>
        <w:jc w:val="both"/>
        <w:rPr>
          <w:lang w:val="en-ZW"/>
        </w:rPr>
      </w:pPr>
    </w:p>
    <w:p w:rsidR="00F426D2" w:rsidRDefault="00F65AE8" w:rsidP="003C1836">
      <w:pPr>
        <w:spacing w:line="360" w:lineRule="auto"/>
        <w:ind w:firstLine="720"/>
        <w:jc w:val="both"/>
        <w:rPr>
          <w:lang w:val="en-ZW"/>
        </w:rPr>
      </w:pPr>
      <w:r>
        <w:rPr>
          <w:lang w:val="en-ZW"/>
        </w:rPr>
        <w:t>In similar manner, most labour matters involve parties who may have lost their jobs and struggle to raise legal fees.  They have the option of engaging legal practitioners</w:t>
      </w:r>
      <w:r w:rsidR="006475B4">
        <w:rPr>
          <w:lang w:val="en-ZW"/>
        </w:rPr>
        <w:t>, securing</w:t>
      </w:r>
      <w:r w:rsidR="00201A36">
        <w:rPr>
          <w:lang w:val="en-ZW"/>
        </w:rPr>
        <w:t xml:space="preserve"> the services of their trade union representatives or being self actors.  The question of legal fees then becomes a question </w:t>
      </w:r>
      <w:r w:rsidR="00973CE6">
        <w:rPr>
          <w:lang w:val="en-ZW"/>
        </w:rPr>
        <w:t xml:space="preserve">of one’s </w:t>
      </w:r>
      <w:r w:rsidR="00C776C5">
        <w:rPr>
          <w:lang w:val="en-ZW"/>
        </w:rPr>
        <w:t>priorities</w:t>
      </w:r>
      <w:r w:rsidR="00973CE6">
        <w:rPr>
          <w:lang w:val="en-ZW"/>
        </w:rPr>
        <w:t xml:space="preserve">.  In casu there are five applicants involved in one matter who had </w:t>
      </w:r>
      <w:r w:rsidR="00C776C5">
        <w:rPr>
          <w:lang w:val="en-ZW"/>
        </w:rPr>
        <w:t>t</w:t>
      </w:r>
      <w:r w:rsidR="00973CE6">
        <w:rPr>
          <w:lang w:val="en-ZW"/>
        </w:rPr>
        <w:t xml:space="preserve">o pool resources.  It </w:t>
      </w:r>
      <w:r w:rsidR="00973CE6">
        <w:rPr>
          <w:lang w:val="en-ZW"/>
        </w:rPr>
        <w:lastRenderedPageBreak/>
        <w:t>appears to me they sim</w:t>
      </w:r>
      <w:r w:rsidR="00C776C5">
        <w:rPr>
          <w:lang w:val="en-ZW"/>
        </w:rPr>
        <w:t>ply did not prioritise their appeal matter yet they we</w:t>
      </w:r>
      <w:r w:rsidR="00FF3DF6">
        <w:rPr>
          <w:lang w:val="en-ZW"/>
        </w:rPr>
        <w:t>re well aware of the Rules regarding filing of heads of argument as they once prosecuted a matter related to this in 2012 to 2013.  That matter was then referred to the Supreme Court in November 2014</w:t>
      </w:r>
      <w:r w:rsidR="00423BE6">
        <w:rPr>
          <w:lang w:val="en-ZW"/>
        </w:rPr>
        <w:t xml:space="preserve"> where it was withdrawn and this current matter was then prosecuted all the way from the Labour Office.  At all material times, the applicants were </w:t>
      </w:r>
      <w:r w:rsidR="00BC3394">
        <w:rPr>
          <w:lang w:val="en-ZW"/>
        </w:rPr>
        <w:t>represented by their same chosen attorneys.</w:t>
      </w:r>
    </w:p>
    <w:p w:rsidR="00BC3394" w:rsidRDefault="00BC3394" w:rsidP="00E365A8">
      <w:pPr>
        <w:ind w:firstLine="720"/>
        <w:jc w:val="both"/>
        <w:rPr>
          <w:lang w:val="en-ZW"/>
        </w:rPr>
      </w:pPr>
    </w:p>
    <w:p w:rsidR="00BC3394" w:rsidRDefault="00BC3394" w:rsidP="003C1836">
      <w:pPr>
        <w:spacing w:line="360" w:lineRule="auto"/>
        <w:ind w:firstLine="720"/>
        <w:jc w:val="both"/>
        <w:rPr>
          <w:lang w:val="en-ZW"/>
        </w:rPr>
      </w:pPr>
      <w:r>
        <w:rPr>
          <w:lang w:val="en-ZW"/>
        </w:rPr>
        <w:t>In my considered opinion, the applicants have not tendered a reasonable</w:t>
      </w:r>
      <w:r w:rsidR="00AC16C4">
        <w:rPr>
          <w:lang w:val="en-ZW"/>
        </w:rPr>
        <w:t xml:space="preserve"> explanation for their non compliance with the rules, in circumstances where such non compliance amounts to wilful default.</w:t>
      </w:r>
    </w:p>
    <w:p w:rsidR="00AC16C4" w:rsidRDefault="00AC16C4" w:rsidP="00E365A8">
      <w:pPr>
        <w:ind w:firstLine="720"/>
        <w:jc w:val="both"/>
        <w:rPr>
          <w:lang w:val="en-ZW"/>
        </w:rPr>
      </w:pPr>
    </w:p>
    <w:p w:rsidR="0026330F" w:rsidRPr="00E365A8" w:rsidRDefault="0026330F" w:rsidP="003C1836">
      <w:pPr>
        <w:spacing w:line="360" w:lineRule="auto"/>
        <w:ind w:firstLine="720"/>
        <w:jc w:val="both"/>
        <w:rPr>
          <w:u w:val="single"/>
          <w:lang w:val="en-ZW"/>
        </w:rPr>
      </w:pPr>
      <w:r w:rsidRPr="00E365A8">
        <w:rPr>
          <w:u w:val="single"/>
          <w:lang w:val="en-ZW"/>
        </w:rPr>
        <w:t>Bonafides of application for rescission</w:t>
      </w:r>
    </w:p>
    <w:p w:rsidR="008F166C" w:rsidRDefault="008F166C" w:rsidP="00E365A8">
      <w:pPr>
        <w:ind w:firstLine="720"/>
        <w:jc w:val="both"/>
        <w:rPr>
          <w:lang w:val="en-ZW"/>
        </w:rPr>
      </w:pPr>
    </w:p>
    <w:p w:rsidR="008F166C" w:rsidRDefault="008F166C" w:rsidP="003C1836">
      <w:pPr>
        <w:spacing w:line="360" w:lineRule="auto"/>
        <w:ind w:firstLine="720"/>
        <w:jc w:val="both"/>
        <w:rPr>
          <w:lang w:val="en-ZW"/>
        </w:rPr>
      </w:pPr>
      <w:r>
        <w:rPr>
          <w:lang w:val="en-ZW"/>
        </w:rPr>
        <w:t xml:space="preserve">It is the </w:t>
      </w:r>
      <w:r w:rsidR="00082414">
        <w:rPr>
          <w:lang w:val="en-ZW"/>
        </w:rPr>
        <w:t>applicants’ case</w:t>
      </w:r>
      <w:r>
        <w:rPr>
          <w:lang w:val="en-ZW"/>
        </w:rPr>
        <w:t xml:space="preserve"> that they took no time to approach this court and that this court should not determine this matter </w:t>
      </w:r>
      <w:r w:rsidR="00037232">
        <w:rPr>
          <w:lang w:val="en-ZW"/>
        </w:rPr>
        <w:t>on</w:t>
      </w:r>
      <w:r>
        <w:rPr>
          <w:lang w:val="en-ZW"/>
        </w:rPr>
        <w:t xml:space="preserve"> </w:t>
      </w:r>
      <w:r w:rsidR="00420FD1">
        <w:rPr>
          <w:lang w:val="en-ZW"/>
        </w:rPr>
        <w:t xml:space="preserve">technicalities, but rather on the merits as enunciated in the matter of </w:t>
      </w:r>
      <w:r w:rsidR="00420FD1" w:rsidRPr="00082414">
        <w:rPr>
          <w:i/>
          <w:lang w:val="en-ZW"/>
        </w:rPr>
        <w:t>Dalny Mine</w:t>
      </w:r>
      <w:r w:rsidR="00420FD1">
        <w:rPr>
          <w:lang w:val="en-ZW"/>
        </w:rPr>
        <w:t xml:space="preserve"> v </w:t>
      </w:r>
      <w:r w:rsidR="00420FD1" w:rsidRPr="00082414">
        <w:rPr>
          <w:i/>
          <w:lang w:val="en-ZW"/>
        </w:rPr>
        <w:t>Banda</w:t>
      </w:r>
      <w:r w:rsidR="00420FD1">
        <w:rPr>
          <w:lang w:val="en-ZW"/>
        </w:rPr>
        <w:t xml:space="preserve"> 1999 (1) ZLR 220 (SC).</w:t>
      </w:r>
    </w:p>
    <w:p w:rsidR="00082414" w:rsidRDefault="00082414" w:rsidP="00E365A8">
      <w:pPr>
        <w:ind w:firstLine="720"/>
        <w:jc w:val="both"/>
        <w:rPr>
          <w:lang w:val="en-ZW"/>
        </w:rPr>
      </w:pPr>
    </w:p>
    <w:p w:rsidR="00082414" w:rsidRDefault="00082414" w:rsidP="003C1836">
      <w:pPr>
        <w:spacing w:line="360" w:lineRule="auto"/>
        <w:ind w:firstLine="720"/>
        <w:jc w:val="both"/>
        <w:rPr>
          <w:lang w:val="en-ZW"/>
        </w:rPr>
      </w:pPr>
      <w:r>
        <w:rPr>
          <w:lang w:val="en-ZW"/>
        </w:rPr>
        <w:t xml:space="preserve">On the other hand the respondent argues that the application has not been made in good faith.  I was referred to the case of </w:t>
      </w:r>
      <w:r w:rsidRPr="007F76D6">
        <w:rPr>
          <w:i/>
          <w:lang w:val="en-ZW"/>
        </w:rPr>
        <w:t>Khumalo</w:t>
      </w:r>
      <w:r>
        <w:rPr>
          <w:lang w:val="en-ZW"/>
        </w:rPr>
        <w:t xml:space="preserve"> v </w:t>
      </w:r>
      <w:r w:rsidRPr="007F76D6">
        <w:rPr>
          <w:i/>
          <w:lang w:val="en-ZW"/>
        </w:rPr>
        <w:t xml:space="preserve">Mafurirano </w:t>
      </w:r>
      <w:r>
        <w:rPr>
          <w:lang w:val="en-ZW"/>
        </w:rPr>
        <w:t>HB 11/04</w:t>
      </w:r>
      <w:r w:rsidR="007F76D6">
        <w:rPr>
          <w:lang w:val="en-ZW"/>
        </w:rPr>
        <w:t xml:space="preserve"> in assessing the requirement of good faith.</w:t>
      </w:r>
    </w:p>
    <w:p w:rsidR="007F76D6" w:rsidRDefault="007F76D6" w:rsidP="00E365A8">
      <w:pPr>
        <w:ind w:firstLine="720"/>
        <w:jc w:val="both"/>
        <w:rPr>
          <w:lang w:val="en-ZW"/>
        </w:rPr>
      </w:pPr>
    </w:p>
    <w:p w:rsidR="007F76D6" w:rsidRDefault="007F76D6" w:rsidP="003C1836">
      <w:pPr>
        <w:spacing w:line="360" w:lineRule="auto"/>
        <w:ind w:firstLine="720"/>
        <w:jc w:val="both"/>
        <w:rPr>
          <w:lang w:val="en-ZW"/>
        </w:rPr>
      </w:pPr>
      <w:r>
        <w:rPr>
          <w:lang w:val="en-ZW"/>
        </w:rPr>
        <w:t xml:space="preserve">I find that the applicants in raising lack of legal fees but then </w:t>
      </w:r>
      <w:r w:rsidR="00C74766">
        <w:rPr>
          <w:lang w:val="en-ZW"/>
        </w:rPr>
        <w:t xml:space="preserve">proceeding to file the heads of argument some three weeks later under the same legal practitioners who did not renounce agency points to lack of bona fides especially as the applicants are now </w:t>
      </w:r>
      <w:r w:rsidR="00037232">
        <w:rPr>
          <w:lang w:val="en-ZW"/>
        </w:rPr>
        <w:t>self-acting</w:t>
      </w:r>
      <w:r w:rsidR="00856B58">
        <w:rPr>
          <w:lang w:val="en-ZW"/>
        </w:rPr>
        <w:t>.  That option was always available to them.</w:t>
      </w:r>
    </w:p>
    <w:p w:rsidR="00856B58" w:rsidRDefault="00856B58" w:rsidP="003C1836">
      <w:pPr>
        <w:spacing w:line="360" w:lineRule="auto"/>
        <w:ind w:firstLine="720"/>
        <w:jc w:val="both"/>
        <w:rPr>
          <w:lang w:val="en-ZW"/>
        </w:rPr>
      </w:pPr>
    </w:p>
    <w:p w:rsidR="00856B58" w:rsidRDefault="00856B58" w:rsidP="003C1836">
      <w:pPr>
        <w:spacing w:line="360" w:lineRule="auto"/>
        <w:ind w:firstLine="720"/>
        <w:jc w:val="both"/>
        <w:rPr>
          <w:lang w:val="en-ZW"/>
        </w:rPr>
      </w:pPr>
      <w:r>
        <w:rPr>
          <w:lang w:val="en-ZW"/>
        </w:rPr>
        <w:t>Further in considering the application for</w:t>
      </w:r>
      <w:r w:rsidR="001D4670">
        <w:rPr>
          <w:lang w:val="en-ZW"/>
        </w:rPr>
        <w:t xml:space="preserve"> rescission, the court is enjoined to consider the merits of the matter as it assesses the prospects of success.  The court does not therefore dispose of this matter on technicalities</w:t>
      </w:r>
      <w:r w:rsidR="00547B61">
        <w:rPr>
          <w:lang w:val="en-ZW"/>
        </w:rPr>
        <w:t>.</w:t>
      </w:r>
    </w:p>
    <w:p w:rsidR="00547B61" w:rsidRDefault="00547B61" w:rsidP="00E365A8">
      <w:pPr>
        <w:ind w:firstLine="720"/>
        <w:jc w:val="both"/>
        <w:rPr>
          <w:lang w:val="en-ZW"/>
        </w:rPr>
      </w:pPr>
    </w:p>
    <w:p w:rsidR="00547B61" w:rsidRDefault="00547B61" w:rsidP="003C1836">
      <w:pPr>
        <w:spacing w:line="360" w:lineRule="auto"/>
        <w:ind w:firstLine="720"/>
        <w:jc w:val="both"/>
        <w:rPr>
          <w:lang w:val="en-ZW"/>
        </w:rPr>
      </w:pPr>
      <w:r>
        <w:rPr>
          <w:lang w:val="en-ZW"/>
        </w:rPr>
        <w:t xml:space="preserve">The applicants also need to read and understand Rule 19 (3) (a).  This court will grant an application for dismissal where heads of argument have been filed out of the time specified.  It is not really relevant that such heads of argument may be </w:t>
      </w:r>
      <w:r>
        <w:rPr>
          <w:lang w:val="en-ZW"/>
        </w:rPr>
        <w:lastRenderedPageBreak/>
        <w:t>on file at the time of granting of the application</w:t>
      </w:r>
      <w:r w:rsidR="000941E1">
        <w:rPr>
          <w:lang w:val="en-ZW"/>
        </w:rPr>
        <w:t>.  The court exercises a discretion and in judiciously doing so, the court cannot depart from the Rules at will.</w:t>
      </w:r>
    </w:p>
    <w:p w:rsidR="000941E1" w:rsidRDefault="000941E1" w:rsidP="00E365A8">
      <w:pPr>
        <w:ind w:firstLine="720"/>
        <w:jc w:val="both"/>
        <w:rPr>
          <w:lang w:val="en-ZW"/>
        </w:rPr>
      </w:pPr>
    </w:p>
    <w:p w:rsidR="000941E1" w:rsidRDefault="000941E1" w:rsidP="003C1836">
      <w:pPr>
        <w:spacing w:line="360" w:lineRule="auto"/>
        <w:ind w:firstLine="720"/>
        <w:jc w:val="both"/>
        <w:rPr>
          <w:lang w:val="en-ZW"/>
        </w:rPr>
      </w:pPr>
      <w:r>
        <w:rPr>
          <w:lang w:val="en-ZW"/>
        </w:rPr>
        <w:t>I find no bona fides in this application in the circumstances.</w:t>
      </w:r>
    </w:p>
    <w:p w:rsidR="000941E1" w:rsidRDefault="000941E1" w:rsidP="00E365A8">
      <w:pPr>
        <w:ind w:firstLine="720"/>
        <w:jc w:val="both"/>
        <w:rPr>
          <w:lang w:val="en-ZW"/>
        </w:rPr>
      </w:pPr>
    </w:p>
    <w:p w:rsidR="000941E1" w:rsidRPr="00E365A8" w:rsidRDefault="000941E1" w:rsidP="003C1836">
      <w:pPr>
        <w:spacing w:line="360" w:lineRule="auto"/>
        <w:ind w:firstLine="720"/>
        <w:jc w:val="both"/>
        <w:rPr>
          <w:u w:val="single"/>
          <w:lang w:val="en-ZW"/>
        </w:rPr>
      </w:pPr>
      <w:r w:rsidRPr="00E365A8">
        <w:rPr>
          <w:u w:val="single"/>
          <w:lang w:val="en-ZW"/>
        </w:rPr>
        <w:t>Prospects of success</w:t>
      </w:r>
    </w:p>
    <w:p w:rsidR="00C176D7" w:rsidRDefault="00C176D7" w:rsidP="00E365A8">
      <w:pPr>
        <w:ind w:firstLine="720"/>
        <w:jc w:val="both"/>
        <w:rPr>
          <w:lang w:val="en-ZW"/>
        </w:rPr>
      </w:pPr>
    </w:p>
    <w:p w:rsidR="00B9210D" w:rsidRPr="00B277C4" w:rsidRDefault="00C176D7" w:rsidP="00B277C4">
      <w:pPr>
        <w:spacing w:line="360" w:lineRule="auto"/>
        <w:ind w:firstLine="720"/>
        <w:jc w:val="both"/>
        <w:rPr>
          <w:lang w:val="en-ZW"/>
        </w:rPr>
      </w:pPr>
      <w:r>
        <w:rPr>
          <w:lang w:val="en-ZW"/>
        </w:rPr>
        <w:t xml:space="preserve">The applicants argue that it was a fatal error for the arbitrator for the NEC for the Food and Allied Industry to decline to deal with this matter on account of lack of jurisdiction </w:t>
      </w:r>
      <w:r w:rsidR="00F20824">
        <w:rPr>
          <w:lang w:val="en-ZW"/>
        </w:rPr>
        <w:t xml:space="preserve">yet by design of law all employees of </w:t>
      </w:r>
      <w:r w:rsidR="00B9210D">
        <w:rPr>
          <w:lang w:val="en-ZW"/>
        </w:rPr>
        <w:t>the respondent fell under the</w:t>
      </w:r>
      <w:r w:rsidR="00B277C4">
        <w:rPr>
          <w:lang w:val="en-ZW"/>
        </w:rPr>
        <w:t xml:space="preserve"> </w:t>
      </w:r>
      <w:r w:rsidR="00B9210D" w:rsidRPr="00B277C4">
        <w:rPr>
          <w:lang w:val="en-ZW"/>
        </w:rPr>
        <w:t>N</w:t>
      </w:r>
      <w:r w:rsidR="00F13353" w:rsidRPr="00B277C4">
        <w:rPr>
          <w:lang w:val="en-ZW"/>
        </w:rPr>
        <w:t>EC</w:t>
      </w:r>
      <w:r w:rsidR="00B9210D" w:rsidRPr="00B277C4">
        <w:rPr>
          <w:lang w:val="en-ZW"/>
        </w:rPr>
        <w:t xml:space="preserve"> Food and Allied Ind</w:t>
      </w:r>
      <w:r w:rsidR="00F13353" w:rsidRPr="00B277C4">
        <w:rPr>
          <w:lang w:val="en-ZW"/>
        </w:rPr>
        <w:t>ustry</w:t>
      </w:r>
      <w:r w:rsidR="00B277C4">
        <w:rPr>
          <w:lang w:val="en-ZW"/>
        </w:rPr>
        <w:t>.</w:t>
      </w:r>
    </w:p>
    <w:p w:rsidR="00F13353" w:rsidRDefault="00F13353" w:rsidP="00E365A8">
      <w:pPr>
        <w:ind w:firstLine="720"/>
        <w:jc w:val="both"/>
        <w:rPr>
          <w:lang w:val="en-ZW"/>
        </w:rPr>
      </w:pPr>
    </w:p>
    <w:p w:rsidR="00F13353" w:rsidRDefault="00F13353" w:rsidP="003C1836">
      <w:pPr>
        <w:spacing w:line="360" w:lineRule="auto"/>
        <w:ind w:firstLine="720"/>
        <w:jc w:val="both"/>
        <w:rPr>
          <w:lang w:val="en-ZW"/>
        </w:rPr>
      </w:pPr>
      <w:r>
        <w:rPr>
          <w:lang w:val="en-ZW"/>
        </w:rPr>
        <w:t>The respondent argues that the arbitrator</w:t>
      </w:r>
      <w:r w:rsidR="0012656B">
        <w:rPr>
          <w:lang w:val="en-ZW"/>
        </w:rPr>
        <w:t>’s finding cannot be impugned.</w:t>
      </w:r>
    </w:p>
    <w:p w:rsidR="0012656B" w:rsidRDefault="0012656B" w:rsidP="00E365A8">
      <w:pPr>
        <w:ind w:firstLine="720"/>
        <w:jc w:val="both"/>
        <w:rPr>
          <w:lang w:val="en-ZW"/>
        </w:rPr>
      </w:pPr>
    </w:p>
    <w:p w:rsidR="0012656B" w:rsidRDefault="0012656B" w:rsidP="003C1836">
      <w:pPr>
        <w:spacing w:line="360" w:lineRule="auto"/>
        <w:ind w:firstLine="720"/>
        <w:jc w:val="both"/>
        <w:rPr>
          <w:lang w:val="en-ZW"/>
        </w:rPr>
      </w:pPr>
      <w:r>
        <w:rPr>
          <w:lang w:val="en-ZW"/>
        </w:rPr>
        <w:t>I wish to look at the history of this matter in disposing of this issue.</w:t>
      </w:r>
    </w:p>
    <w:p w:rsidR="0012656B" w:rsidRDefault="0012656B" w:rsidP="00E365A8">
      <w:pPr>
        <w:ind w:firstLine="720"/>
        <w:jc w:val="both"/>
        <w:rPr>
          <w:lang w:val="en-ZW"/>
        </w:rPr>
      </w:pPr>
    </w:p>
    <w:p w:rsidR="0012656B" w:rsidRDefault="0012656B" w:rsidP="003C1836">
      <w:pPr>
        <w:spacing w:line="360" w:lineRule="auto"/>
        <w:ind w:firstLine="720"/>
        <w:jc w:val="both"/>
        <w:rPr>
          <w:lang w:val="en-ZW"/>
        </w:rPr>
      </w:pPr>
      <w:r>
        <w:rPr>
          <w:lang w:val="en-ZW"/>
        </w:rPr>
        <w:t xml:space="preserve">It is common cause that the applicants were dismissed from employment on 14 </w:t>
      </w:r>
      <w:r w:rsidR="00332A30">
        <w:rPr>
          <w:lang w:val="en-ZW"/>
        </w:rPr>
        <w:t>February 2012 in terms of the NEC Agricultural Industries Code of Conduct.  That was the Code binding</w:t>
      </w:r>
      <w:r w:rsidR="00D66BB6">
        <w:rPr>
          <w:lang w:val="en-ZW"/>
        </w:rPr>
        <w:t xml:space="preserve"> on the parties then and they subscribed to it with applicants being a</w:t>
      </w:r>
      <w:r w:rsidR="00C94E2E">
        <w:rPr>
          <w:lang w:val="en-ZW"/>
        </w:rPr>
        <w:t>ssisted</w:t>
      </w:r>
      <w:r w:rsidR="00BF7FDB">
        <w:rPr>
          <w:lang w:val="en-ZW"/>
        </w:rPr>
        <w:t xml:space="preserve"> by the General Agricultural Plantation Workers Union of Zimbabwe which fell under NEC Agricultural Industries.</w:t>
      </w:r>
    </w:p>
    <w:p w:rsidR="00BF7FDB" w:rsidRDefault="00BF7FDB" w:rsidP="00E365A8">
      <w:pPr>
        <w:ind w:firstLine="720"/>
        <w:jc w:val="both"/>
        <w:rPr>
          <w:lang w:val="en-ZW"/>
        </w:rPr>
      </w:pPr>
    </w:p>
    <w:p w:rsidR="00BF7FDB" w:rsidRDefault="00AC7AE1" w:rsidP="003C1836">
      <w:pPr>
        <w:spacing w:line="360" w:lineRule="auto"/>
        <w:ind w:firstLine="720"/>
        <w:jc w:val="both"/>
        <w:rPr>
          <w:lang w:val="en-ZW"/>
        </w:rPr>
      </w:pPr>
      <w:r>
        <w:rPr>
          <w:lang w:val="en-ZW"/>
        </w:rPr>
        <w:t>Thereafter the applicants challenged for the first time that their dismissals on the basis that they should not have been charged under the Code of Conduct for the NEC Agriculture but ou</w:t>
      </w:r>
      <w:r w:rsidR="00014FD8">
        <w:rPr>
          <w:lang w:val="en-ZW"/>
        </w:rPr>
        <w:t>gh</w:t>
      </w:r>
      <w:r>
        <w:rPr>
          <w:lang w:val="en-ZW"/>
        </w:rPr>
        <w:t>t to have been registered with the NEC for Food and Allied Industries.  The complaint was referred to the labour office but there was no settlement.  Instead of going to arbitration the applicants referred the</w:t>
      </w:r>
      <w:r w:rsidR="00DC2D97">
        <w:rPr>
          <w:lang w:val="en-ZW"/>
        </w:rPr>
        <w:t xml:space="preserve"> matter to the Labour Court seeking a </w:t>
      </w:r>
      <w:r w:rsidR="006046F1">
        <w:rPr>
          <w:lang w:val="en-ZW"/>
        </w:rPr>
        <w:t>declaration</w:t>
      </w:r>
      <w:r w:rsidR="00DC2D97">
        <w:rPr>
          <w:lang w:val="en-ZW"/>
        </w:rPr>
        <w:t xml:space="preserve"> that the respondent belonged to the NEC Food and Allied Industries.  That matter was d</w:t>
      </w:r>
      <w:r w:rsidR="00681CFB">
        <w:rPr>
          <w:lang w:val="en-ZW"/>
        </w:rPr>
        <w:t>ismissed for lack of jurisdiction.  The applicants proceeded to the Supreme Court on appeal but withdrew their matter.</w:t>
      </w:r>
    </w:p>
    <w:p w:rsidR="008A4687" w:rsidRDefault="008A4687" w:rsidP="006046F1">
      <w:pPr>
        <w:ind w:firstLine="720"/>
        <w:jc w:val="both"/>
        <w:rPr>
          <w:lang w:val="en-ZW"/>
        </w:rPr>
      </w:pPr>
    </w:p>
    <w:p w:rsidR="008A4687" w:rsidRDefault="008A4687" w:rsidP="003C1836">
      <w:pPr>
        <w:spacing w:line="360" w:lineRule="auto"/>
        <w:ind w:firstLine="720"/>
        <w:jc w:val="both"/>
        <w:rPr>
          <w:lang w:val="en-ZW"/>
        </w:rPr>
      </w:pPr>
      <w:r>
        <w:rPr>
          <w:lang w:val="en-ZW"/>
        </w:rPr>
        <w:t xml:space="preserve">It was whilst the appeal was pending before the Supreme Court that the respondent then registered under the NEC for the Food </w:t>
      </w:r>
      <w:r w:rsidR="00CA0AA0">
        <w:rPr>
          <w:lang w:val="en-ZW"/>
        </w:rPr>
        <w:t>and Allied Industries pursuant to a Works Council agreement of the 26</w:t>
      </w:r>
      <w:r w:rsidR="00CA0AA0" w:rsidRPr="00CA0AA0">
        <w:rPr>
          <w:vertAlign w:val="superscript"/>
          <w:lang w:val="en-ZW"/>
        </w:rPr>
        <w:t>th</w:t>
      </w:r>
      <w:r w:rsidR="00CA0AA0">
        <w:rPr>
          <w:lang w:val="en-ZW"/>
        </w:rPr>
        <w:t xml:space="preserve"> August 2014.  It was agreed that the effective date would be the 1</w:t>
      </w:r>
      <w:r w:rsidR="00CA0AA0" w:rsidRPr="00CA0AA0">
        <w:rPr>
          <w:vertAlign w:val="superscript"/>
          <w:lang w:val="en-ZW"/>
        </w:rPr>
        <w:t>st</w:t>
      </w:r>
      <w:r w:rsidR="00CA0AA0">
        <w:rPr>
          <w:lang w:val="en-ZW"/>
        </w:rPr>
        <w:t xml:space="preserve"> of </w:t>
      </w:r>
      <w:r w:rsidR="002F656A">
        <w:rPr>
          <w:lang w:val="en-ZW"/>
        </w:rPr>
        <w:t>October 2014.</w:t>
      </w:r>
    </w:p>
    <w:p w:rsidR="002F656A" w:rsidRDefault="002F656A" w:rsidP="006046F1">
      <w:pPr>
        <w:ind w:firstLine="720"/>
        <w:jc w:val="both"/>
        <w:rPr>
          <w:lang w:val="en-ZW"/>
        </w:rPr>
      </w:pPr>
    </w:p>
    <w:p w:rsidR="002F656A" w:rsidRDefault="002F656A" w:rsidP="003C1836">
      <w:pPr>
        <w:spacing w:line="360" w:lineRule="auto"/>
        <w:ind w:firstLine="720"/>
        <w:jc w:val="both"/>
        <w:rPr>
          <w:lang w:val="en-ZW"/>
        </w:rPr>
      </w:pPr>
      <w:r>
        <w:rPr>
          <w:lang w:val="en-ZW"/>
        </w:rPr>
        <w:t>The labour dispute was then relodged on the 3</w:t>
      </w:r>
      <w:r w:rsidRPr="002F656A">
        <w:rPr>
          <w:vertAlign w:val="superscript"/>
          <w:lang w:val="en-ZW"/>
        </w:rPr>
        <w:t>rd</w:t>
      </w:r>
      <w:r>
        <w:rPr>
          <w:lang w:val="en-ZW"/>
        </w:rPr>
        <w:t xml:space="preserve"> of November 2014 before the arbitrator who then declined jurisdiction.</w:t>
      </w:r>
    </w:p>
    <w:p w:rsidR="002F656A" w:rsidRDefault="002F656A" w:rsidP="006046F1">
      <w:pPr>
        <w:ind w:firstLine="720"/>
        <w:jc w:val="both"/>
        <w:rPr>
          <w:lang w:val="en-ZW"/>
        </w:rPr>
      </w:pPr>
    </w:p>
    <w:p w:rsidR="002F656A" w:rsidRDefault="00825A84" w:rsidP="003C1836">
      <w:pPr>
        <w:spacing w:line="360" w:lineRule="auto"/>
        <w:ind w:firstLine="720"/>
        <w:jc w:val="both"/>
        <w:rPr>
          <w:lang w:val="en-ZW"/>
        </w:rPr>
      </w:pPr>
      <w:r>
        <w:rPr>
          <w:lang w:val="en-ZW"/>
        </w:rPr>
        <w:t>The applicant’s argument before the arbitrator was that the NEC Food and Allied Industries had jurisdiction as at the time the instant proceedings had been instituted, the respondent was</w:t>
      </w:r>
      <w:r w:rsidR="00C16794">
        <w:rPr>
          <w:lang w:val="en-ZW"/>
        </w:rPr>
        <w:t xml:space="preserve"> already registered under NEC Food and Allied Industries and that it was immaterial that the dispute arose at the time the respondent subscribed to the NEC Agriculture.</w:t>
      </w:r>
    </w:p>
    <w:p w:rsidR="00056225" w:rsidRDefault="00056225" w:rsidP="006046F1">
      <w:pPr>
        <w:ind w:firstLine="720"/>
        <w:jc w:val="both"/>
        <w:rPr>
          <w:lang w:val="en-ZW"/>
        </w:rPr>
      </w:pPr>
    </w:p>
    <w:p w:rsidR="00056225" w:rsidRDefault="00056225" w:rsidP="003C1836">
      <w:pPr>
        <w:spacing w:line="360" w:lineRule="auto"/>
        <w:ind w:firstLine="720"/>
        <w:jc w:val="both"/>
        <w:rPr>
          <w:lang w:val="en-ZW"/>
        </w:rPr>
      </w:pPr>
      <w:r>
        <w:rPr>
          <w:lang w:val="en-ZW"/>
        </w:rPr>
        <w:t>It was further argued that there was no legal basis for holding that employees transferred from one undertaking to another co</w:t>
      </w:r>
      <w:r w:rsidR="000B6E5D">
        <w:rPr>
          <w:lang w:val="en-ZW"/>
        </w:rPr>
        <w:t>ntinue to be bound by the code of conduct applicable to their former undertaking.</w:t>
      </w:r>
    </w:p>
    <w:p w:rsidR="00F43DAC" w:rsidRDefault="00F43DAC" w:rsidP="006046F1">
      <w:pPr>
        <w:ind w:firstLine="720"/>
        <w:jc w:val="both"/>
        <w:rPr>
          <w:lang w:val="en-ZW"/>
        </w:rPr>
      </w:pPr>
    </w:p>
    <w:p w:rsidR="00F43DAC" w:rsidRDefault="00F43DAC" w:rsidP="003C1836">
      <w:pPr>
        <w:spacing w:line="360" w:lineRule="auto"/>
        <w:ind w:firstLine="720"/>
        <w:jc w:val="both"/>
        <w:rPr>
          <w:lang w:val="en-ZW"/>
        </w:rPr>
      </w:pPr>
      <w:r>
        <w:rPr>
          <w:lang w:val="en-ZW"/>
        </w:rPr>
        <w:t xml:space="preserve">In considering the arguments before him, the arbitrator found that the NEC Food and Allied </w:t>
      </w:r>
      <w:r w:rsidR="003F7AD0">
        <w:rPr>
          <w:lang w:val="en-ZW"/>
        </w:rPr>
        <w:t xml:space="preserve">Industries was </w:t>
      </w:r>
      <w:r w:rsidR="00EA2705">
        <w:rPr>
          <w:lang w:val="en-ZW"/>
        </w:rPr>
        <w:t xml:space="preserve">not the correct forum as the parties fell under and subscribed to NEC Agriculture at the time of the dispute arising and disciplinary hearings in question </w:t>
      </w:r>
      <w:r w:rsidR="000621AE">
        <w:rPr>
          <w:lang w:val="en-ZW"/>
        </w:rPr>
        <w:t>until the 1</w:t>
      </w:r>
      <w:r w:rsidR="000621AE" w:rsidRPr="000621AE">
        <w:rPr>
          <w:vertAlign w:val="superscript"/>
          <w:lang w:val="en-ZW"/>
        </w:rPr>
        <w:t>st</w:t>
      </w:r>
      <w:r w:rsidR="000621AE">
        <w:rPr>
          <w:lang w:val="en-ZW"/>
        </w:rPr>
        <w:t xml:space="preserve"> of October 2014 when the Works Council agreed to move over to NEC Food and Allied Industries.</w:t>
      </w:r>
    </w:p>
    <w:p w:rsidR="000621AE" w:rsidRDefault="000621AE" w:rsidP="003C1836">
      <w:pPr>
        <w:spacing w:line="360" w:lineRule="auto"/>
        <w:ind w:firstLine="720"/>
        <w:jc w:val="both"/>
        <w:rPr>
          <w:lang w:val="en-ZW"/>
        </w:rPr>
      </w:pPr>
    </w:p>
    <w:p w:rsidR="000621AE" w:rsidRDefault="00617D76" w:rsidP="003C1836">
      <w:pPr>
        <w:spacing w:line="360" w:lineRule="auto"/>
        <w:ind w:firstLine="720"/>
        <w:jc w:val="both"/>
        <w:rPr>
          <w:lang w:val="en-ZW"/>
        </w:rPr>
      </w:pPr>
      <w:r>
        <w:rPr>
          <w:lang w:val="en-ZW"/>
        </w:rPr>
        <w:t>It was noted that the applicants did not dispute that at the relevant time they fell under NEC Agriculture and never questioned the application of the</w:t>
      </w:r>
      <w:r w:rsidR="00EE02DF">
        <w:rPr>
          <w:lang w:val="en-ZW"/>
        </w:rPr>
        <w:t xml:space="preserve"> Code.</w:t>
      </w:r>
    </w:p>
    <w:p w:rsidR="00EE02DF" w:rsidRDefault="00EE02DF" w:rsidP="006046F1">
      <w:pPr>
        <w:ind w:firstLine="720"/>
        <w:jc w:val="both"/>
        <w:rPr>
          <w:lang w:val="en-ZW"/>
        </w:rPr>
      </w:pPr>
    </w:p>
    <w:p w:rsidR="00EE02DF" w:rsidRDefault="008828D6" w:rsidP="003C1836">
      <w:pPr>
        <w:spacing w:line="360" w:lineRule="auto"/>
        <w:ind w:firstLine="720"/>
        <w:jc w:val="both"/>
        <w:rPr>
          <w:lang w:val="en-ZW"/>
        </w:rPr>
      </w:pPr>
      <w:r>
        <w:rPr>
          <w:lang w:val="en-ZW"/>
        </w:rPr>
        <w:t>It was noted too that NEC Food and Allied Industries did not have a Code of Conduct</w:t>
      </w:r>
      <w:r w:rsidR="003C2313">
        <w:rPr>
          <w:lang w:val="en-ZW"/>
        </w:rPr>
        <w:t>.</w:t>
      </w:r>
    </w:p>
    <w:p w:rsidR="003C2313" w:rsidRDefault="003C2313" w:rsidP="006046F1">
      <w:pPr>
        <w:ind w:firstLine="720"/>
        <w:jc w:val="both"/>
        <w:rPr>
          <w:lang w:val="en-ZW"/>
        </w:rPr>
      </w:pPr>
    </w:p>
    <w:p w:rsidR="003C2313" w:rsidRDefault="003C2313" w:rsidP="003C1836">
      <w:pPr>
        <w:spacing w:line="360" w:lineRule="auto"/>
        <w:ind w:firstLine="720"/>
        <w:jc w:val="both"/>
        <w:rPr>
          <w:lang w:val="en-ZW"/>
        </w:rPr>
      </w:pPr>
      <w:r>
        <w:rPr>
          <w:lang w:val="en-ZW"/>
        </w:rPr>
        <w:t>The arbitrator, in my opinion correctly used the principle that laws do not operate in retrospect.  It was</w:t>
      </w:r>
      <w:r w:rsidR="00AC52C0">
        <w:rPr>
          <w:lang w:val="en-ZW"/>
        </w:rPr>
        <w:t xml:space="preserve"> correctly noted </w:t>
      </w:r>
      <w:r w:rsidR="00F67FDA">
        <w:rPr>
          <w:lang w:val="en-ZW"/>
        </w:rPr>
        <w:t>too that a company would fa</w:t>
      </w:r>
      <w:r w:rsidR="00AC52C0">
        <w:rPr>
          <w:lang w:val="en-ZW"/>
        </w:rPr>
        <w:t xml:space="preserve">ll under an NEC to which an operation is registered, regulated, graded and remunerated.  In casu in 2012 that was the NEC Agriculture.  The case of </w:t>
      </w:r>
      <w:r w:rsidR="00B307CA">
        <w:rPr>
          <w:i/>
          <w:lang w:val="en-ZW"/>
        </w:rPr>
        <w:t>Nkomo and A</w:t>
      </w:r>
      <w:r w:rsidR="00AC52C0" w:rsidRPr="00B307CA">
        <w:rPr>
          <w:i/>
          <w:lang w:val="en-ZW"/>
        </w:rPr>
        <w:t>nother</w:t>
      </w:r>
      <w:r w:rsidR="00B62D11">
        <w:rPr>
          <w:lang w:val="en-ZW"/>
        </w:rPr>
        <w:t xml:space="preserve"> v</w:t>
      </w:r>
      <w:r w:rsidR="00AC52C0">
        <w:rPr>
          <w:lang w:val="en-ZW"/>
        </w:rPr>
        <w:t xml:space="preserve"> </w:t>
      </w:r>
      <w:r w:rsidR="00AC52C0" w:rsidRPr="00B62D11">
        <w:rPr>
          <w:i/>
          <w:lang w:val="en-ZW"/>
        </w:rPr>
        <w:t>AG &amp; ORS</w:t>
      </w:r>
      <w:r w:rsidR="00AC52C0">
        <w:rPr>
          <w:lang w:val="en-ZW"/>
        </w:rPr>
        <w:t xml:space="preserve"> 1993</w:t>
      </w:r>
      <w:r w:rsidR="008B1C70">
        <w:rPr>
          <w:lang w:val="en-ZW"/>
        </w:rPr>
        <w:t xml:space="preserve"> (2) ZLR 422 (S) sets out the cardinal rule on a strong presumption against retrospective construction.  The rationale for this is to guard against retrospectivity </w:t>
      </w:r>
      <w:r w:rsidR="00B307CA">
        <w:rPr>
          <w:lang w:val="en-ZW"/>
        </w:rPr>
        <w:t>affecting already completed acts such as disciplinary hearings.</w:t>
      </w:r>
    </w:p>
    <w:p w:rsidR="00561421" w:rsidRDefault="00561421" w:rsidP="006046F1">
      <w:pPr>
        <w:ind w:firstLine="720"/>
        <w:jc w:val="both"/>
        <w:rPr>
          <w:lang w:val="en-ZW"/>
        </w:rPr>
      </w:pPr>
    </w:p>
    <w:p w:rsidR="00561421" w:rsidRDefault="00561421" w:rsidP="003C1836">
      <w:pPr>
        <w:spacing w:line="360" w:lineRule="auto"/>
        <w:ind w:firstLine="720"/>
        <w:jc w:val="both"/>
        <w:rPr>
          <w:lang w:val="en-ZW"/>
        </w:rPr>
      </w:pPr>
      <w:r>
        <w:rPr>
          <w:lang w:val="en-ZW"/>
        </w:rPr>
        <w:lastRenderedPageBreak/>
        <w:t>In any event, the applicant is now raising an argument which was not placed before the arbitrator as he now argues that an i</w:t>
      </w:r>
      <w:r w:rsidR="000B00C2">
        <w:rPr>
          <w:lang w:val="en-ZW"/>
        </w:rPr>
        <w:t>ndustry or company falls under a certain</w:t>
      </w:r>
      <w:r w:rsidR="008E3265">
        <w:rPr>
          <w:lang w:val="en-ZW"/>
        </w:rPr>
        <w:t xml:space="preserve"> group by virtue of its</w:t>
      </w:r>
      <w:r w:rsidR="00BF461F">
        <w:rPr>
          <w:lang w:val="en-ZW"/>
        </w:rPr>
        <w:t xml:space="preserve"> operations and there is no </w:t>
      </w:r>
      <w:r w:rsidR="00747FF6">
        <w:rPr>
          <w:lang w:val="en-ZW"/>
        </w:rPr>
        <w:t>choice as to whether or not to submit.</w:t>
      </w:r>
    </w:p>
    <w:p w:rsidR="00747FF6" w:rsidRDefault="00747FF6" w:rsidP="006046F1">
      <w:pPr>
        <w:ind w:firstLine="720"/>
        <w:jc w:val="both"/>
        <w:rPr>
          <w:lang w:val="en-ZW"/>
        </w:rPr>
      </w:pPr>
    </w:p>
    <w:p w:rsidR="004A01A9" w:rsidRDefault="00747FF6" w:rsidP="003C1836">
      <w:pPr>
        <w:spacing w:line="360" w:lineRule="auto"/>
        <w:ind w:firstLine="720"/>
        <w:jc w:val="both"/>
        <w:rPr>
          <w:lang w:val="en-ZW"/>
        </w:rPr>
      </w:pPr>
      <w:r>
        <w:rPr>
          <w:lang w:val="en-ZW"/>
        </w:rPr>
        <w:t xml:space="preserve">As stated in </w:t>
      </w:r>
      <w:r w:rsidRPr="006C4BCA">
        <w:rPr>
          <w:i/>
          <w:lang w:val="en-ZW"/>
        </w:rPr>
        <w:t xml:space="preserve">Chikanda </w:t>
      </w:r>
      <w:r>
        <w:rPr>
          <w:lang w:val="en-ZW"/>
        </w:rPr>
        <w:t xml:space="preserve">v </w:t>
      </w:r>
      <w:r w:rsidRPr="006046F1">
        <w:rPr>
          <w:i/>
          <w:lang w:val="en-ZW"/>
        </w:rPr>
        <w:t>UTC</w:t>
      </w:r>
      <w:r>
        <w:rPr>
          <w:lang w:val="en-ZW"/>
        </w:rPr>
        <w:t xml:space="preserve"> SC 7/99, if the argument was not raised before the tribunal </w:t>
      </w:r>
      <w:r w:rsidR="000911F1">
        <w:rPr>
          <w:lang w:val="en-ZW"/>
        </w:rPr>
        <w:t xml:space="preserve">the tribunal </w:t>
      </w:r>
      <w:r w:rsidR="008D155F">
        <w:rPr>
          <w:lang w:val="en-ZW"/>
        </w:rPr>
        <w:t>cannot be faulted for not dealing with it.  It cannot be a ground of appeal from</w:t>
      </w:r>
      <w:r w:rsidR="004A01A9">
        <w:rPr>
          <w:lang w:val="en-ZW"/>
        </w:rPr>
        <w:t xml:space="preserve"> the tribunal that it did not deal with a matter it was not asked to deal with.</w:t>
      </w:r>
    </w:p>
    <w:p w:rsidR="004A01A9" w:rsidRDefault="004A01A9" w:rsidP="00146AD3">
      <w:pPr>
        <w:ind w:firstLine="720"/>
        <w:jc w:val="both"/>
        <w:rPr>
          <w:lang w:val="en-ZW"/>
        </w:rPr>
      </w:pPr>
    </w:p>
    <w:p w:rsidR="001068BF" w:rsidRDefault="004A01A9" w:rsidP="003C1836">
      <w:pPr>
        <w:spacing w:line="360" w:lineRule="auto"/>
        <w:ind w:firstLine="720"/>
        <w:jc w:val="both"/>
        <w:rPr>
          <w:lang w:val="en-ZW"/>
        </w:rPr>
      </w:pPr>
      <w:r>
        <w:rPr>
          <w:lang w:val="en-ZW"/>
        </w:rPr>
        <w:t>In the circumstances I find ther</w:t>
      </w:r>
      <w:r w:rsidR="001068BF">
        <w:rPr>
          <w:lang w:val="en-ZW"/>
        </w:rPr>
        <w:t>e are no prospects of success in the appeal.</w:t>
      </w:r>
    </w:p>
    <w:p w:rsidR="001068BF" w:rsidRDefault="001068BF" w:rsidP="001068BF">
      <w:pPr>
        <w:spacing w:line="360" w:lineRule="auto"/>
        <w:jc w:val="both"/>
        <w:rPr>
          <w:lang w:val="en-ZW"/>
        </w:rPr>
      </w:pPr>
    </w:p>
    <w:p w:rsidR="00D63F69" w:rsidRDefault="001068BF" w:rsidP="001068BF">
      <w:pPr>
        <w:spacing w:line="360" w:lineRule="auto"/>
        <w:jc w:val="both"/>
        <w:rPr>
          <w:lang w:val="en-ZW"/>
        </w:rPr>
      </w:pPr>
      <w:r>
        <w:rPr>
          <w:lang w:val="en-ZW"/>
        </w:rPr>
        <w:t>According the application for rescission is dismiss</w:t>
      </w:r>
      <w:r w:rsidR="000911F1">
        <w:rPr>
          <w:lang w:val="en-ZW"/>
        </w:rPr>
        <w:t>ed with costs for lack of merit</w:t>
      </w:r>
      <w:r>
        <w:rPr>
          <w:lang w:val="en-ZW"/>
        </w:rPr>
        <w:t>.</w:t>
      </w:r>
    </w:p>
    <w:p w:rsidR="00D63F69" w:rsidRDefault="00D63F69" w:rsidP="001068BF">
      <w:pPr>
        <w:spacing w:line="360" w:lineRule="auto"/>
        <w:jc w:val="both"/>
        <w:rPr>
          <w:lang w:val="en-ZW"/>
        </w:rPr>
      </w:pPr>
    </w:p>
    <w:p w:rsidR="00D63F69" w:rsidRDefault="00D63F69" w:rsidP="001068BF">
      <w:pPr>
        <w:spacing w:line="360" w:lineRule="auto"/>
        <w:jc w:val="both"/>
        <w:rPr>
          <w:lang w:val="en-ZW"/>
        </w:rPr>
      </w:pPr>
    </w:p>
    <w:p w:rsidR="00D63F69" w:rsidRDefault="00D63F69" w:rsidP="001068BF">
      <w:pPr>
        <w:spacing w:line="360" w:lineRule="auto"/>
        <w:jc w:val="both"/>
        <w:rPr>
          <w:lang w:val="en-ZW"/>
        </w:rPr>
      </w:pPr>
      <w:r w:rsidRPr="00146AD3">
        <w:rPr>
          <w:i/>
          <w:lang w:val="en-ZW"/>
        </w:rPr>
        <w:t>Nyandoro &amp; Mukwewa</w:t>
      </w:r>
      <w:r>
        <w:rPr>
          <w:lang w:val="en-ZW"/>
        </w:rPr>
        <w:t xml:space="preserve">, </w:t>
      </w:r>
      <w:r w:rsidR="00146AD3">
        <w:rPr>
          <w:lang w:val="en-ZW"/>
        </w:rPr>
        <w:t>applicants’ legal</w:t>
      </w:r>
      <w:r>
        <w:rPr>
          <w:lang w:val="en-ZW"/>
        </w:rPr>
        <w:t xml:space="preserve"> practitioners</w:t>
      </w:r>
    </w:p>
    <w:p w:rsidR="00747FF6" w:rsidRDefault="00D63F69" w:rsidP="001068BF">
      <w:pPr>
        <w:spacing w:line="360" w:lineRule="auto"/>
        <w:jc w:val="both"/>
        <w:rPr>
          <w:lang w:val="en-ZW"/>
        </w:rPr>
      </w:pPr>
      <w:r w:rsidRPr="00146AD3">
        <w:rPr>
          <w:i/>
          <w:lang w:val="en-ZW"/>
        </w:rPr>
        <w:t>Messrs Matizanadz &amp; Warh</w:t>
      </w:r>
      <w:r w:rsidR="00146AD3" w:rsidRPr="00146AD3">
        <w:rPr>
          <w:i/>
          <w:lang w:val="en-ZW"/>
        </w:rPr>
        <w:t>urst</w:t>
      </w:r>
      <w:r w:rsidR="00146AD3">
        <w:rPr>
          <w:lang w:val="en-ZW"/>
        </w:rPr>
        <w:t>, respondent’s legal practitioners</w:t>
      </w:r>
      <w:r w:rsidR="008D155F">
        <w:rPr>
          <w:lang w:val="en-ZW"/>
        </w:rPr>
        <w:t xml:space="preserve"> </w:t>
      </w:r>
    </w:p>
    <w:p w:rsidR="00F13353" w:rsidRDefault="00F13353" w:rsidP="003C1836">
      <w:pPr>
        <w:spacing w:line="360" w:lineRule="auto"/>
        <w:ind w:firstLine="720"/>
        <w:jc w:val="both"/>
        <w:rPr>
          <w:lang w:val="en-ZW"/>
        </w:rPr>
      </w:pPr>
    </w:p>
    <w:p w:rsidR="00420FD1" w:rsidRDefault="00420FD1" w:rsidP="003C1836">
      <w:pPr>
        <w:spacing w:line="360" w:lineRule="auto"/>
        <w:ind w:firstLine="720"/>
        <w:jc w:val="both"/>
        <w:rPr>
          <w:lang w:val="en-ZW"/>
        </w:rPr>
      </w:pPr>
    </w:p>
    <w:p w:rsidR="00420FD1" w:rsidRPr="001052AD" w:rsidRDefault="00420FD1" w:rsidP="003C1836">
      <w:pPr>
        <w:spacing w:line="360" w:lineRule="auto"/>
        <w:ind w:firstLine="720"/>
        <w:jc w:val="both"/>
        <w:rPr>
          <w:lang w:val="en-ZW"/>
        </w:rPr>
      </w:pPr>
    </w:p>
    <w:p w:rsidR="004D3E1D" w:rsidRDefault="004D3E1D" w:rsidP="003C1836">
      <w:pPr>
        <w:spacing w:line="360" w:lineRule="auto"/>
        <w:ind w:firstLine="720"/>
        <w:jc w:val="both"/>
      </w:pPr>
    </w:p>
    <w:p w:rsidR="004D3E1D" w:rsidRDefault="004D3E1D" w:rsidP="003C1836">
      <w:pPr>
        <w:spacing w:line="360" w:lineRule="auto"/>
        <w:ind w:firstLine="720"/>
        <w:jc w:val="both"/>
      </w:pPr>
    </w:p>
    <w:sectPr w:rsidR="004D3E1D" w:rsidSect="00E9607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CFF" w:rsidRDefault="00E67CFF" w:rsidP="00E96079">
      <w:r>
        <w:separator/>
      </w:r>
    </w:p>
  </w:endnote>
  <w:endnote w:type="continuationSeparator" w:id="0">
    <w:p w:rsidR="00E67CFF" w:rsidRDefault="00E67CFF" w:rsidP="00E9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283787"/>
      <w:docPartObj>
        <w:docPartGallery w:val="Page Numbers (Bottom of Page)"/>
        <w:docPartUnique/>
      </w:docPartObj>
    </w:sdtPr>
    <w:sdtEndPr>
      <w:rPr>
        <w:noProof/>
      </w:rPr>
    </w:sdtEndPr>
    <w:sdtContent>
      <w:p w:rsidR="00AC52C0" w:rsidRDefault="00AC52C0">
        <w:pPr>
          <w:pStyle w:val="Footer"/>
          <w:jc w:val="center"/>
        </w:pPr>
        <w:r>
          <w:fldChar w:fldCharType="begin"/>
        </w:r>
        <w:r>
          <w:instrText xml:space="preserve"> PAGE   \* MERGEFORMAT </w:instrText>
        </w:r>
        <w:r>
          <w:fldChar w:fldCharType="separate"/>
        </w:r>
        <w:r w:rsidR="00FE578C">
          <w:rPr>
            <w:noProof/>
          </w:rPr>
          <w:t>2</w:t>
        </w:r>
        <w:r>
          <w:rPr>
            <w:noProof/>
          </w:rPr>
          <w:fldChar w:fldCharType="end"/>
        </w:r>
      </w:p>
    </w:sdtContent>
  </w:sdt>
  <w:p w:rsidR="00AC52C0" w:rsidRDefault="00AC5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CFF" w:rsidRDefault="00E67CFF" w:rsidP="00E96079">
      <w:r>
        <w:separator/>
      </w:r>
    </w:p>
  </w:footnote>
  <w:footnote w:type="continuationSeparator" w:id="0">
    <w:p w:rsidR="00E67CFF" w:rsidRDefault="00E67CFF" w:rsidP="00E9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C0" w:rsidRPr="00E96079" w:rsidRDefault="00AC52C0">
    <w:pPr>
      <w:pStyle w:val="Header"/>
      <w:rPr>
        <w:lang w:val="en-ZW"/>
      </w:rPr>
    </w:pPr>
    <w:r>
      <w:rPr>
        <w:lang w:val="en-ZW"/>
      </w:rPr>
      <w:tab/>
    </w:r>
    <w:r>
      <w:rPr>
        <w:lang w:val="en-ZW"/>
      </w:rPr>
      <w:tab/>
      <w:t>JUDGMENT NO. LC/H/</w:t>
    </w:r>
    <w:r w:rsidR="00A36C35">
      <w:rPr>
        <w:lang w:val="en-ZW"/>
      </w:rPr>
      <w:t>297</w:t>
    </w:r>
    <w:r>
      <w:rPr>
        <w:lang w:val="en-ZW"/>
      </w:rPr>
      <w:t xml:space="preserve">/2016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2B90"/>
    <w:multiLevelType w:val="hybridMultilevel"/>
    <w:tmpl w:val="E920EE5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4E475FA"/>
    <w:multiLevelType w:val="hybridMultilevel"/>
    <w:tmpl w:val="B436ECE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B3"/>
    <w:rsid w:val="00014FD8"/>
    <w:rsid w:val="00037232"/>
    <w:rsid w:val="00056225"/>
    <w:rsid w:val="000621AE"/>
    <w:rsid w:val="00066800"/>
    <w:rsid w:val="00082414"/>
    <w:rsid w:val="000911F1"/>
    <w:rsid w:val="000941E1"/>
    <w:rsid w:val="000A7071"/>
    <w:rsid w:val="000B00C2"/>
    <w:rsid w:val="000B30EE"/>
    <w:rsid w:val="000B6E5D"/>
    <w:rsid w:val="001052AD"/>
    <w:rsid w:val="001068BF"/>
    <w:rsid w:val="00114261"/>
    <w:rsid w:val="00116EFE"/>
    <w:rsid w:val="0012656B"/>
    <w:rsid w:val="001406B3"/>
    <w:rsid w:val="00142438"/>
    <w:rsid w:val="00146AD3"/>
    <w:rsid w:val="001C1324"/>
    <w:rsid w:val="001D4670"/>
    <w:rsid w:val="00201A36"/>
    <w:rsid w:val="00232443"/>
    <w:rsid w:val="0026330F"/>
    <w:rsid w:val="0028285A"/>
    <w:rsid w:val="002F656A"/>
    <w:rsid w:val="00332A30"/>
    <w:rsid w:val="00364B8F"/>
    <w:rsid w:val="00386D58"/>
    <w:rsid w:val="003A0997"/>
    <w:rsid w:val="003A24A5"/>
    <w:rsid w:val="003C1836"/>
    <w:rsid w:val="003C2313"/>
    <w:rsid w:val="003D3685"/>
    <w:rsid w:val="003E5B4B"/>
    <w:rsid w:val="003F205B"/>
    <w:rsid w:val="003F2754"/>
    <w:rsid w:val="003F7AD0"/>
    <w:rsid w:val="00420FD1"/>
    <w:rsid w:val="00423BE6"/>
    <w:rsid w:val="004433EE"/>
    <w:rsid w:val="00492D11"/>
    <w:rsid w:val="004A01A9"/>
    <w:rsid w:val="004D3E1D"/>
    <w:rsid w:val="004D491F"/>
    <w:rsid w:val="004F0D34"/>
    <w:rsid w:val="00534DC1"/>
    <w:rsid w:val="00547B61"/>
    <w:rsid w:val="00561421"/>
    <w:rsid w:val="00595960"/>
    <w:rsid w:val="006046F1"/>
    <w:rsid w:val="0061148C"/>
    <w:rsid w:val="00617D76"/>
    <w:rsid w:val="006475B4"/>
    <w:rsid w:val="00681CFB"/>
    <w:rsid w:val="006C4BCA"/>
    <w:rsid w:val="00747FF6"/>
    <w:rsid w:val="00760483"/>
    <w:rsid w:val="00765CA9"/>
    <w:rsid w:val="007812C9"/>
    <w:rsid w:val="007B46A3"/>
    <w:rsid w:val="007F76D6"/>
    <w:rsid w:val="00825A84"/>
    <w:rsid w:val="008408D9"/>
    <w:rsid w:val="00850439"/>
    <w:rsid w:val="00856B58"/>
    <w:rsid w:val="008828D6"/>
    <w:rsid w:val="00887511"/>
    <w:rsid w:val="00895CA9"/>
    <w:rsid w:val="008A4687"/>
    <w:rsid w:val="008B1C70"/>
    <w:rsid w:val="008D155F"/>
    <w:rsid w:val="008E3265"/>
    <w:rsid w:val="008F166C"/>
    <w:rsid w:val="00902F28"/>
    <w:rsid w:val="00933DB1"/>
    <w:rsid w:val="00973CE6"/>
    <w:rsid w:val="00A36C35"/>
    <w:rsid w:val="00A4069E"/>
    <w:rsid w:val="00A509F5"/>
    <w:rsid w:val="00A73F5D"/>
    <w:rsid w:val="00AC16C4"/>
    <w:rsid w:val="00AC52C0"/>
    <w:rsid w:val="00AC7AE1"/>
    <w:rsid w:val="00AE3F31"/>
    <w:rsid w:val="00B277C4"/>
    <w:rsid w:val="00B307CA"/>
    <w:rsid w:val="00B52848"/>
    <w:rsid w:val="00B62D11"/>
    <w:rsid w:val="00B86C0A"/>
    <w:rsid w:val="00B9210D"/>
    <w:rsid w:val="00BA28C8"/>
    <w:rsid w:val="00BA7F2F"/>
    <w:rsid w:val="00BC3394"/>
    <w:rsid w:val="00BF461F"/>
    <w:rsid w:val="00BF6C52"/>
    <w:rsid w:val="00BF7FDB"/>
    <w:rsid w:val="00C16794"/>
    <w:rsid w:val="00C176D7"/>
    <w:rsid w:val="00C74766"/>
    <w:rsid w:val="00C776C5"/>
    <w:rsid w:val="00C94E2E"/>
    <w:rsid w:val="00CA0AA0"/>
    <w:rsid w:val="00D07847"/>
    <w:rsid w:val="00D63F69"/>
    <w:rsid w:val="00D66BB6"/>
    <w:rsid w:val="00DC2D97"/>
    <w:rsid w:val="00E06AB3"/>
    <w:rsid w:val="00E32CBB"/>
    <w:rsid w:val="00E365A8"/>
    <w:rsid w:val="00E54561"/>
    <w:rsid w:val="00E67CFF"/>
    <w:rsid w:val="00E96079"/>
    <w:rsid w:val="00EA2705"/>
    <w:rsid w:val="00EE02DF"/>
    <w:rsid w:val="00EF2FC5"/>
    <w:rsid w:val="00F13353"/>
    <w:rsid w:val="00F20824"/>
    <w:rsid w:val="00F426D2"/>
    <w:rsid w:val="00F43DAC"/>
    <w:rsid w:val="00F52863"/>
    <w:rsid w:val="00F65AE8"/>
    <w:rsid w:val="00F66325"/>
    <w:rsid w:val="00F67FDA"/>
    <w:rsid w:val="00FD238D"/>
    <w:rsid w:val="00FE578C"/>
    <w:rsid w:val="00FF3D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B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79"/>
    <w:pPr>
      <w:tabs>
        <w:tab w:val="center" w:pos="4513"/>
        <w:tab w:val="right" w:pos="9026"/>
      </w:tabs>
    </w:pPr>
  </w:style>
  <w:style w:type="character" w:customStyle="1" w:styleId="HeaderChar">
    <w:name w:val="Header Char"/>
    <w:basedOn w:val="DefaultParagraphFont"/>
    <w:link w:val="Header"/>
    <w:uiPriority w:val="99"/>
    <w:rsid w:val="00E96079"/>
    <w:rPr>
      <w:rFonts w:ascii="Tahoma" w:eastAsia="Times New Roman" w:hAnsi="Tahoma" w:cs="Times New Roman"/>
      <w:sz w:val="24"/>
      <w:szCs w:val="24"/>
      <w:lang w:val="en-US"/>
    </w:rPr>
  </w:style>
  <w:style w:type="paragraph" w:styleId="Footer">
    <w:name w:val="footer"/>
    <w:basedOn w:val="Normal"/>
    <w:link w:val="FooterChar"/>
    <w:uiPriority w:val="99"/>
    <w:unhideWhenUsed/>
    <w:rsid w:val="00E96079"/>
    <w:pPr>
      <w:tabs>
        <w:tab w:val="center" w:pos="4513"/>
        <w:tab w:val="right" w:pos="9026"/>
      </w:tabs>
    </w:pPr>
  </w:style>
  <w:style w:type="character" w:customStyle="1" w:styleId="FooterChar">
    <w:name w:val="Footer Char"/>
    <w:basedOn w:val="DefaultParagraphFont"/>
    <w:link w:val="Footer"/>
    <w:uiPriority w:val="99"/>
    <w:rsid w:val="00E96079"/>
    <w:rPr>
      <w:rFonts w:ascii="Tahoma" w:eastAsia="Times New Roman" w:hAnsi="Tahoma" w:cs="Times New Roman"/>
      <w:sz w:val="24"/>
      <w:szCs w:val="24"/>
      <w:lang w:val="en-US"/>
    </w:rPr>
  </w:style>
  <w:style w:type="paragraph" w:styleId="ListParagraph">
    <w:name w:val="List Paragraph"/>
    <w:basedOn w:val="Normal"/>
    <w:uiPriority w:val="34"/>
    <w:qFormat/>
    <w:rsid w:val="003F27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B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79"/>
    <w:pPr>
      <w:tabs>
        <w:tab w:val="center" w:pos="4513"/>
        <w:tab w:val="right" w:pos="9026"/>
      </w:tabs>
    </w:pPr>
  </w:style>
  <w:style w:type="character" w:customStyle="1" w:styleId="HeaderChar">
    <w:name w:val="Header Char"/>
    <w:basedOn w:val="DefaultParagraphFont"/>
    <w:link w:val="Header"/>
    <w:uiPriority w:val="99"/>
    <w:rsid w:val="00E96079"/>
    <w:rPr>
      <w:rFonts w:ascii="Tahoma" w:eastAsia="Times New Roman" w:hAnsi="Tahoma" w:cs="Times New Roman"/>
      <w:sz w:val="24"/>
      <w:szCs w:val="24"/>
      <w:lang w:val="en-US"/>
    </w:rPr>
  </w:style>
  <w:style w:type="paragraph" w:styleId="Footer">
    <w:name w:val="footer"/>
    <w:basedOn w:val="Normal"/>
    <w:link w:val="FooterChar"/>
    <w:uiPriority w:val="99"/>
    <w:unhideWhenUsed/>
    <w:rsid w:val="00E96079"/>
    <w:pPr>
      <w:tabs>
        <w:tab w:val="center" w:pos="4513"/>
        <w:tab w:val="right" w:pos="9026"/>
      </w:tabs>
    </w:pPr>
  </w:style>
  <w:style w:type="character" w:customStyle="1" w:styleId="FooterChar">
    <w:name w:val="Footer Char"/>
    <w:basedOn w:val="DefaultParagraphFont"/>
    <w:link w:val="Footer"/>
    <w:uiPriority w:val="99"/>
    <w:rsid w:val="00E96079"/>
    <w:rPr>
      <w:rFonts w:ascii="Tahoma" w:eastAsia="Times New Roman" w:hAnsi="Tahoma" w:cs="Times New Roman"/>
      <w:sz w:val="24"/>
      <w:szCs w:val="24"/>
      <w:lang w:val="en-US"/>
    </w:rPr>
  </w:style>
  <w:style w:type="paragraph" w:styleId="ListParagraph">
    <w:name w:val="List Paragraph"/>
    <w:basedOn w:val="Normal"/>
    <w:uiPriority w:val="34"/>
    <w:qFormat/>
    <w:rsid w:val="003F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39</cp:revision>
  <dcterms:created xsi:type="dcterms:W3CDTF">2016-04-20T07:40:00Z</dcterms:created>
  <dcterms:modified xsi:type="dcterms:W3CDTF">2016-05-05T14:04:00Z</dcterms:modified>
</cp:coreProperties>
</file>