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7AD" w:rsidRPr="0032360F" w:rsidRDefault="0032360F" w:rsidP="00123FD7">
      <w:pPr>
        <w:spacing w:after="0" w:line="240" w:lineRule="auto"/>
        <w:jc w:val="both"/>
        <w:rPr>
          <w:rFonts w:ascii="Times New Roman" w:hAnsi="Times New Roman" w:cs="Times New Roman"/>
          <w:sz w:val="24"/>
          <w:szCs w:val="24"/>
        </w:rPr>
      </w:pPr>
      <w:bookmarkStart w:id="0" w:name="_GoBack"/>
      <w:bookmarkEnd w:id="0"/>
      <w:r w:rsidRPr="0032360F">
        <w:rPr>
          <w:rFonts w:ascii="Times New Roman" w:hAnsi="Times New Roman" w:cs="Times New Roman"/>
          <w:sz w:val="24"/>
          <w:szCs w:val="24"/>
        </w:rPr>
        <w:t xml:space="preserve">SOLOMON </w:t>
      </w:r>
      <w:r w:rsidR="00BF5BFB" w:rsidRPr="0032360F">
        <w:rPr>
          <w:rFonts w:ascii="Times New Roman" w:hAnsi="Times New Roman" w:cs="Times New Roman"/>
          <w:sz w:val="24"/>
          <w:szCs w:val="24"/>
        </w:rPr>
        <w:t>MADZORE</w:t>
      </w:r>
    </w:p>
    <w:p w:rsidR="00940045" w:rsidRPr="0032360F" w:rsidRDefault="00940045" w:rsidP="00123FD7">
      <w:pPr>
        <w:spacing w:after="0" w:line="240" w:lineRule="auto"/>
        <w:jc w:val="both"/>
        <w:rPr>
          <w:rFonts w:ascii="Times New Roman" w:hAnsi="Times New Roman" w:cs="Times New Roman"/>
          <w:sz w:val="24"/>
          <w:szCs w:val="24"/>
        </w:rPr>
      </w:pPr>
      <w:r w:rsidRPr="0032360F">
        <w:rPr>
          <w:rFonts w:ascii="Times New Roman" w:hAnsi="Times New Roman" w:cs="Times New Roman"/>
          <w:sz w:val="24"/>
          <w:szCs w:val="24"/>
        </w:rPr>
        <w:t>versus</w:t>
      </w:r>
    </w:p>
    <w:p w:rsidR="002C2D94" w:rsidRDefault="0032360F" w:rsidP="00123FD7">
      <w:pPr>
        <w:spacing w:after="0" w:line="240" w:lineRule="auto"/>
        <w:jc w:val="both"/>
        <w:rPr>
          <w:rFonts w:ascii="Times New Roman" w:hAnsi="Times New Roman" w:cs="Times New Roman"/>
          <w:sz w:val="24"/>
          <w:szCs w:val="24"/>
        </w:rPr>
      </w:pPr>
      <w:r w:rsidRPr="0032360F">
        <w:rPr>
          <w:rFonts w:ascii="Times New Roman" w:hAnsi="Times New Roman" w:cs="Times New Roman"/>
          <w:sz w:val="24"/>
          <w:szCs w:val="24"/>
        </w:rPr>
        <w:t xml:space="preserve">MINISTER OF HOME AFFAIRS </w:t>
      </w:r>
    </w:p>
    <w:p w:rsidR="002C2D94" w:rsidRDefault="002C2D94" w:rsidP="00123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C2D94" w:rsidRDefault="002C2D94" w:rsidP="00123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2C2D94" w:rsidRDefault="002C2D94" w:rsidP="00123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127AD" w:rsidRDefault="002C2D94" w:rsidP="00123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 OF POLICE</w:t>
      </w:r>
    </w:p>
    <w:p w:rsidR="004127AD" w:rsidRDefault="004127AD" w:rsidP="00123FD7">
      <w:pPr>
        <w:spacing w:after="0" w:line="240" w:lineRule="auto"/>
        <w:jc w:val="both"/>
        <w:rPr>
          <w:rFonts w:ascii="Times New Roman" w:hAnsi="Times New Roman" w:cs="Times New Roman"/>
          <w:sz w:val="24"/>
          <w:szCs w:val="24"/>
        </w:rPr>
      </w:pPr>
    </w:p>
    <w:p w:rsidR="00BC3C73" w:rsidRDefault="00BC3C73" w:rsidP="00123FD7">
      <w:pPr>
        <w:spacing w:after="0" w:line="240" w:lineRule="auto"/>
        <w:rPr>
          <w:rFonts w:ascii="Times New Roman" w:hAnsi="Times New Roman" w:cs="Times New Roman"/>
          <w:sz w:val="24"/>
          <w:szCs w:val="24"/>
        </w:rPr>
      </w:pPr>
    </w:p>
    <w:p w:rsidR="00090BBF" w:rsidRDefault="00090BBF" w:rsidP="00123FD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123FD7">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974C5E" w:rsidRDefault="00090BBF" w:rsidP="00123FD7">
      <w:pPr>
        <w:spacing w:after="0" w:line="240" w:lineRule="auto"/>
        <w:rPr>
          <w:rFonts w:ascii="Times New Roman" w:hAnsi="Times New Roman" w:cs="Times New Roman"/>
          <w:sz w:val="24"/>
          <w:szCs w:val="24"/>
        </w:rPr>
      </w:pPr>
      <w:r w:rsidRPr="00643A0B">
        <w:rPr>
          <w:rFonts w:ascii="Times New Roman" w:hAnsi="Times New Roman" w:cs="Times New Roman"/>
          <w:sz w:val="24"/>
          <w:szCs w:val="24"/>
        </w:rPr>
        <w:t>HARARE</w:t>
      </w:r>
      <w:r w:rsidR="0032360F" w:rsidRPr="00643A0B">
        <w:rPr>
          <w:rFonts w:ascii="Times New Roman" w:hAnsi="Times New Roman" w:cs="Times New Roman"/>
          <w:sz w:val="24"/>
          <w:szCs w:val="24"/>
        </w:rPr>
        <w:t xml:space="preserve">, 22 </w:t>
      </w:r>
      <w:r w:rsidR="0038394C" w:rsidRPr="00643A0B">
        <w:rPr>
          <w:rFonts w:ascii="Times New Roman" w:hAnsi="Times New Roman" w:cs="Times New Roman"/>
          <w:sz w:val="24"/>
          <w:szCs w:val="24"/>
        </w:rPr>
        <w:t>March</w:t>
      </w:r>
      <w:r w:rsidR="00BF5BFB" w:rsidRPr="00643A0B">
        <w:rPr>
          <w:rFonts w:ascii="Times New Roman" w:hAnsi="Times New Roman" w:cs="Times New Roman"/>
          <w:sz w:val="24"/>
          <w:szCs w:val="24"/>
        </w:rPr>
        <w:t xml:space="preserve"> &amp; </w:t>
      </w:r>
      <w:r w:rsidR="00643A0B">
        <w:rPr>
          <w:rFonts w:ascii="Times New Roman" w:hAnsi="Times New Roman" w:cs="Times New Roman"/>
          <w:sz w:val="24"/>
          <w:szCs w:val="24"/>
        </w:rPr>
        <w:t>12 April</w:t>
      </w:r>
      <w:r w:rsidR="0038394C" w:rsidRPr="00643A0B">
        <w:rPr>
          <w:rFonts w:ascii="Times New Roman" w:hAnsi="Times New Roman" w:cs="Times New Roman"/>
          <w:sz w:val="24"/>
          <w:szCs w:val="24"/>
        </w:rPr>
        <w:t xml:space="preserve"> </w:t>
      </w:r>
      <w:r w:rsidR="003425F4" w:rsidRPr="00643A0B">
        <w:rPr>
          <w:rFonts w:ascii="Times New Roman" w:hAnsi="Times New Roman" w:cs="Times New Roman"/>
          <w:sz w:val="24"/>
          <w:szCs w:val="24"/>
        </w:rPr>
        <w:t>2017</w:t>
      </w:r>
    </w:p>
    <w:p w:rsidR="00090BBF" w:rsidRPr="00CD5DAB" w:rsidRDefault="00090BBF" w:rsidP="00123FD7">
      <w:pPr>
        <w:spacing w:after="0" w:line="240" w:lineRule="auto"/>
        <w:rPr>
          <w:rFonts w:ascii="Times New Roman" w:hAnsi="Times New Roman" w:cs="Times New Roman"/>
          <w:sz w:val="24"/>
          <w:szCs w:val="24"/>
        </w:rPr>
      </w:pP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23FD7">
      <w:pPr>
        <w:spacing w:after="0" w:line="240" w:lineRule="auto"/>
        <w:rPr>
          <w:rFonts w:ascii="Times New Roman" w:hAnsi="Times New Roman" w:cs="Times New Roman"/>
          <w:sz w:val="24"/>
          <w:szCs w:val="24"/>
        </w:rPr>
      </w:pPr>
    </w:p>
    <w:p w:rsidR="00F101FD" w:rsidRDefault="00F101FD" w:rsidP="00123FD7">
      <w:pPr>
        <w:spacing w:after="0" w:line="240" w:lineRule="auto"/>
        <w:rPr>
          <w:rFonts w:ascii="Times New Roman" w:hAnsi="Times New Roman" w:cs="Times New Roman"/>
          <w:sz w:val="24"/>
          <w:szCs w:val="24"/>
        </w:rPr>
      </w:pPr>
    </w:p>
    <w:p w:rsidR="00090BBF" w:rsidRDefault="00BF5BFB" w:rsidP="00123FD7">
      <w:pPr>
        <w:spacing w:after="0" w:line="240" w:lineRule="auto"/>
        <w:rPr>
          <w:rFonts w:ascii="Times New Roman" w:hAnsi="Times New Roman" w:cs="Times New Roman"/>
          <w:b/>
          <w:sz w:val="24"/>
          <w:szCs w:val="24"/>
        </w:rPr>
      </w:pPr>
      <w:r>
        <w:rPr>
          <w:rFonts w:ascii="Times New Roman" w:hAnsi="Times New Roman" w:cs="Times New Roman"/>
          <w:b/>
          <w:sz w:val="24"/>
          <w:szCs w:val="24"/>
        </w:rPr>
        <w:t>Special Plea</w:t>
      </w:r>
      <w:r w:rsidR="00AB6264">
        <w:rPr>
          <w:rFonts w:ascii="Times New Roman" w:hAnsi="Times New Roman" w:cs="Times New Roman"/>
          <w:b/>
          <w:sz w:val="24"/>
          <w:szCs w:val="24"/>
        </w:rPr>
        <w:t xml:space="preserve"> </w:t>
      </w:r>
    </w:p>
    <w:p w:rsidR="00A5344D" w:rsidRDefault="00A5344D" w:rsidP="00123FD7">
      <w:pPr>
        <w:spacing w:after="0" w:line="240" w:lineRule="auto"/>
        <w:rPr>
          <w:rFonts w:ascii="Times New Roman" w:hAnsi="Times New Roman" w:cs="Times New Roman"/>
          <w:b/>
          <w:sz w:val="24"/>
          <w:szCs w:val="24"/>
        </w:rPr>
      </w:pPr>
    </w:p>
    <w:p w:rsidR="000D67DB" w:rsidRPr="00A5344D" w:rsidRDefault="000D67DB" w:rsidP="00123FD7">
      <w:pPr>
        <w:spacing w:after="0" w:line="240" w:lineRule="auto"/>
        <w:rPr>
          <w:rFonts w:ascii="Times New Roman" w:hAnsi="Times New Roman" w:cs="Times New Roman"/>
          <w:b/>
          <w:sz w:val="24"/>
          <w:szCs w:val="24"/>
        </w:rPr>
      </w:pPr>
    </w:p>
    <w:p w:rsidR="00F101FD" w:rsidRDefault="00F101FD" w:rsidP="00123FD7">
      <w:pPr>
        <w:spacing w:after="0" w:line="240" w:lineRule="auto"/>
        <w:rPr>
          <w:rFonts w:ascii="Times New Roman" w:hAnsi="Times New Roman" w:cs="Times New Roman"/>
          <w:i/>
          <w:sz w:val="24"/>
          <w:szCs w:val="24"/>
        </w:rPr>
      </w:pPr>
    </w:p>
    <w:p w:rsidR="00940045" w:rsidRPr="00643A0B" w:rsidRDefault="0032360F" w:rsidP="00123FD7">
      <w:pPr>
        <w:spacing w:after="0" w:line="240" w:lineRule="auto"/>
        <w:rPr>
          <w:rFonts w:ascii="Times New Roman" w:hAnsi="Times New Roman" w:cs="Times New Roman"/>
          <w:sz w:val="24"/>
          <w:szCs w:val="24"/>
        </w:rPr>
      </w:pPr>
      <w:r w:rsidRPr="00643A0B">
        <w:rPr>
          <w:rFonts w:ascii="Times New Roman" w:hAnsi="Times New Roman" w:cs="Times New Roman"/>
          <w:i/>
          <w:sz w:val="24"/>
          <w:szCs w:val="24"/>
        </w:rPr>
        <w:t>DT</w:t>
      </w:r>
      <w:r w:rsidR="002A561D" w:rsidRPr="00643A0B">
        <w:rPr>
          <w:rFonts w:ascii="Times New Roman" w:hAnsi="Times New Roman" w:cs="Times New Roman"/>
          <w:i/>
          <w:sz w:val="24"/>
          <w:szCs w:val="24"/>
        </w:rPr>
        <w:t xml:space="preserve"> </w:t>
      </w:r>
      <w:proofErr w:type="spellStart"/>
      <w:r w:rsidR="002A561D" w:rsidRPr="00643A0B">
        <w:rPr>
          <w:rFonts w:ascii="Times New Roman" w:hAnsi="Times New Roman" w:cs="Times New Roman"/>
          <w:i/>
          <w:sz w:val="24"/>
          <w:szCs w:val="24"/>
        </w:rPr>
        <w:t>H</w:t>
      </w:r>
      <w:r w:rsidR="00BF5BFB" w:rsidRPr="00643A0B">
        <w:rPr>
          <w:rFonts w:ascii="Times New Roman" w:hAnsi="Times New Roman" w:cs="Times New Roman"/>
          <w:i/>
          <w:sz w:val="24"/>
          <w:szCs w:val="24"/>
        </w:rPr>
        <w:t>ofisi</w:t>
      </w:r>
      <w:proofErr w:type="spellEnd"/>
      <w:r w:rsidR="00090BBF" w:rsidRPr="00643A0B">
        <w:rPr>
          <w:rFonts w:ascii="Times New Roman" w:hAnsi="Times New Roman" w:cs="Times New Roman"/>
          <w:i/>
          <w:sz w:val="24"/>
          <w:szCs w:val="24"/>
        </w:rPr>
        <w:t>,</w:t>
      </w:r>
      <w:r w:rsidR="00090BBF" w:rsidRPr="00643A0B">
        <w:rPr>
          <w:rFonts w:ascii="Times New Roman" w:hAnsi="Times New Roman" w:cs="Times New Roman"/>
          <w:sz w:val="24"/>
          <w:szCs w:val="24"/>
        </w:rPr>
        <w:t xml:space="preserve"> for the plaintiff</w:t>
      </w:r>
    </w:p>
    <w:p w:rsidR="00090BBF" w:rsidRPr="007B6BCE" w:rsidRDefault="0032360F" w:rsidP="00123FD7">
      <w:pPr>
        <w:spacing w:after="0" w:line="240" w:lineRule="auto"/>
        <w:rPr>
          <w:rFonts w:ascii="Times New Roman" w:hAnsi="Times New Roman" w:cs="Times New Roman"/>
          <w:sz w:val="24"/>
          <w:szCs w:val="24"/>
        </w:rPr>
      </w:pPr>
      <w:r w:rsidRPr="00643A0B">
        <w:rPr>
          <w:rFonts w:ascii="Times New Roman" w:hAnsi="Times New Roman" w:cs="Times New Roman"/>
          <w:i/>
          <w:sz w:val="24"/>
          <w:szCs w:val="24"/>
        </w:rPr>
        <w:t xml:space="preserve">K </w:t>
      </w:r>
      <w:proofErr w:type="spellStart"/>
      <w:r w:rsidRPr="00643A0B">
        <w:rPr>
          <w:rFonts w:ascii="Times New Roman" w:hAnsi="Times New Roman" w:cs="Times New Roman"/>
          <w:i/>
          <w:sz w:val="24"/>
          <w:szCs w:val="24"/>
        </w:rPr>
        <w:t>Chimiti</w:t>
      </w:r>
      <w:proofErr w:type="spellEnd"/>
      <w:r w:rsidR="006651EB" w:rsidRPr="00643A0B">
        <w:rPr>
          <w:rFonts w:ascii="Times New Roman" w:hAnsi="Times New Roman" w:cs="Times New Roman"/>
          <w:i/>
          <w:sz w:val="24"/>
          <w:szCs w:val="24"/>
        </w:rPr>
        <w:t>,</w:t>
      </w:r>
      <w:r w:rsidR="00090BBF" w:rsidRPr="00643A0B">
        <w:rPr>
          <w:rFonts w:ascii="Times New Roman" w:hAnsi="Times New Roman" w:cs="Times New Roman"/>
          <w:sz w:val="24"/>
          <w:szCs w:val="24"/>
        </w:rPr>
        <w:t xml:space="preserve"> for the </w:t>
      </w:r>
      <w:r w:rsidR="00843C2C" w:rsidRPr="00643A0B">
        <w:rPr>
          <w:rFonts w:ascii="Times New Roman" w:hAnsi="Times New Roman" w:cs="Times New Roman"/>
          <w:sz w:val="24"/>
          <w:szCs w:val="24"/>
        </w:rPr>
        <w:t>defendant</w:t>
      </w:r>
      <w:r w:rsidRPr="00643A0B">
        <w:rPr>
          <w:rFonts w:ascii="Times New Roman" w:hAnsi="Times New Roman" w:cs="Times New Roman"/>
          <w:sz w:val="24"/>
          <w:szCs w:val="24"/>
        </w:rPr>
        <w:t>s</w:t>
      </w:r>
    </w:p>
    <w:p w:rsidR="00090BBF" w:rsidRPr="00CD5DAB" w:rsidRDefault="00090BBF" w:rsidP="00123FD7">
      <w:pPr>
        <w:spacing w:after="0" w:line="240" w:lineRule="auto"/>
        <w:rPr>
          <w:rFonts w:ascii="Times New Roman" w:hAnsi="Times New Roman" w:cs="Times New Roman"/>
          <w:sz w:val="24"/>
          <w:szCs w:val="24"/>
        </w:rPr>
      </w:pPr>
    </w:p>
    <w:p w:rsidR="00090BBF" w:rsidRPr="00CD5DAB" w:rsidRDefault="00090BBF" w:rsidP="00123FD7">
      <w:pPr>
        <w:spacing w:after="0" w:line="240" w:lineRule="auto"/>
        <w:rPr>
          <w:rFonts w:ascii="Times New Roman" w:hAnsi="Times New Roman" w:cs="Times New Roman"/>
          <w:sz w:val="24"/>
          <w:szCs w:val="24"/>
        </w:rPr>
      </w:pPr>
    </w:p>
    <w:p w:rsidR="00BC3C73" w:rsidRDefault="00AB6264" w:rsidP="00BC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The p</w:t>
      </w:r>
      <w:r w:rsidR="0034675B">
        <w:rPr>
          <w:rFonts w:ascii="Times New Roman" w:hAnsi="Times New Roman" w:cs="Times New Roman"/>
          <w:sz w:val="24"/>
          <w:szCs w:val="24"/>
        </w:rPr>
        <w:t>laintiff</w:t>
      </w:r>
      <w:r w:rsidR="00BF5BFB">
        <w:rPr>
          <w:rFonts w:ascii="Times New Roman" w:hAnsi="Times New Roman" w:cs="Times New Roman"/>
          <w:sz w:val="24"/>
          <w:szCs w:val="24"/>
        </w:rPr>
        <w:t xml:space="preserve"> issued summons for damages for unlawful arrest and detention on </w:t>
      </w:r>
      <w:r w:rsidR="00D054BA">
        <w:rPr>
          <w:rFonts w:ascii="Times New Roman" w:hAnsi="Times New Roman" w:cs="Times New Roman"/>
          <w:sz w:val="24"/>
          <w:szCs w:val="24"/>
        </w:rPr>
        <w:t>16 August 2016</w:t>
      </w:r>
      <w:r w:rsidR="00BF5BFB">
        <w:rPr>
          <w:rFonts w:ascii="Times New Roman" w:hAnsi="Times New Roman" w:cs="Times New Roman"/>
          <w:sz w:val="24"/>
          <w:szCs w:val="24"/>
        </w:rPr>
        <w:t xml:space="preserve">. He </w:t>
      </w:r>
      <w:r w:rsidR="00D054BA">
        <w:rPr>
          <w:rFonts w:ascii="Times New Roman" w:hAnsi="Times New Roman" w:cs="Times New Roman"/>
          <w:sz w:val="24"/>
          <w:szCs w:val="24"/>
        </w:rPr>
        <w:t xml:space="preserve">stated the </w:t>
      </w:r>
      <w:r w:rsidR="00E839D0">
        <w:rPr>
          <w:rFonts w:ascii="Times New Roman" w:hAnsi="Times New Roman" w:cs="Times New Roman"/>
          <w:sz w:val="24"/>
          <w:szCs w:val="24"/>
        </w:rPr>
        <w:t xml:space="preserve">facts grounding his </w:t>
      </w:r>
      <w:r w:rsidR="00D054BA">
        <w:rPr>
          <w:rFonts w:ascii="Times New Roman" w:hAnsi="Times New Roman" w:cs="Times New Roman"/>
          <w:sz w:val="24"/>
          <w:szCs w:val="24"/>
        </w:rPr>
        <w:t>cause of action in his summons as follows:</w:t>
      </w:r>
    </w:p>
    <w:p w:rsidR="00BC3C73" w:rsidRDefault="00BC3C73" w:rsidP="00BC3C73">
      <w:pPr>
        <w:spacing w:after="0" w:line="360" w:lineRule="auto"/>
        <w:ind w:firstLine="720"/>
        <w:jc w:val="both"/>
        <w:rPr>
          <w:rFonts w:ascii="Times New Roman" w:hAnsi="Times New Roman" w:cs="Times New Roman"/>
          <w:sz w:val="24"/>
          <w:szCs w:val="24"/>
        </w:rPr>
      </w:pPr>
    </w:p>
    <w:p w:rsidR="00D054BA" w:rsidRPr="00BC3C73" w:rsidRDefault="00D054BA" w:rsidP="00BC3C73">
      <w:pPr>
        <w:spacing w:after="0" w:line="360" w:lineRule="auto"/>
        <w:ind w:firstLine="720"/>
        <w:jc w:val="both"/>
        <w:rPr>
          <w:rFonts w:ascii="Times New Roman" w:hAnsi="Times New Roman" w:cs="Times New Roman"/>
          <w:sz w:val="24"/>
          <w:szCs w:val="24"/>
        </w:rPr>
      </w:pPr>
      <w:r w:rsidRPr="00D054BA">
        <w:rPr>
          <w:rFonts w:ascii="Times New Roman" w:hAnsi="Times New Roman" w:cs="Times New Roman"/>
        </w:rPr>
        <w:t xml:space="preserve">“This claim arises from his unlawful arrest on 4 October 2011 and the four hundred and five </w:t>
      </w:r>
      <w:r w:rsidR="00BC3C73">
        <w:rPr>
          <w:rFonts w:ascii="Times New Roman" w:hAnsi="Times New Roman" w:cs="Times New Roman"/>
        </w:rPr>
        <w:tab/>
      </w:r>
      <w:r w:rsidRPr="00D054BA">
        <w:rPr>
          <w:rFonts w:ascii="Times New Roman" w:hAnsi="Times New Roman" w:cs="Times New Roman"/>
        </w:rPr>
        <w:t xml:space="preserve">(405) days he spent in solitary confinement at </w:t>
      </w:r>
      <w:proofErr w:type="spellStart"/>
      <w:r w:rsidRPr="00D054BA">
        <w:rPr>
          <w:rFonts w:ascii="Times New Roman" w:hAnsi="Times New Roman" w:cs="Times New Roman"/>
        </w:rPr>
        <w:t>Chikurubi</w:t>
      </w:r>
      <w:proofErr w:type="spellEnd"/>
      <w:r w:rsidRPr="00D054BA">
        <w:rPr>
          <w:rFonts w:ascii="Times New Roman" w:hAnsi="Times New Roman" w:cs="Times New Roman"/>
        </w:rPr>
        <w:t xml:space="preserve"> Maximum Prison. In his discharge at </w:t>
      </w:r>
      <w:r w:rsidR="00BC3C73">
        <w:rPr>
          <w:rFonts w:ascii="Times New Roman" w:hAnsi="Times New Roman" w:cs="Times New Roman"/>
        </w:rPr>
        <w:tab/>
      </w:r>
      <w:r w:rsidRPr="00D054BA">
        <w:rPr>
          <w:rFonts w:ascii="Times New Roman" w:hAnsi="Times New Roman" w:cs="Times New Roman"/>
        </w:rPr>
        <w:t xml:space="preserve">the close of the State case, the High Court confirmed that his arrest and incarceration was in </w:t>
      </w:r>
      <w:r w:rsidR="00BC3C73">
        <w:rPr>
          <w:rFonts w:ascii="Times New Roman" w:hAnsi="Times New Roman" w:cs="Times New Roman"/>
        </w:rPr>
        <w:tab/>
      </w:r>
      <w:r w:rsidRPr="00D054BA">
        <w:rPr>
          <w:rFonts w:ascii="Times New Roman" w:hAnsi="Times New Roman" w:cs="Times New Roman"/>
        </w:rPr>
        <w:t xml:space="preserve">spite of the confirmation of his alibi by the police and that there was no evidence linking him </w:t>
      </w:r>
      <w:r w:rsidR="00BC3C73">
        <w:rPr>
          <w:rFonts w:ascii="Times New Roman" w:hAnsi="Times New Roman" w:cs="Times New Roman"/>
        </w:rPr>
        <w:tab/>
      </w:r>
      <w:r w:rsidRPr="00D054BA">
        <w:rPr>
          <w:rFonts w:ascii="Times New Roman" w:hAnsi="Times New Roman" w:cs="Times New Roman"/>
        </w:rPr>
        <w:t>to the alleged offence.”</w:t>
      </w:r>
    </w:p>
    <w:p w:rsidR="004E5F23" w:rsidRPr="00D054BA" w:rsidRDefault="004E5F23" w:rsidP="00D054BA">
      <w:pPr>
        <w:spacing w:after="0" w:line="360" w:lineRule="auto"/>
        <w:ind w:left="720" w:firstLine="720"/>
        <w:jc w:val="both"/>
        <w:rPr>
          <w:rFonts w:ascii="Times New Roman" w:hAnsi="Times New Roman" w:cs="Times New Roman"/>
        </w:rPr>
      </w:pPr>
    </w:p>
    <w:p w:rsidR="00BC3C73" w:rsidRDefault="00D054BA" w:rsidP="00BC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F5BFB">
        <w:rPr>
          <w:rFonts w:ascii="Times New Roman" w:hAnsi="Times New Roman" w:cs="Times New Roman"/>
          <w:sz w:val="24"/>
          <w:szCs w:val="24"/>
        </w:rPr>
        <w:t xml:space="preserve">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7-11</w:t>
      </w:r>
      <w:r w:rsidR="00694543">
        <w:rPr>
          <w:rFonts w:ascii="Times New Roman" w:hAnsi="Times New Roman" w:cs="Times New Roman"/>
          <w:sz w:val="24"/>
          <w:szCs w:val="24"/>
        </w:rPr>
        <w:t xml:space="preserve"> </w:t>
      </w:r>
      <w:r w:rsidR="00BF5BFB">
        <w:rPr>
          <w:rFonts w:ascii="Times New Roman" w:hAnsi="Times New Roman" w:cs="Times New Roman"/>
          <w:sz w:val="24"/>
          <w:szCs w:val="24"/>
        </w:rPr>
        <w:t xml:space="preserve">of his </w:t>
      </w:r>
      <w:r>
        <w:rPr>
          <w:rFonts w:ascii="Times New Roman" w:hAnsi="Times New Roman" w:cs="Times New Roman"/>
          <w:sz w:val="24"/>
          <w:szCs w:val="24"/>
        </w:rPr>
        <w:t>declaration, he amplified th</w:t>
      </w:r>
      <w:r w:rsidR="00E839D0">
        <w:rPr>
          <w:rFonts w:ascii="Times New Roman" w:hAnsi="Times New Roman" w:cs="Times New Roman"/>
          <w:sz w:val="24"/>
          <w:szCs w:val="24"/>
        </w:rPr>
        <w:t xml:space="preserve">ese facts </w:t>
      </w:r>
      <w:r>
        <w:rPr>
          <w:rFonts w:ascii="Times New Roman" w:hAnsi="Times New Roman" w:cs="Times New Roman"/>
          <w:sz w:val="24"/>
          <w:szCs w:val="24"/>
        </w:rPr>
        <w:t>i</w:t>
      </w:r>
      <w:r w:rsidR="00E839D0">
        <w:rPr>
          <w:rFonts w:ascii="Times New Roman" w:hAnsi="Times New Roman" w:cs="Times New Roman"/>
          <w:sz w:val="24"/>
          <w:szCs w:val="24"/>
        </w:rPr>
        <w:t>n support of hi</w:t>
      </w:r>
      <w:r>
        <w:rPr>
          <w:rFonts w:ascii="Times New Roman" w:hAnsi="Times New Roman" w:cs="Times New Roman"/>
          <w:sz w:val="24"/>
          <w:szCs w:val="24"/>
        </w:rPr>
        <w:t>s cause of action as follows:</w:t>
      </w:r>
      <w:r w:rsidR="00BF5BFB">
        <w:rPr>
          <w:rFonts w:ascii="Times New Roman" w:hAnsi="Times New Roman" w:cs="Times New Roman"/>
          <w:sz w:val="24"/>
          <w:szCs w:val="24"/>
        </w:rPr>
        <w:t xml:space="preserve"> </w:t>
      </w:r>
    </w:p>
    <w:p w:rsidR="00BC3C73" w:rsidRDefault="00D054BA" w:rsidP="00BC3C73">
      <w:pPr>
        <w:spacing w:after="0" w:line="360" w:lineRule="auto"/>
        <w:ind w:firstLine="720"/>
        <w:jc w:val="both"/>
        <w:rPr>
          <w:rFonts w:ascii="Times New Roman" w:hAnsi="Times New Roman" w:cs="Times New Roman"/>
          <w:sz w:val="24"/>
          <w:szCs w:val="24"/>
        </w:rPr>
      </w:pPr>
      <w:r w:rsidRPr="00E839D0">
        <w:rPr>
          <w:rFonts w:ascii="Times New Roman" w:hAnsi="Times New Roman" w:cs="Times New Roman"/>
        </w:rPr>
        <w:t xml:space="preserve">“7. On </w:t>
      </w:r>
      <w:r w:rsidR="00E839D0">
        <w:rPr>
          <w:rFonts w:ascii="Times New Roman" w:hAnsi="Times New Roman" w:cs="Times New Roman"/>
        </w:rPr>
        <w:t xml:space="preserve">4 October 2011, several armed police officers attended at his then Waterfalls home </w:t>
      </w:r>
      <w:r w:rsidR="00BC3C73">
        <w:rPr>
          <w:rFonts w:ascii="Times New Roman" w:hAnsi="Times New Roman" w:cs="Times New Roman"/>
        </w:rPr>
        <w:tab/>
      </w:r>
      <w:r w:rsidR="00E839D0">
        <w:rPr>
          <w:rFonts w:ascii="Times New Roman" w:hAnsi="Times New Roman" w:cs="Times New Roman"/>
        </w:rPr>
        <w:t>and arrested him in connection with the murder of Inspector Mutedza.</w:t>
      </w:r>
    </w:p>
    <w:p w:rsidR="00BC3C73" w:rsidRDefault="00E839D0" w:rsidP="00BC3C73">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8. Therefore he was questioned at Harare Central Police Station about his activities and </w:t>
      </w:r>
      <w:r w:rsidR="00BC3C73">
        <w:rPr>
          <w:rFonts w:ascii="Times New Roman" w:hAnsi="Times New Roman" w:cs="Times New Roman"/>
        </w:rPr>
        <w:tab/>
      </w:r>
      <w:r>
        <w:rPr>
          <w:rFonts w:ascii="Times New Roman" w:hAnsi="Times New Roman" w:cs="Times New Roman"/>
        </w:rPr>
        <w:t>whereabouts on the 29</w:t>
      </w:r>
      <w:r w:rsidRPr="00E839D0">
        <w:rPr>
          <w:rFonts w:ascii="Times New Roman" w:hAnsi="Times New Roman" w:cs="Times New Roman"/>
          <w:vertAlign w:val="superscript"/>
        </w:rPr>
        <w:t>th</w:t>
      </w:r>
      <w:r>
        <w:rPr>
          <w:rFonts w:ascii="Times New Roman" w:hAnsi="Times New Roman" w:cs="Times New Roman"/>
        </w:rPr>
        <w:t xml:space="preserve"> of May 2011. H</w:t>
      </w:r>
      <w:r w:rsidR="00A60F48">
        <w:rPr>
          <w:rFonts w:ascii="Times New Roman" w:hAnsi="Times New Roman" w:cs="Times New Roman"/>
        </w:rPr>
        <w:t>e</w:t>
      </w:r>
      <w:r>
        <w:rPr>
          <w:rFonts w:ascii="Times New Roman" w:hAnsi="Times New Roman" w:cs="Times New Roman"/>
        </w:rPr>
        <w:t xml:space="preserve"> explained that on that day in questioned (</w:t>
      </w:r>
      <w:r w:rsidRPr="005B3778">
        <w:rPr>
          <w:rFonts w:ascii="Times New Roman" w:hAnsi="Times New Roman" w:cs="Times New Roman"/>
          <w:i/>
        </w:rPr>
        <w:t>sic</w:t>
      </w:r>
      <w:r>
        <w:rPr>
          <w:rFonts w:ascii="Times New Roman" w:hAnsi="Times New Roman" w:cs="Times New Roman"/>
        </w:rPr>
        <w:t xml:space="preserve">) he had </w:t>
      </w:r>
      <w:r w:rsidR="00BC3C73">
        <w:rPr>
          <w:rFonts w:ascii="Times New Roman" w:hAnsi="Times New Roman" w:cs="Times New Roman"/>
        </w:rPr>
        <w:tab/>
      </w:r>
      <w:r>
        <w:rPr>
          <w:rFonts w:ascii="Times New Roman" w:hAnsi="Times New Roman" w:cs="Times New Roman"/>
        </w:rPr>
        <w:t xml:space="preserve">taken his wife to see Dr Regis </w:t>
      </w:r>
      <w:proofErr w:type="spellStart"/>
      <w:r>
        <w:rPr>
          <w:rFonts w:ascii="Times New Roman" w:hAnsi="Times New Roman" w:cs="Times New Roman"/>
        </w:rPr>
        <w:t>Munyoro</w:t>
      </w:r>
      <w:proofErr w:type="spellEnd"/>
      <w:r>
        <w:rPr>
          <w:rFonts w:ascii="Times New Roman" w:hAnsi="Times New Roman" w:cs="Times New Roman"/>
        </w:rPr>
        <w:t xml:space="preserve">, a general medical practitioner, as she suffered a </w:t>
      </w:r>
      <w:r w:rsidR="00BC3C73">
        <w:rPr>
          <w:rFonts w:ascii="Times New Roman" w:hAnsi="Times New Roman" w:cs="Times New Roman"/>
        </w:rPr>
        <w:tab/>
      </w:r>
      <w:r>
        <w:rPr>
          <w:rFonts w:ascii="Times New Roman" w:hAnsi="Times New Roman" w:cs="Times New Roman"/>
        </w:rPr>
        <w:t>miscarriage on the day. He explained that he spent the day and night with her.</w:t>
      </w:r>
    </w:p>
    <w:p w:rsidR="00D87C5F" w:rsidRDefault="00E839D0" w:rsidP="00D87C5F">
      <w:pPr>
        <w:spacing w:after="0" w:line="360" w:lineRule="auto"/>
        <w:ind w:firstLine="720"/>
        <w:jc w:val="both"/>
        <w:rPr>
          <w:rFonts w:ascii="Times New Roman" w:hAnsi="Times New Roman" w:cs="Times New Roman"/>
          <w:sz w:val="24"/>
          <w:szCs w:val="24"/>
        </w:rPr>
      </w:pPr>
      <w:r>
        <w:rPr>
          <w:rFonts w:ascii="Times New Roman" w:hAnsi="Times New Roman" w:cs="Times New Roman"/>
        </w:rPr>
        <w:lastRenderedPageBreak/>
        <w:t xml:space="preserve">9. Police officers confirmed this alibi and placed it on record in open court that they </w:t>
      </w:r>
      <w:r w:rsidR="00BC3C73">
        <w:rPr>
          <w:rFonts w:ascii="Times New Roman" w:hAnsi="Times New Roman" w:cs="Times New Roman"/>
        </w:rPr>
        <w:tab/>
      </w:r>
      <w:r>
        <w:rPr>
          <w:rFonts w:ascii="Times New Roman" w:hAnsi="Times New Roman" w:cs="Times New Roman"/>
        </w:rPr>
        <w:t>confirmed his alibi.</w:t>
      </w:r>
    </w:p>
    <w:p w:rsidR="00D87C5F" w:rsidRDefault="00E839D0" w:rsidP="00D87C5F">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10. In spite of such confirmation, they still proceeded to detain and arraign him before the </w:t>
      </w:r>
      <w:r w:rsidR="00D87C5F">
        <w:rPr>
          <w:rFonts w:ascii="Times New Roman" w:hAnsi="Times New Roman" w:cs="Times New Roman"/>
        </w:rPr>
        <w:tab/>
      </w:r>
      <w:r>
        <w:rPr>
          <w:rFonts w:ascii="Times New Roman" w:hAnsi="Times New Roman" w:cs="Times New Roman"/>
        </w:rPr>
        <w:t xml:space="preserve">courts where he was remanded in custody </w:t>
      </w:r>
      <w:r w:rsidRPr="00E839D0">
        <w:rPr>
          <w:rFonts w:ascii="Times New Roman" w:hAnsi="Times New Roman" w:cs="Times New Roman"/>
          <w:u w:val="single"/>
        </w:rPr>
        <w:t>until his release on 12 December 2012</w:t>
      </w:r>
      <w:r>
        <w:rPr>
          <w:rFonts w:ascii="Times New Roman" w:hAnsi="Times New Roman" w:cs="Times New Roman"/>
        </w:rPr>
        <w:t xml:space="preserve"> (my </w:t>
      </w:r>
      <w:r w:rsidR="00D87C5F">
        <w:rPr>
          <w:rFonts w:ascii="Times New Roman" w:hAnsi="Times New Roman" w:cs="Times New Roman"/>
        </w:rPr>
        <w:tab/>
      </w:r>
      <w:r>
        <w:rPr>
          <w:rFonts w:ascii="Times New Roman" w:hAnsi="Times New Roman" w:cs="Times New Roman"/>
        </w:rPr>
        <w:t>emphasis) following his discharge at the close of the State case.</w:t>
      </w:r>
    </w:p>
    <w:p w:rsidR="00BF5BFB" w:rsidRPr="00D87C5F" w:rsidRDefault="00E839D0" w:rsidP="00D87C5F">
      <w:pPr>
        <w:spacing w:after="0" w:line="360" w:lineRule="auto"/>
        <w:ind w:firstLine="720"/>
        <w:jc w:val="both"/>
        <w:rPr>
          <w:rFonts w:ascii="Times New Roman" w:hAnsi="Times New Roman" w:cs="Times New Roman"/>
          <w:sz w:val="24"/>
          <w:szCs w:val="24"/>
        </w:rPr>
      </w:pPr>
      <w:r>
        <w:rPr>
          <w:rFonts w:ascii="Times New Roman" w:hAnsi="Times New Roman" w:cs="Times New Roman"/>
        </w:rPr>
        <w:t>11. He spent a total of four hundred and five (405) days in s</w:t>
      </w:r>
      <w:r w:rsidR="0061260E">
        <w:rPr>
          <w:rFonts w:ascii="Times New Roman" w:hAnsi="Times New Roman" w:cs="Times New Roman"/>
        </w:rPr>
        <w:t xml:space="preserve">olitary confinement at </w:t>
      </w:r>
      <w:proofErr w:type="spellStart"/>
      <w:r w:rsidR="0061260E">
        <w:rPr>
          <w:rFonts w:ascii="Times New Roman" w:hAnsi="Times New Roman" w:cs="Times New Roman"/>
        </w:rPr>
        <w:t>Chikurub</w:t>
      </w:r>
      <w:r>
        <w:rPr>
          <w:rFonts w:ascii="Times New Roman" w:hAnsi="Times New Roman" w:cs="Times New Roman"/>
        </w:rPr>
        <w:t>i</w:t>
      </w:r>
      <w:proofErr w:type="spellEnd"/>
      <w:r>
        <w:rPr>
          <w:rFonts w:ascii="Times New Roman" w:hAnsi="Times New Roman" w:cs="Times New Roman"/>
        </w:rPr>
        <w:t xml:space="preserve"> </w:t>
      </w:r>
      <w:r w:rsidR="00D87C5F">
        <w:rPr>
          <w:rFonts w:ascii="Times New Roman" w:hAnsi="Times New Roman" w:cs="Times New Roman"/>
        </w:rPr>
        <w:tab/>
      </w:r>
      <w:r>
        <w:rPr>
          <w:rFonts w:ascii="Times New Roman" w:hAnsi="Times New Roman" w:cs="Times New Roman"/>
        </w:rPr>
        <w:t>(</w:t>
      </w:r>
      <w:r w:rsidRPr="00D87C5F">
        <w:rPr>
          <w:rFonts w:ascii="Times New Roman" w:hAnsi="Times New Roman" w:cs="Times New Roman"/>
          <w:i/>
        </w:rPr>
        <w:t>sic</w:t>
      </w:r>
      <w:r>
        <w:rPr>
          <w:rFonts w:ascii="Times New Roman" w:hAnsi="Times New Roman" w:cs="Times New Roman"/>
        </w:rPr>
        <w:t>) Maximum Prison until he was discharged at the close of the State Case.</w:t>
      </w:r>
      <w:r w:rsidR="00BF5BFB" w:rsidRPr="00E839D0">
        <w:rPr>
          <w:rFonts w:ascii="Times New Roman" w:hAnsi="Times New Roman" w:cs="Times New Roman"/>
        </w:rPr>
        <w:t>”</w:t>
      </w:r>
    </w:p>
    <w:p w:rsidR="004E5F23" w:rsidRPr="00E839D0" w:rsidRDefault="004E5F23" w:rsidP="00E839D0">
      <w:pPr>
        <w:spacing w:after="0" w:line="360" w:lineRule="auto"/>
        <w:ind w:left="720" w:firstLine="720"/>
        <w:jc w:val="both"/>
        <w:rPr>
          <w:rFonts w:ascii="Times New Roman" w:hAnsi="Times New Roman" w:cs="Times New Roman"/>
        </w:rPr>
      </w:pPr>
    </w:p>
    <w:p w:rsidR="00BF5BFB" w:rsidRDefault="00BF5BFB" w:rsidP="00595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32360F">
        <w:rPr>
          <w:rFonts w:ascii="Times New Roman" w:hAnsi="Times New Roman" w:cs="Times New Roman"/>
          <w:sz w:val="24"/>
          <w:szCs w:val="24"/>
        </w:rPr>
        <w:t xml:space="preserve">rior to the issuance of the </w:t>
      </w:r>
      <w:r>
        <w:rPr>
          <w:rFonts w:ascii="Times New Roman" w:hAnsi="Times New Roman" w:cs="Times New Roman"/>
          <w:sz w:val="24"/>
          <w:szCs w:val="24"/>
        </w:rPr>
        <w:t>summons</w:t>
      </w:r>
      <w:r w:rsidR="005B7AE1">
        <w:rPr>
          <w:rFonts w:ascii="Times New Roman" w:hAnsi="Times New Roman" w:cs="Times New Roman"/>
          <w:sz w:val="24"/>
          <w:szCs w:val="24"/>
        </w:rPr>
        <w:t>, the plaintiff</w:t>
      </w:r>
      <w:r>
        <w:rPr>
          <w:rFonts w:ascii="Times New Roman" w:hAnsi="Times New Roman" w:cs="Times New Roman"/>
          <w:sz w:val="24"/>
          <w:szCs w:val="24"/>
        </w:rPr>
        <w:t xml:space="preserve"> had also issued a notice of intention to sue </w:t>
      </w:r>
      <w:r w:rsidR="0032360F">
        <w:rPr>
          <w:rFonts w:ascii="Times New Roman" w:hAnsi="Times New Roman" w:cs="Times New Roman"/>
          <w:sz w:val="24"/>
          <w:szCs w:val="24"/>
        </w:rPr>
        <w:t xml:space="preserve">in </w:t>
      </w:r>
      <w:r>
        <w:rPr>
          <w:rFonts w:ascii="Times New Roman" w:hAnsi="Times New Roman" w:cs="Times New Roman"/>
          <w:sz w:val="24"/>
          <w:szCs w:val="24"/>
        </w:rPr>
        <w:t>terms of</w:t>
      </w:r>
      <w:r w:rsidR="005B7AE1">
        <w:rPr>
          <w:rFonts w:ascii="Times New Roman" w:hAnsi="Times New Roman" w:cs="Times New Roman"/>
          <w:sz w:val="24"/>
          <w:szCs w:val="24"/>
        </w:rPr>
        <w:t xml:space="preserve"> the State Liabilities Act, </w:t>
      </w:r>
      <w:r w:rsidR="0061260E">
        <w:rPr>
          <w:rFonts w:ascii="Times New Roman" w:hAnsi="Times New Roman" w:cs="Times New Roman"/>
          <w:sz w:val="24"/>
          <w:szCs w:val="24"/>
        </w:rPr>
        <w:t>[</w:t>
      </w:r>
      <w:r w:rsidR="005B7AE1" w:rsidRPr="00B656A5">
        <w:rPr>
          <w:rFonts w:ascii="Times New Roman" w:hAnsi="Times New Roman" w:cs="Times New Roman"/>
          <w:i/>
          <w:sz w:val="24"/>
          <w:szCs w:val="24"/>
        </w:rPr>
        <w:t>C</w:t>
      </w:r>
      <w:r w:rsidR="0061260E" w:rsidRPr="00B656A5">
        <w:rPr>
          <w:rFonts w:ascii="Times New Roman" w:hAnsi="Times New Roman" w:cs="Times New Roman"/>
          <w:i/>
          <w:sz w:val="24"/>
          <w:szCs w:val="24"/>
        </w:rPr>
        <w:t>h</w:t>
      </w:r>
      <w:r w:rsidR="005B7AE1" w:rsidRPr="00B656A5">
        <w:rPr>
          <w:rFonts w:ascii="Times New Roman" w:hAnsi="Times New Roman" w:cs="Times New Roman"/>
          <w:i/>
          <w:sz w:val="24"/>
          <w:szCs w:val="24"/>
        </w:rPr>
        <w:t>ap</w:t>
      </w:r>
      <w:r w:rsidR="0061260E" w:rsidRPr="00B656A5">
        <w:rPr>
          <w:rFonts w:ascii="Times New Roman" w:hAnsi="Times New Roman" w:cs="Times New Roman"/>
          <w:i/>
          <w:sz w:val="24"/>
          <w:szCs w:val="24"/>
        </w:rPr>
        <w:t>ter</w:t>
      </w:r>
      <w:r w:rsidR="005B7AE1" w:rsidRPr="00B656A5">
        <w:rPr>
          <w:rFonts w:ascii="Times New Roman" w:hAnsi="Times New Roman" w:cs="Times New Roman"/>
          <w:i/>
          <w:sz w:val="24"/>
          <w:szCs w:val="24"/>
        </w:rPr>
        <w:t xml:space="preserve"> 8:14</w:t>
      </w:r>
      <w:r w:rsidR="0061260E">
        <w:rPr>
          <w:rFonts w:ascii="Times New Roman" w:hAnsi="Times New Roman" w:cs="Times New Roman"/>
          <w:sz w:val="24"/>
          <w:szCs w:val="24"/>
        </w:rPr>
        <w:t>]</w:t>
      </w:r>
      <w:r>
        <w:rPr>
          <w:rFonts w:ascii="Times New Roman" w:hAnsi="Times New Roman" w:cs="Times New Roman"/>
          <w:sz w:val="24"/>
          <w:szCs w:val="24"/>
        </w:rPr>
        <w:t>, wherein he also alleged the same basis for his claim.</w:t>
      </w:r>
    </w:p>
    <w:p w:rsidR="00681DD8" w:rsidRDefault="00BF5BFB"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receipt of the summons, the defendants noted a special plea that</w:t>
      </w:r>
      <w:r w:rsidR="006123F1">
        <w:rPr>
          <w:rFonts w:ascii="Times New Roman" w:hAnsi="Times New Roman" w:cs="Times New Roman"/>
          <w:sz w:val="24"/>
          <w:szCs w:val="24"/>
        </w:rPr>
        <w:t>, the</w:t>
      </w:r>
      <w:r>
        <w:rPr>
          <w:rFonts w:ascii="Times New Roman" w:hAnsi="Times New Roman" w:cs="Times New Roman"/>
          <w:sz w:val="24"/>
          <w:szCs w:val="24"/>
        </w:rPr>
        <w:t xml:space="preserve"> summons having been issued more than three years since the date the cause of action arose, the matter had prescribed. Further, the defendants specially pleaded that the claim being based on the conduct of police officers acting within their scope of employment in terms of the </w:t>
      </w:r>
      <w:r w:rsidR="0032360F">
        <w:rPr>
          <w:rFonts w:ascii="Times New Roman" w:hAnsi="Times New Roman" w:cs="Times New Roman"/>
          <w:sz w:val="24"/>
          <w:szCs w:val="24"/>
        </w:rPr>
        <w:t>Police</w:t>
      </w:r>
      <w:r>
        <w:rPr>
          <w:rFonts w:ascii="Times New Roman" w:hAnsi="Times New Roman" w:cs="Times New Roman"/>
          <w:sz w:val="24"/>
          <w:szCs w:val="24"/>
        </w:rPr>
        <w:t xml:space="preserve"> </w:t>
      </w:r>
      <w:r w:rsidR="005B7AE1">
        <w:rPr>
          <w:rFonts w:ascii="Times New Roman" w:hAnsi="Times New Roman" w:cs="Times New Roman"/>
          <w:sz w:val="24"/>
          <w:szCs w:val="24"/>
        </w:rPr>
        <w:t>A</w:t>
      </w:r>
      <w:r>
        <w:rPr>
          <w:rFonts w:ascii="Times New Roman" w:hAnsi="Times New Roman" w:cs="Times New Roman"/>
          <w:sz w:val="24"/>
          <w:szCs w:val="24"/>
        </w:rPr>
        <w:t>ct,</w:t>
      </w:r>
      <w:r w:rsidR="005B7AE1">
        <w:rPr>
          <w:rFonts w:ascii="Times New Roman" w:hAnsi="Times New Roman" w:cs="Times New Roman"/>
          <w:sz w:val="24"/>
          <w:szCs w:val="24"/>
        </w:rPr>
        <w:t xml:space="preserve"> </w:t>
      </w:r>
      <w:r w:rsidR="00F06BF2">
        <w:rPr>
          <w:rFonts w:ascii="Times New Roman" w:hAnsi="Times New Roman" w:cs="Times New Roman"/>
          <w:sz w:val="24"/>
          <w:szCs w:val="24"/>
        </w:rPr>
        <w:t>[</w:t>
      </w:r>
      <w:r w:rsidR="005B7AE1" w:rsidRPr="00F06BF2">
        <w:rPr>
          <w:rFonts w:ascii="Times New Roman" w:hAnsi="Times New Roman" w:cs="Times New Roman"/>
          <w:i/>
          <w:sz w:val="24"/>
          <w:szCs w:val="24"/>
        </w:rPr>
        <w:t>C</w:t>
      </w:r>
      <w:r w:rsidR="00F06BF2" w:rsidRPr="00F06BF2">
        <w:rPr>
          <w:rFonts w:ascii="Times New Roman" w:hAnsi="Times New Roman" w:cs="Times New Roman"/>
          <w:i/>
          <w:sz w:val="24"/>
          <w:szCs w:val="24"/>
        </w:rPr>
        <w:t>h</w:t>
      </w:r>
      <w:r w:rsidR="005B7AE1" w:rsidRPr="00F06BF2">
        <w:rPr>
          <w:rFonts w:ascii="Times New Roman" w:hAnsi="Times New Roman" w:cs="Times New Roman"/>
          <w:i/>
          <w:sz w:val="24"/>
          <w:szCs w:val="24"/>
        </w:rPr>
        <w:t>ap</w:t>
      </w:r>
      <w:r w:rsidR="00F06BF2" w:rsidRPr="00F06BF2">
        <w:rPr>
          <w:rFonts w:ascii="Times New Roman" w:hAnsi="Times New Roman" w:cs="Times New Roman"/>
          <w:i/>
          <w:sz w:val="24"/>
          <w:szCs w:val="24"/>
        </w:rPr>
        <w:t>ter</w:t>
      </w:r>
      <w:r w:rsidR="005B7AE1" w:rsidRPr="00F06BF2">
        <w:rPr>
          <w:rFonts w:ascii="Times New Roman" w:hAnsi="Times New Roman" w:cs="Times New Roman"/>
          <w:i/>
          <w:sz w:val="24"/>
          <w:szCs w:val="24"/>
        </w:rPr>
        <w:t xml:space="preserve"> 11:10</w:t>
      </w:r>
      <w:r w:rsidR="00F06BF2">
        <w:rPr>
          <w:rFonts w:ascii="Times New Roman" w:hAnsi="Times New Roman" w:cs="Times New Roman"/>
          <w:sz w:val="24"/>
          <w:szCs w:val="24"/>
        </w:rPr>
        <w:t>]</w:t>
      </w:r>
      <w:r w:rsidR="005B7AE1">
        <w:rPr>
          <w:rFonts w:ascii="Times New Roman" w:hAnsi="Times New Roman" w:cs="Times New Roman"/>
          <w:sz w:val="24"/>
          <w:szCs w:val="24"/>
        </w:rPr>
        <w:t>,</w:t>
      </w:r>
      <w:r>
        <w:rPr>
          <w:rFonts w:ascii="Times New Roman" w:hAnsi="Times New Roman" w:cs="Times New Roman"/>
          <w:sz w:val="24"/>
          <w:szCs w:val="24"/>
        </w:rPr>
        <w:t xml:space="preserve"> ran afoul of s 70 </w:t>
      </w:r>
      <w:r w:rsidR="005B7AE1">
        <w:rPr>
          <w:rFonts w:ascii="Times New Roman" w:hAnsi="Times New Roman" w:cs="Times New Roman"/>
          <w:sz w:val="24"/>
          <w:szCs w:val="24"/>
        </w:rPr>
        <w:t>thereof,</w:t>
      </w:r>
      <w:r w:rsidR="00681DD8">
        <w:rPr>
          <w:rFonts w:ascii="Times New Roman" w:hAnsi="Times New Roman" w:cs="Times New Roman"/>
          <w:sz w:val="24"/>
          <w:szCs w:val="24"/>
        </w:rPr>
        <w:t xml:space="preserve"> having been made</w:t>
      </w:r>
      <w:r>
        <w:rPr>
          <w:rFonts w:ascii="Times New Roman" w:hAnsi="Times New Roman" w:cs="Times New Roman"/>
          <w:sz w:val="24"/>
          <w:szCs w:val="24"/>
        </w:rPr>
        <w:t xml:space="preserve"> more than eight </w:t>
      </w:r>
      <w:r w:rsidR="00694543">
        <w:rPr>
          <w:rFonts w:ascii="Times New Roman" w:hAnsi="Times New Roman" w:cs="Times New Roman"/>
          <w:sz w:val="24"/>
          <w:szCs w:val="24"/>
        </w:rPr>
        <w:t xml:space="preserve">months </w:t>
      </w:r>
      <w:r>
        <w:rPr>
          <w:rFonts w:ascii="Times New Roman" w:hAnsi="Times New Roman" w:cs="Times New Roman"/>
          <w:sz w:val="24"/>
          <w:szCs w:val="24"/>
        </w:rPr>
        <w:t>fro</w:t>
      </w:r>
      <w:r w:rsidR="00681DD8">
        <w:rPr>
          <w:rFonts w:ascii="Times New Roman" w:hAnsi="Times New Roman" w:cs="Times New Roman"/>
          <w:sz w:val="24"/>
          <w:szCs w:val="24"/>
        </w:rPr>
        <w:t>m</w:t>
      </w:r>
      <w:r>
        <w:rPr>
          <w:rFonts w:ascii="Times New Roman" w:hAnsi="Times New Roman" w:cs="Times New Roman"/>
          <w:sz w:val="24"/>
          <w:szCs w:val="24"/>
        </w:rPr>
        <w:t xml:space="preserve"> the date the cause of action arose</w:t>
      </w:r>
      <w:r w:rsidR="00681DD8">
        <w:rPr>
          <w:rFonts w:ascii="Times New Roman" w:hAnsi="Times New Roman" w:cs="Times New Roman"/>
          <w:sz w:val="24"/>
          <w:szCs w:val="24"/>
        </w:rPr>
        <w:t>.</w:t>
      </w:r>
    </w:p>
    <w:p w:rsidR="004E5F23" w:rsidRDefault="00681DD8"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receipt of the special plea, the plaintiff noted an </w:t>
      </w:r>
      <w:r w:rsidR="005B7AE1">
        <w:rPr>
          <w:rFonts w:ascii="Times New Roman" w:hAnsi="Times New Roman" w:cs="Times New Roman"/>
          <w:sz w:val="24"/>
          <w:szCs w:val="24"/>
        </w:rPr>
        <w:t>amendment</w:t>
      </w:r>
      <w:r>
        <w:rPr>
          <w:rFonts w:ascii="Times New Roman" w:hAnsi="Times New Roman" w:cs="Times New Roman"/>
          <w:sz w:val="24"/>
          <w:szCs w:val="24"/>
        </w:rPr>
        <w:t xml:space="preserve"> to his</w:t>
      </w:r>
      <w:r w:rsidR="005B7AE1">
        <w:rPr>
          <w:rFonts w:ascii="Times New Roman" w:hAnsi="Times New Roman" w:cs="Times New Roman"/>
          <w:sz w:val="24"/>
          <w:szCs w:val="24"/>
        </w:rPr>
        <w:t xml:space="preserve"> declaration, purportedly in terms of Order 20. The notice was couched as follows</w:t>
      </w:r>
      <w:r w:rsidR="004E5F23">
        <w:rPr>
          <w:rFonts w:ascii="Times New Roman" w:hAnsi="Times New Roman" w:cs="Times New Roman"/>
          <w:sz w:val="24"/>
          <w:szCs w:val="24"/>
        </w:rPr>
        <w:t>:</w:t>
      </w:r>
    </w:p>
    <w:p w:rsidR="004E5F23" w:rsidRDefault="004E5F23" w:rsidP="00BF5BFB">
      <w:pPr>
        <w:spacing w:after="0" w:line="360" w:lineRule="auto"/>
        <w:ind w:firstLine="720"/>
        <w:jc w:val="both"/>
        <w:rPr>
          <w:rFonts w:ascii="Times New Roman" w:hAnsi="Times New Roman" w:cs="Times New Roman"/>
          <w:sz w:val="24"/>
          <w:szCs w:val="24"/>
        </w:rPr>
      </w:pPr>
    </w:p>
    <w:p w:rsidR="004E5F23" w:rsidRPr="004E5F23" w:rsidRDefault="004E5F23" w:rsidP="004E5F23">
      <w:pPr>
        <w:spacing w:after="0" w:line="360" w:lineRule="auto"/>
        <w:ind w:left="720" w:firstLine="720"/>
        <w:jc w:val="both"/>
        <w:rPr>
          <w:rFonts w:ascii="Times New Roman" w:hAnsi="Times New Roman" w:cs="Times New Roman"/>
          <w:b/>
        </w:rPr>
      </w:pPr>
      <w:r w:rsidRPr="004E5F23">
        <w:rPr>
          <w:rFonts w:ascii="Times New Roman" w:hAnsi="Times New Roman" w:cs="Times New Roman"/>
        </w:rPr>
        <w:t>“</w:t>
      </w:r>
      <w:r w:rsidRPr="004E5F23">
        <w:rPr>
          <w:rFonts w:ascii="Times New Roman" w:hAnsi="Times New Roman" w:cs="Times New Roman"/>
          <w:b/>
        </w:rPr>
        <w:t xml:space="preserve">NOTICE OF AMENDMENT TO PLAINTIFF’S DECLARATION IN TERMS </w:t>
      </w:r>
      <w:r w:rsidR="00F07D1F">
        <w:rPr>
          <w:rFonts w:ascii="Times New Roman" w:hAnsi="Times New Roman" w:cs="Times New Roman"/>
          <w:b/>
        </w:rPr>
        <w:tab/>
      </w:r>
      <w:r w:rsidRPr="004E5F23">
        <w:rPr>
          <w:rFonts w:ascii="Times New Roman" w:hAnsi="Times New Roman" w:cs="Times New Roman"/>
          <w:b/>
        </w:rPr>
        <w:t>OF ORDER 20 OF THE HIGH COURT RULES, 1971.</w:t>
      </w:r>
    </w:p>
    <w:p w:rsidR="004E5F23" w:rsidRDefault="004E5F23" w:rsidP="004E5F23">
      <w:pPr>
        <w:spacing w:after="0" w:line="360" w:lineRule="auto"/>
        <w:ind w:left="720" w:firstLine="720"/>
        <w:jc w:val="both"/>
        <w:rPr>
          <w:rFonts w:ascii="Times New Roman" w:hAnsi="Times New Roman" w:cs="Times New Roman"/>
        </w:rPr>
      </w:pPr>
      <w:r w:rsidRPr="004E5F23">
        <w:rPr>
          <w:rFonts w:ascii="Times New Roman" w:hAnsi="Times New Roman" w:cs="Times New Roman"/>
        </w:rPr>
        <w:t>TAKE NOTICE THAT the Plaintiff hereby amends its declaration as follows:-…..”</w:t>
      </w:r>
    </w:p>
    <w:p w:rsidR="004E5F23" w:rsidRPr="004E5F23" w:rsidRDefault="004E5F23" w:rsidP="004E5F23">
      <w:pPr>
        <w:spacing w:after="0" w:line="360" w:lineRule="auto"/>
        <w:ind w:left="720" w:firstLine="720"/>
        <w:jc w:val="both"/>
        <w:rPr>
          <w:rFonts w:ascii="Times New Roman" w:hAnsi="Times New Roman" w:cs="Times New Roman"/>
        </w:rPr>
      </w:pPr>
    </w:p>
    <w:p w:rsidR="006123F1" w:rsidRDefault="00220638"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E5F23">
        <w:rPr>
          <w:rFonts w:ascii="Times New Roman" w:hAnsi="Times New Roman" w:cs="Times New Roman"/>
          <w:sz w:val="24"/>
          <w:szCs w:val="24"/>
        </w:rPr>
        <w:t xml:space="preserve">This was followed by the purported amendment. </w:t>
      </w:r>
      <w:r w:rsidR="006123F1">
        <w:rPr>
          <w:rFonts w:ascii="Times New Roman" w:hAnsi="Times New Roman" w:cs="Times New Roman"/>
          <w:sz w:val="24"/>
          <w:szCs w:val="24"/>
        </w:rPr>
        <w:t>There was no indication that the plaintiff intended to make an application to seek this amendment, and if so, at what stage of the proceedings.</w:t>
      </w:r>
    </w:p>
    <w:p w:rsidR="004E5F23" w:rsidRDefault="006123F1"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n</w:t>
      </w:r>
      <w:r w:rsidR="004E5F23">
        <w:rPr>
          <w:rFonts w:ascii="Times New Roman" w:hAnsi="Times New Roman" w:cs="Times New Roman"/>
          <w:sz w:val="24"/>
          <w:szCs w:val="24"/>
        </w:rPr>
        <w:t>o amendment of the summons was “made” or sought.</w:t>
      </w:r>
    </w:p>
    <w:p w:rsidR="004E5F23" w:rsidRDefault="004E5F23"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14 October 2016, the plaintiff wrote to defendants seeking their consent to the amendment to the declaration, which was, unsurprisingly, not forthcoming.</w:t>
      </w:r>
    </w:p>
    <w:p w:rsidR="006123F1" w:rsidRDefault="006123F1"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i</w:t>
      </w:r>
      <w:r w:rsidR="00E243CC">
        <w:rPr>
          <w:rFonts w:ascii="Times New Roman" w:hAnsi="Times New Roman" w:cs="Times New Roman"/>
          <w:sz w:val="24"/>
          <w:szCs w:val="24"/>
        </w:rPr>
        <w:t xml:space="preserve">t must be noted </w:t>
      </w:r>
      <w:r w:rsidR="004E5F23">
        <w:rPr>
          <w:rFonts w:ascii="Times New Roman" w:hAnsi="Times New Roman" w:cs="Times New Roman"/>
          <w:sz w:val="24"/>
          <w:szCs w:val="24"/>
        </w:rPr>
        <w:t>firstly, that no notice of intention to amend in terms of Order 20 was ever issued. What the plaintiff did</w:t>
      </w:r>
      <w:r w:rsidR="00E97BF3">
        <w:rPr>
          <w:rFonts w:ascii="Times New Roman" w:hAnsi="Times New Roman" w:cs="Times New Roman"/>
          <w:sz w:val="24"/>
          <w:szCs w:val="24"/>
        </w:rPr>
        <w:t xml:space="preserve"> was to present the defendants with a </w:t>
      </w:r>
      <w:r w:rsidR="00E97BF3" w:rsidRPr="00E97BF3">
        <w:rPr>
          <w:rFonts w:ascii="Times New Roman" w:hAnsi="Times New Roman" w:cs="Times New Roman"/>
          <w:i/>
          <w:sz w:val="24"/>
          <w:szCs w:val="24"/>
        </w:rPr>
        <w:t>fait accompli</w:t>
      </w:r>
      <w:r>
        <w:rPr>
          <w:rFonts w:ascii="Times New Roman" w:hAnsi="Times New Roman" w:cs="Times New Roman"/>
          <w:sz w:val="24"/>
          <w:szCs w:val="24"/>
        </w:rPr>
        <w:t xml:space="preserve">: that the </w:t>
      </w:r>
      <w:r w:rsidRPr="008478FA">
        <w:rPr>
          <w:rFonts w:ascii="Times New Roman" w:hAnsi="Times New Roman" w:cs="Times New Roman"/>
          <w:sz w:val="24"/>
          <w:szCs w:val="24"/>
        </w:rPr>
        <w:t>“</w:t>
      </w:r>
      <w:r w:rsidRPr="006123F1">
        <w:rPr>
          <w:rFonts w:ascii="Times New Roman" w:hAnsi="Times New Roman" w:cs="Times New Roman"/>
          <w:i/>
          <w:sz w:val="24"/>
          <w:szCs w:val="24"/>
        </w:rPr>
        <w:t>Plaintiff hereby amends its declaration…</w:t>
      </w:r>
      <w:r w:rsidRPr="008478FA">
        <w:rPr>
          <w:rFonts w:ascii="Times New Roman" w:hAnsi="Times New Roman" w:cs="Times New Roman"/>
          <w:sz w:val="24"/>
          <w:szCs w:val="24"/>
        </w:rPr>
        <w:t xml:space="preserve">” </w:t>
      </w:r>
      <w:r>
        <w:rPr>
          <w:rFonts w:ascii="Times New Roman" w:hAnsi="Times New Roman" w:cs="Times New Roman"/>
          <w:sz w:val="24"/>
          <w:szCs w:val="24"/>
        </w:rPr>
        <w:t>T</w:t>
      </w:r>
      <w:r w:rsidR="00E97BF3">
        <w:rPr>
          <w:rFonts w:ascii="Times New Roman" w:hAnsi="Times New Roman" w:cs="Times New Roman"/>
          <w:sz w:val="24"/>
          <w:szCs w:val="24"/>
        </w:rPr>
        <w:t>hereafter</w:t>
      </w:r>
      <w:r>
        <w:rPr>
          <w:rFonts w:ascii="Times New Roman" w:hAnsi="Times New Roman" w:cs="Times New Roman"/>
          <w:sz w:val="24"/>
          <w:szCs w:val="24"/>
        </w:rPr>
        <w:t>, plaintiff then sought the defendants’ acquiescence</w:t>
      </w:r>
      <w:r w:rsidR="00E97BF3">
        <w:rPr>
          <w:rFonts w:ascii="Times New Roman" w:hAnsi="Times New Roman" w:cs="Times New Roman"/>
          <w:sz w:val="24"/>
          <w:szCs w:val="24"/>
        </w:rPr>
        <w:t xml:space="preserve"> to</w:t>
      </w:r>
      <w:r>
        <w:rPr>
          <w:rFonts w:ascii="Times New Roman" w:hAnsi="Times New Roman" w:cs="Times New Roman"/>
          <w:sz w:val="24"/>
          <w:szCs w:val="24"/>
        </w:rPr>
        <w:t xml:space="preserve"> the amendment that had been “done”</w:t>
      </w:r>
      <w:r w:rsidR="00E97BF3">
        <w:rPr>
          <w:rFonts w:ascii="Times New Roman" w:hAnsi="Times New Roman" w:cs="Times New Roman"/>
          <w:sz w:val="24"/>
          <w:szCs w:val="24"/>
        </w:rPr>
        <w:t xml:space="preserve">. </w:t>
      </w:r>
    </w:p>
    <w:p w:rsidR="006123F1" w:rsidRDefault="00E97BF3"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Nor, failing the consent of the defendants, was any intention to apply to a judge to make such an amendment done in terms of r132. </w:t>
      </w:r>
      <w:r w:rsidR="006123F1">
        <w:rPr>
          <w:rFonts w:ascii="Times New Roman" w:hAnsi="Times New Roman" w:cs="Times New Roman"/>
          <w:sz w:val="24"/>
          <w:szCs w:val="24"/>
        </w:rPr>
        <w:t>The procedure used by the plaintiff was certainly not in terms of the rules.</w:t>
      </w:r>
    </w:p>
    <w:p w:rsidR="00E243CC" w:rsidRDefault="00E97BF3"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w:t>
      </w:r>
      <w:r w:rsidR="00E243CC">
        <w:rPr>
          <w:rFonts w:ascii="Times New Roman" w:hAnsi="Times New Roman" w:cs="Times New Roman"/>
          <w:sz w:val="24"/>
          <w:szCs w:val="24"/>
        </w:rPr>
        <w:t xml:space="preserve">, </w:t>
      </w:r>
      <w:r w:rsidR="005711CA">
        <w:rPr>
          <w:rFonts w:ascii="Times New Roman" w:hAnsi="Times New Roman" w:cs="Times New Roman"/>
          <w:sz w:val="24"/>
          <w:szCs w:val="24"/>
        </w:rPr>
        <w:t xml:space="preserve">attached </w:t>
      </w:r>
      <w:r w:rsidR="00E91ECE">
        <w:rPr>
          <w:rFonts w:ascii="Times New Roman" w:hAnsi="Times New Roman" w:cs="Times New Roman"/>
          <w:sz w:val="24"/>
          <w:szCs w:val="24"/>
        </w:rPr>
        <w:t>to</w:t>
      </w:r>
      <w:r w:rsidR="005711CA">
        <w:rPr>
          <w:rFonts w:ascii="Times New Roman" w:hAnsi="Times New Roman" w:cs="Times New Roman"/>
          <w:sz w:val="24"/>
          <w:szCs w:val="24"/>
        </w:rPr>
        <w:t xml:space="preserve"> the</w:t>
      </w:r>
      <w:r w:rsidR="00E91ECE">
        <w:rPr>
          <w:rFonts w:ascii="Times New Roman" w:hAnsi="Times New Roman" w:cs="Times New Roman"/>
          <w:sz w:val="24"/>
          <w:szCs w:val="24"/>
        </w:rPr>
        <w:t xml:space="preserve"> </w:t>
      </w:r>
      <w:r>
        <w:rPr>
          <w:rFonts w:ascii="Times New Roman" w:hAnsi="Times New Roman" w:cs="Times New Roman"/>
          <w:sz w:val="24"/>
          <w:szCs w:val="24"/>
        </w:rPr>
        <w:t xml:space="preserve">plaintiff’s </w:t>
      </w:r>
      <w:r w:rsidR="00E243CC">
        <w:rPr>
          <w:rFonts w:ascii="Times New Roman" w:hAnsi="Times New Roman" w:cs="Times New Roman"/>
          <w:sz w:val="24"/>
          <w:szCs w:val="24"/>
        </w:rPr>
        <w:t>notice</w:t>
      </w:r>
      <w:r>
        <w:rPr>
          <w:rFonts w:ascii="Times New Roman" w:hAnsi="Times New Roman" w:cs="Times New Roman"/>
          <w:sz w:val="24"/>
          <w:szCs w:val="24"/>
        </w:rPr>
        <w:t xml:space="preserve"> of amendment</w:t>
      </w:r>
      <w:r w:rsidR="00E243CC">
        <w:rPr>
          <w:rFonts w:ascii="Times New Roman" w:hAnsi="Times New Roman" w:cs="Times New Roman"/>
          <w:sz w:val="24"/>
          <w:szCs w:val="24"/>
        </w:rPr>
        <w:t xml:space="preserve"> </w:t>
      </w:r>
      <w:r w:rsidR="00E91ECE">
        <w:rPr>
          <w:rFonts w:ascii="Times New Roman" w:hAnsi="Times New Roman" w:cs="Times New Roman"/>
          <w:sz w:val="24"/>
          <w:szCs w:val="24"/>
        </w:rPr>
        <w:t>was</w:t>
      </w:r>
      <w:r w:rsidR="00E243CC">
        <w:rPr>
          <w:rFonts w:ascii="Times New Roman" w:hAnsi="Times New Roman" w:cs="Times New Roman"/>
          <w:sz w:val="24"/>
          <w:szCs w:val="24"/>
        </w:rPr>
        <w:t xml:space="preserve"> </w:t>
      </w:r>
      <w:r w:rsidR="006123F1">
        <w:rPr>
          <w:rFonts w:ascii="Times New Roman" w:hAnsi="Times New Roman" w:cs="Times New Roman"/>
          <w:sz w:val="24"/>
          <w:szCs w:val="24"/>
        </w:rPr>
        <w:t xml:space="preserve">the </w:t>
      </w:r>
      <w:r w:rsidR="00E243CC">
        <w:rPr>
          <w:rFonts w:ascii="Times New Roman" w:hAnsi="Times New Roman" w:cs="Times New Roman"/>
          <w:sz w:val="24"/>
          <w:szCs w:val="24"/>
        </w:rPr>
        <w:t>judgment</w:t>
      </w:r>
      <w:r w:rsidR="006123F1">
        <w:rPr>
          <w:rFonts w:ascii="Times New Roman" w:hAnsi="Times New Roman" w:cs="Times New Roman"/>
          <w:sz w:val="24"/>
          <w:szCs w:val="24"/>
        </w:rPr>
        <w:t xml:space="preserve"> </w:t>
      </w:r>
      <w:r w:rsidR="00E91ECE">
        <w:rPr>
          <w:rFonts w:ascii="Times New Roman" w:hAnsi="Times New Roman" w:cs="Times New Roman"/>
          <w:sz w:val="24"/>
          <w:szCs w:val="24"/>
        </w:rPr>
        <w:t xml:space="preserve">of the Supreme Court, SC8/12, </w:t>
      </w:r>
      <w:r w:rsidR="006123F1">
        <w:rPr>
          <w:rFonts w:ascii="Times New Roman" w:hAnsi="Times New Roman" w:cs="Times New Roman"/>
          <w:sz w:val="24"/>
          <w:szCs w:val="24"/>
        </w:rPr>
        <w:t>admitting the plaintiff to bail</w:t>
      </w:r>
      <w:r w:rsidR="00E91ECE">
        <w:rPr>
          <w:rFonts w:ascii="Times New Roman" w:hAnsi="Times New Roman" w:cs="Times New Roman"/>
          <w:sz w:val="24"/>
          <w:szCs w:val="24"/>
        </w:rPr>
        <w:t>,</w:t>
      </w:r>
      <w:r w:rsidR="00E243CC">
        <w:rPr>
          <w:rFonts w:ascii="Times New Roman" w:hAnsi="Times New Roman" w:cs="Times New Roman"/>
          <w:sz w:val="24"/>
          <w:szCs w:val="24"/>
        </w:rPr>
        <w:t xml:space="preserve"> </w:t>
      </w:r>
      <w:r w:rsidR="00E91ECE">
        <w:rPr>
          <w:rFonts w:ascii="Times New Roman" w:hAnsi="Times New Roman" w:cs="Times New Roman"/>
          <w:sz w:val="24"/>
          <w:szCs w:val="24"/>
        </w:rPr>
        <w:t>as</w:t>
      </w:r>
      <w:r w:rsidR="00E243CC">
        <w:rPr>
          <w:rFonts w:ascii="Times New Roman" w:hAnsi="Times New Roman" w:cs="Times New Roman"/>
          <w:sz w:val="24"/>
          <w:szCs w:val="24"/>
        </w:rPr>
        <w:t xml:space="preserve"> support </w:t>
      </w:r>
      <w:r w:rsidR="00E91ECE">
        <w:rPr>
          <w:rFonts w:ascii="Times New Roman" w:hAnsi="Times New Roman" w:cs="Times New Roman"/>
          <w:sz w:val="24"/>
          <w:szCs w:val="24"/>
        </w:rPr>
        <w:t>to</w:t>
      </w:r>
      <w:r w:rsidR="00E243CC">
        <w:rPr>
          <w:rFonts w:ascii="Times New Roman" w:hAnsi="Times New Roman" w:cs="Times New Roman"/>
          <w:sz w:val="24"/>
          <w:szCs w:val="24"/>
        </w:rPr>
        <w:t xml:space="preserve"> the error sought to be corrected by the amendment.</w:t>
      </w:r>
      <w:r w:rsidR="00E91ECE">
        <w:rPr>
          <w:rFonts w:ascii="Times New Roman" w:hAnsi="Times New Roman" w:cs="Times New Roman"/>
          <w:sz w:val="24"/>
          <w:szCs w:val="24"/>
        </w:rPr>
        <w:t xml:space="preserve"> As it turns out, that judgment does not aid the plaintiff’s case. It was handed down on 13 February 2012, not 12 December 2012 as alleged. </w:t>
      </w:r>
    </w:p>
    <w:p w:rsidR="00E91ECE" w:rsidRDefault="00E91ECE"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whether the date of plaintiff’s release from detention was 12 December 2012, or 13 February 2012, as at the date summons were issued on 16 August 2016, the matter had prescribed.</w:t>
      </w:r>
    </w:p>
    <w:p w:rsidR="00E91ECE" w:rsidRDefault="005711CA"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w:t>
      </w:r>
      <w:r w:rsidR="00E91ECE">
        <w:rPr>
          <w:rFonts w:ascii="Times New Roman" w:hAnsi="Times New Roman" w:cs="Times New Roman"/>
          <w:sz w:val="24"/>
          <w:szCs w:val="24"/>
        </w:rPr>
        <w:t xml:space="preserve">laintiff sought to correct this difficulty in </w:t>
      </w:r>
      <w:proofErr w:type="spellStart"/>
      <w:r w:rsidR="00E91ECE">
        <w:rPr>
          <w:rFonts w:ascii="Times New Roman" w:hAnsi="Times New Roman" w:cs="Times New Roman"/>
          <w:sz w:val="24"/>
          <w:szCs w:val="24"/>
        </w:rPr>
        <w:t>para</w:t>
      </w:r>
      <w:proofErr w:type="spellEnd"/>
      <w:r w:rsidR="00E91ECE">
        <w:rPr>
          <w:rFonts w:ascii="Times New Roman" w:hAnsi="Times New Roman" w:cs="Times New Roman"/>
          <w:sz w:val="24"/>
          <w:szCs w:val="24"/>
        </w:rPr>
        <w:t xml:space="preserve"> 4 of his heads of argument,</w:t>
      </w:r>
      <w:r w:rsidR="00257107">
        <w:rPr>
          <w:rFonts w:ascii="Times New Roman" w:hAnsi="Times New Roman" w:cs="Times New Roman"/>
          <w:sz w:val="24"/>
          <w:szCs w:val="24"/>
        </w:rPr>
        <w:t xml:space="preserve"> by alluding to the judgment of </w:t>
      </w:r>
      <w:proofErr w:type="spellStart"/>
      <w:r w:rsidR="00257107" w:rsidRPr="00257107">
        <w:rPr>
          <w:rFonts w:ascii="Times New Roman" w:hAnsi="Times New Roman" w:cs="Times New Roman"/>
          <w:smallCaps/>
          <w:sz w:val="24"/>
          <w:szCs w:val="24"/>
        </w:rPr>
        <w:t>Bhunu</w:t>
      </w:r>
      <w:proofErr w:type="spellEnd"/>
      <w:r w:rsidR="00257107" w:rsidRPr="00257107">
        <w:rPr>
          <w:rFonts w:ascii="Times New Roman" w:hAnsi="Times New Roman" w:cs="Times New Roman"/>
          <w:smallCaps/>
          <w:sz w:val="24"/>
          <w:szCs w:val="24"/>
        </w:rPr>
        <w:t xml:space="preserve"> J</w:t>
      </w:r>
      <w:r w:rsidR="00257107">
        <w:rPr>
          <w:rFonts w:ascii="Times New Roman" w:hAnsi="Times New Roman" w:cs="Times New Roman"/>
          <w:sz w:val="24"/>
          <w:szCs w:val="24"/>
        </w:rPr>
        <w:t xml:space="preserve"> dated 19 September 2013</w:t>
      </w:r>
      <w:r w:rsidR="00E91ECE">
        <w:rPr>
          <w:rFonts w:ascii="Times New Roman" w:hAnsi="Times New Roman" w:cs="Times New Roman"/>
          <w:sz w:val="24"/>
          <w:szCs w:val="24"/>
        </w:rPr>
        <w:t xml:space="preserve"> </w:t>
      </w:r>
      <w:r w:rsidR="006218AD">
        <w:rPr>
          <w:rFonts w:ascii="Times New Roman" w:hAnsi="Times New Roman" w:cs="Times New Roman"/>
          <w:sz w:val="24"/>
          <w:szCs w:val="24"/>
        </w:rPr>
        <w:t>a procedurally wrong path to take.</w:t>
      </w:r>
    </w:p>
    <w:p w:rsidR="00681DD8" w:rsidRDefault="006218AD"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a</w:t>
      </w:r>
      <w:r w:rsidR="00681DD8">
        <w:rPr>
          <w:rFonts w:ascii="Times New Roman" w:hAnsi="Times New Roman" w:cs="Times New Roman"/>
          <w:sz w:val="24"/>
          <w:szCs w:val="24"/>
        </w:rPr>
        <w:t xml:space="preserve">s at the date the special plea was set down to be heard before me, the summons </w:t>
      </w:r>
      <w:r>
        <w:rPr>
          <w:rFonts w:ascii="Times New Roman" w:hAnsi="Times New Roman" w:cs="Times New Roman"/>
          <w:sz w:val="24"/>
          <w:szCs w:val="24"/>
        </w:rPr>
        <w:t>and declaration were</w:t>
      </w:r>
      <w:r w:rsidR="00681DD8">
        <w:rPr>
          <w:rFonts w:ascii="Times New Roman" w:hAnsi="Times New Roman" w:cs="Times New Roman"/>
          <w:sz w:val="24"/>
          <w:szCs w:val="24"/>
        </w:rPr>
        <w:t xml:space="preserve"> still </w:t>
      </w:r>
      <w:proofErr w:type="spellStart"/>
      <w:r w:rsidR="00681DD8">
        <w:rPr>
          <w:rFonts w:ascii="Times New Roman" w:hAnsi="Times New Roman" w:cs="Times New Roman"/>
          <w:sz w:val="24"/>
          <w:szCs w:val="24"/>
        </w:rPr>
        <w:t>unamended</w:t>
      </w:r>
      <w:proofErr w:type="spellEnd"/>
      <w:r w:rsidR="00220638">
        <w:rPr>
          <w:rFonts w:ascii="Times New Roman" w:hAnsi="Times New Roman" w:cs="Times New Roman"/>
          <w:sz w:val="24"/>
          <w:szCs w:val="24"/>
        </w:rPr>
        <w:t xml:space="preserve"> and defendants had no notice that the amendment would be sought at such hearing</w:t>
      </w:r>
      <w:r w:rsidR="00681DD8">
        <w:rPr>
          <w:rFonts w:ascii="Times New Roman" w:hAnsi="Times New Roman" w:cs="Times New Roman"/>
          <w:sz w:val="24"/>
          <w:szCs w:val="24"/>
        </w:rPr>
        <w:t xml:space="preserve">. </w:t>
      </w:r>
      <w:r>
        <w:rPr>
          <w:rFonts w:ascii="Times New Roman" w:hAnsi="Times New Roman" w:cs="Times New Roman"/>
          <w:sz w:val="24"/>
          <w:szCs w:val="24"/>
        </w:rPr>
        <w:t>Hence</w:t>
      </w:r>
      <w:r w:rsidR="00681DD8">
        <w:rPr>
          <w:rFonts w:ascii="Times New Roman" w:hAnsi="Times New Roman" w:cs="Times New Roman"/>
          <w:sz w:val="24"/>
          <w:szCs w:val="24"/>
        </w:rPr>
        <w:t xml:space="preserve">, at the hearing of the special plea, upon it being pointed out by the Court that since the summons was still </w:t>
      </w:r>
      <w:proofErr w:type="spellStart"/>
      <w:r w:rsidR="00681DD8">
        <w:rPr>
          <w:rFonts w:ascii="Times New Roman" w:hAnsi="Times New Roman" w:cs="Times New Roman"/>
          <w:sz w:val="24"/>
          <w:szCs w:val="24"/>
        </w:rPr>
        <w:t>unamended</w:t>
      </w:r>
      <w:proofErr w:type="spellEnd"/>
      <w:r w:rsidR="00681DD8">
        <w:rPr>
          <w:rFonts w:ascii="Times New Roman" w:hAnsi="Times New Roman" w:cs="Times New Roman"/>
          <w:sz w:val="24"/>
          <w:szCs w:val="24"/>
        </w:rPr>
        <w:t xml:space="preserve">, there appeared to be an unassailable basis for the upholding of the special plea, the plaintiff made an oral application </w:t>
      </w:r>
      <w:r w:rsidR="00681DD8" w:rsidRPr="00643A0B">
        <w:rPr>
          <w:rFonts w:ascii="Times New Roman" w:hAnsi="Times New Roman" w:cs="Times New Roman"/>
          <w:sz w:val="24"/>
          <w:szCs w:val="24"/>
        </w:rPr>
        <w:t>for leave</w:t>
      </w:r>
      <w:r w:rsidR="00681DD8">
        <w:rPr>
          <w:rFonts w:ascii="Times New Roman" w:hAnsi="Times New Roman" w:cs="Times New Roman"/>
          <w:sz w:val="24"/>
          <w:szCs w:val="24"/>
        </w:rPr>
        <w:t xml:space="preserve"> to amend his summons</w:t>
      </w:r>
      <w:r w:rsidR="004B7890">
        <w:rPr>
          <w:rFonts w:ascii="Times New Roman" w:hAnsi="Times New Roman" w:cs="Times New Roman"/>
          <w:sz w:val="24"/>
          <w:szCs w:val="24"/>
        </w:rPr>
        <w:t xml:space="preserve"> and declaration</w:t>
      </w:r>
      <w:r w:rsidR="00681DD8">
        <w:rPr>
          <w:rFonts w:ascii="Times New Roman" w:hAnsi="Times New Roman" w:cs="Times New Roman"/>
          <w:sz w:val="24"/>
          <w:szCs w:val="24"/>
        </w:rPr>
        <w:t xml:space="preserve"> in terms of R132. The defendants opposed the application. </w:t>
      </w:r>
    </w:p>
    <w:p w:rsidR="00A12168" w:rsidRDefault="00681DD8"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w:t>
      </w:r>
      <w:r w:rsidR="00E243CC">
        <w:rPr>
          <w:rFonts w:ascii="Times New Roman" w:hAnsi="Times New Roman" w:cs="Times New Roman"/>
          <w:sz w:val="24"/>
          <w:szCs w:val="24"/>
        </w:rPr>
        <w:t xml:space="preserve"> the Court</w:t>
      </w:r>
      <w:r>
        <w:rPr>
          <w:rFonts w:ascii="Times New Roman" w:hAnsi="Times New Roman" w:cs="Times New Roman"/>
          <w:sz w:val="24"/>
          <w:szCs w:val="24"/>
        </w:rPr>
        <w:t xml:space="preserve"> advising the plaintiff that it appeared </w:t>
      </w:r>
      <w:r w:rsidR="001C5899">
        <w:rPr>
          <w:rFonts w:ascii="Times New Roman" w:hAnsi="Times New Roman" w:cs="Times New Roman"/>
          <w:sz w:val="24"/>
          <w:szCs w:val="24"/>
        </w:rPr>
        <w:t xml:space="preserve">improper </w:t>
      </w:r>
      <w:r>
        <w:rPr>
          <w:rFonts w:ascii="Times New Roman" w:hAnsi="Times New Roman" w:cs="Times New Roman"/>
          <w:sz w:val="24"/>
          <w:szCs w:val="24"/>
        </w:rPr>
        <w:t xml:space="preserve">to seek an </w:t>
      </w:r>
      <w:r w:rsidR="006218AD">
        <w:rPr>
          <w:rFonts w:ascii="Times New Roman" w:hAnsi="Times New Roman" w:cs="Times New Roman"/>
          <w:sz w:val="24"/>
          <w:szCs w:val="24"/>
        </w:rPr>
        <w:t xml:space="preserve">oral </w:t>
      </w:r>
      <w:r>
        <w:rPr>
          <w:rFonts w:ascii="Times New Roman" w:hAnsi="Times New Roman" w:cs="Times New Roman"/>
          <w:sz w:val="24"/>
          <w:szCs w:val="24"/>
        </w:rPr>
        <w:t xml:space="preserve">amendment of a summons at the hearing of a special plea impugning such summons, </w:t>
      </w:r>
      <w:r w:rsidR="00220638">
        <w:rPr>
          <w:rFonts w:ascii="Times New Roman" w:hAnsi="Times New Roman" w:cs="Times New Roman"/>
          <w:sz w:val="24"/>
          <w:szCs w:val="24"/>
        </w:rPr>
        <w:t xml:space="preserve">without appropriate notice to the defendants, </w:t>
      </w:r>
      <w:r w:rsidR="006218AD">
        <w:rPr>
          <w:rFonts w:ascii="Times New Roman" w:hAnsi="Times New Roman" w:cs="Times New Roman"/>
          <w:sz w:val="24"/>
          <w:szCs w:val="24"/>
        </w:rPr>
        <w:t xml:space="preserve">and in circumstances were such application was opposed, </w:t>
      </w:r>
      <w:r>
        <w:rPr>
          <w:rFonts w:ascii="Times New Roman" w:hAnsi="Times New Roman" w:cs="Times New Roman"/>
          <w:sz w:val="24"/>
          <w:szCs w:val="24"/>
        </w:rPr>
        <w:t xml:space="preserve">the matter was stood down to the end of the roll to enable the parties to agree on the proper procedure to take in the </w:t>
      </w:r>
      <w:r w:rsidR="00E243CC">
        <w:rPr>
          <w:rFonts w:ascii="Times New Roman" w:hAnsi="Times New Roman" w:cs="Times New Roman"/>
          <w:sz w:val="24"/>
          <w:szCs w:val="24"/>
        </w:rPr>
        <w:t>circumstances</w:t>
      </w:r>
      <w:r>
        <w:rPr>
          <w:rFonts w:ascii="Times New Roman" w:hAnsi="Times New Roman" w:cs="Times New Roman"/>
          <w:sz w:val="24"/>
          <w:szCs w:val="24"/>
        </w:rPr>
        <w:t xml:space="preserve">. On resumption, the </w:t>
      </w:r>
      <w:r w:rsidR="00E243CC">
        <w:rPr>
          <w:rFonts w:ascii="Times New Roman" w:hAnsi="Times New Roman" w:cs="Times New Roman"/>
          <w:sz w:val="24"/>
          <w:szCs w:val="24"/>
        </w:rPr>
        <w:t xml:space="preserve">plaintiff insisted on proceeding with his </w:t>
      </w:r>
      <w:r w:rsidR="006218AD">
        <w:rPr>
          <w:rFonts w:ascii="Times New Roman" w:hAnsi="Times New Roman" w:cs="Times New Roman"/>
          <w:sz w:val="24"/>
          <w:szCs w:val="24"/>
        </w:rPr>
        <w:t xml:space="preserve">oral </w:t>
      </w:r>
      <w:r w:rsidR="00E243CC">
        <w:rPr>
          <w:rFonts w:ascii="Times New Roman" w:hAnsi="Times New Roman" w:cs="Times New Roman"/>
          <w:sz w:val="24"/>
          <w:szCs w:val="24"/>
        </w:rPr>
        <w:t>application</w:t>
      </w:r>
      <w:r w:rsidR="006218AD">
        <w:rPr>
          <w:rFonts w:ascii="Times New Roman" w:hAnsi="Times New Roman" w:cs="Times New Roman"/>
          <w:sz w:val="24"/>
          <w:szCs w:val="24"/>
        </w:rPr>
        <w:t xml:space="preserve"> for leave to amend his summons and declaration.</w:t>
      </w:r>
      <w:r w:rsidR="00A12168">
        <w:rPr>
          <w:rFonts w:ascii="Times New Roman" w:hAnsi="Times New Roman" w:cs="Times New Roman"/>
          <w:sz w:val="24"/>
          <w:szCs w:val="24"/>
        </w:rPr>
        <w:t xml:space="preserve"> This was because</w:t>
      </w:r>
      <w:r w:rsidR="006218AD">
        <w:rPr>
          <w:rFonts w:ascii="Times New Roman" w:hAnsi="Times New Roman" w:cs="Times New Roman"/>
          <w:sz w:val="24"/>
          <w:szCs w:val="24"/>
        </w:rPr>
        <w:t xml:space="preserve">, Mr </w:t>
      </w:r>
      <w:proofErr w:type="spellStart"/>
      <w:r w:rsidR="006218AD">
        <w:rPr>
          <w:rFonts w:ascii="Times New Roman" w:hAnsi="Times New Roman" w:cs="Times New Roman"/>
          <w:sz w:val="24"/>
          <w:szCs w:val="24"/>
        </w:rPr>
        <w:t>Hofisi</w:t>
      </w:r>
      <w:proofErr w:type="spellEnd"/>
      <w:r w:rsidR="006218AD">
        <w:rPr>
          <w:rFonts w:ascii="Times New Roman" w:hAnsi="Times New Roman" w:cs="Times New Roman"/>
          <w:sz w:val="24"/>
          <w:szCs w:val="24"/>
        </w:rPr>
        <w:t>, for the plaintiff,</w:t>
      </w:r>
      <w:r w:rsidR="00A12168">
        <w:rPr>
          <w:rFonts w:ascii="Times New Roman" w:hAnsi="Times New Roman" w:cs="Times New Roman"/>
          <w:sz w:val="24"/>
          <w:szCs w:val="24"/>
        </w:rPr>
        <w:t xml:space="preserve"> conceded that if the summons were not amended, he had no submissions to make against the plea of prescription</w:t>
      </w:r>
      <w:r w:rsidR="00220638">
        <w:rPr>
          <w:rFonts w:ascii="Times New Roman" w:hAnsi="Times New Roman" w:cs="Times New Roman"/>
          <w:sz w:val="24"/>
          <w:szCs w:val="24"/>
        </w:rPr>
        <w:t xml:space="preserve"> which would have to be upheld</w:t>
      </w:r>
      <w:r w:rsidR="00A12168">
        <w:rPr>
          <w:rFonts w:ascii="Times New Roman" w:hAnsi="Times New Roman" w:cs="Times New Roman"/>
          <w:sz w:val="24"/>
          <w:szCs w:val="24"/>
        </w:rPr>
        <w:t xml:space="preserve">. </w:t>
      </w:r>
    </w:p>
    <w:p w:rsidR="00681DD8" w:rsidRDefault="00A12168"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leave was persisted with</w:t>
      </w:r>
      <w:r w:rsidR="00E243CC">
        <w:rPr>
          <w:rFonts w:ascii="Times New Roman" w:hAnsi="Times New Roman" w:cs="Times New Roman"/>
          <w:sz w:val="24"/>
          <w:szCs w:val="24"/>
        </w:rPr>
        <w:t xml:space="preserve"> despite that there was still no evidence before the court supporting such intended amendment.</w:t>
      </w:r>
      <w:r>
        <w:rPr>
          <w:rFonts w:ascii="Times New Roman" w:hAnsi="Times New Roman" w:cs="Times New Roman"/>
          <w:sz w:val="24"/>
          <w:szCs w:val="24"/>
        </w:rPr>
        <w:t xml:space="preserve"> Mr </w:t>
      </w:r>
      <w:proofErr w:type="spellStart"/>
      <w:r>
        <w:rPr>
          <w:rFonts w:ascii="Times New Roman" w:hAnsi="Times New Roman" w:cs="Times New Roman"/>
          <w:sz w:val="24"/>
          <w:szCs w:val="24"/>
        </w:rPr>
        <w:t>Hofisi’s</w:t>
      </w:r>
      <w:proofErr w:type="spellEnd"/>
      <w:r>
        <w:rPr>
          <w:rFonts w:ascii="Times New Roman" w:hAnsi="Times New Roman" w:cs="Times New Roman"/>
          <w:sz w:val="24"/>
          <w:szCs w:val="24"/>
        </w:rPr>
        <w:t xml:space="preserve"> position was that since amendments are generally dealt with liberally</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and the rules allow them to be made at any </w:t>
      </w:r>
      <w:r>
        <w:rPr>
          <w:rFonts w:ascii="Times New Roman" w:hAnsi="Times New Roman" w:cs="Times New Roman"/>
          <w:sz w:val="24"/>
          <w:szCs w:val="24"/>
        </w:rPr>
        <w:lastRenderedPageBreak/>
        <w:t>stage of the pleadings</w:t>
      </w:r>
      <w:r w:rsidR="00220638">
        <w:rPr>
          <w:rStyle w:val="FootnoteReference"/>
          <w:rFonts w:ascii="Times New Roman" w:hAnsi="Times New Roman"/>
          <w:sz w:val="24"/>
          <w:szCs w:val="24"/>
        </w:rPr>
        <w:footnoteReference w:id="2"/>
      </w:r>
      <w:r w:rsidR="00220638">
        <w:rPr>
          <w:rFonts w:ascii="Times New Roman" w:hAnsi="Times New Roman" w:cs="Times New Roman"/>
          <w:sz w:val="24"/>
          <w:szCs w:val="24"/>
        </w:rPr>
        <w:t xml:space="preserve"> he should be allowed to amend his summons to defeat the special plea and any prejudice to the defendants should be remedied with an appropriate order for costs.</w:t>
      </w:r>
      <w:r w:rsidR="00220638">
        <w:rPr>
          <w:rStyle w:val="FootnoteReference"/>
          <w:rFonts w:ascii="Times New Roman" w:hAnsi="Times New Roman"/>
          <w:sz w:val="24"/>
          <w:szCs w:val="24"/>
        </w:rPr>
        <w:footnoteReference w:id="3"/>
      </w:r>
      <w:r w:rsidR="00220638">
        <w:rPr>
          <w:rFonts w:ascii="Times New Roman" w:hAnsi="Times New Roman" w:cs="Times New Roman"/>
          <w:sz w:val="24"/>
          <w:szCs w:val="24"/>
        </w:rPr>
        <w:t xml:space="preserve"> He had no answer to the query of the court regarding his having to adduce evidence from the bar to support his application. In the end, he adduced no such evidence.</w:t>
      </w:r>
    </w:p>
    <w:p w:rsidR="00D1563F" w:rsidRDefault="004B7890"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agree that amendments are generally dealt with liberally, and may be made at any stage unless there is irreparable damage which cannot be remedied with an order for costs, </w:t>
      </w:r>
      <w:r w:rsidR="00E243CC">
        <w:rPr>
          <w:rFonts w:ascii="Times New Roman" w:hAnsi="Times New Roman" w:cs="Times New Roman"/>
          <w:sz w:val="24"/>
          <w:szCs w:val="24"/>
        </w:rPr>
        <w:t xml:space="preserve">I must state that I found the conduct of Mr </w:t>
      </w:r>
      <w:proofErr w:type="spellStart"/>
      <w:r w:rsidR="00E243CC">
        <w:rPr>
          <w:rFonts w:ascii="Times New Roman" w:hAnsi="Times New Roman" w:cs="Times New Roman"/>
          <w:sz w:val="24"/>
          <w:szCs w:val="24"/>
        </w:rPr>
        <w:t>Hofisi</w:t>
      </w:r>
      <w:proofErr w:type="spellEnd"/>
      <w:r w:rsidR="00E243CC">
        <w:rPr>
          <w:rFonts w:ascii="Times New Roman" w:hAnsi="Times New Roman" w:cs="Times New Roman"/>
          <w:sz w:val="24"/>
          <w:szCs w:val="24"/>
        </w:rPr>
        <w:t xml:space="preserve"> for the plaintiff to be entirely inappropriate and unethical. It is trite that once summons has been properly impugned the best procedural recourse to a plaintiff is to withdraw the matter and start afresh. To insist on amending the summons, in my view amounts to lack of integrity and professionalism </w:t>
      </w:r>
      <w:r w:rsidR="00D1563F">
        <w:rPr>
          <w:rFonts w:ascii="Times New Roman" w:hAnsi="Times New Roman" w:cs="Times New Roman"/>
          <w:sz w:val="24"/>
          <w:szCs w:val="24"/>
        </w:rPr>
        <w:t>un</w:t>
      </w:r>
      <w:r w:rsidR="00E243CC">
        <w:rPr>
          <w:rFonts w:ascii="Times New Roman" w:hAnsi="Times New Roman" w:cs="Times New Roman"/>
          <w:sz w:val="24"/>
          <w:szCs w:val="24"/>
        </w:rPr>
        <w:t xml:space="preserve">befitting an officer of the court. </w:t>
      </w:r>
      <w:r>
        <w:rPr>
          <w:rFonts w:ascii="Times New Roman" w:hAnsi="Times New Roman" w:cs="Times New Roman"/>
          <w:sz w:val="24"/>
          <w:szCs w:val="24"/>
        </w:rPr>
        <w:t xml:space="preserve">This is particularly so when the problem has been created by Mr </w:t>
      </w:r>
      <w:proofErr w:type="spellStart"/>
      <w:r>
        <w:rPr>
          <w:rFonts w:ascii="Times New Roman" w:hAnsi="Times New Roman" w:cs="Times New Roman"/>
          <w:sz w:val="24"/>
          <w:szCs w:val="24"/>
        </w:rPr>
        <w:t>Hofisi’s</w:t>
      </w:r>
      <w:proofErr w:type="spellEnd"/>
      <w:r>
        <w:rPr>
          <w:rFonts w:ascii="Times New Roman" w:hAnsi="Times New Roman" w:cs="Times New Roman"/>
          <w:sz w:val="24"/>
          <w:szCs w:val="24"/>
        </w:rPr>
        <w:t xml:space="preserve"> own ineptness in drafting the summons and declaration and his failure to follow the proper procedure for seeking an amendment thereto.</w:t>
      </w:r>
    </w:p>
    <w:p w:rsidR="00220638" w:rsidRDefault="001C5899"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is agreed that amendments are generally dealt with liberally by the courts, </w:t>
      </w:r>
      <w:r w:rsidR="00D1563F">
        <w:rPr>
          <w:rFonts w:ascii="Times New Roman" w:hAnsi="Times New Roman" w:cs="Times New Roman"/>
          <w:sz w:val="24"/>
          <w:szCs w:val="24"/>
        </w:rPr>
        <w:t>to allow amendments to overcome defences raised by a party is certainly not in the best interest</w:t>
      </w:r>
      <w:r w:rsidR="005711CA">
        <w:rPr>
          <w:rFonts w:ascii="Times New Roman" w:hAnsi="Times New Roman" w:cs="Times New Roman"/>
          <w:sz w:val="24"/>
          <w:szCs w:val="24"/>
        </w:rPr>
        <w:t>s</w:t>
      </w:r>
      <w:r w:rsidR="00D1563F">
        <w:rPr>
          <w:rFonts w:ascii="Times New Roman" w:hAnsi="Times New Roman" w:cs="Times New Roman"/>
          <w:sz w:val="24"/>
          <w:szCs w:val="24"/>
        </w:rPr>
        <w:t xml:space="preserve"> of the administration of justice. Mr </w:t>
      </w:r>
      <w:proofErr w:type="spellStart"/>
      <w:r w:rsidR="00D1563F">
        <w:rPr>
          <w:rFonts w:ascii="Times New Roman" w:hAnsi="Times New Roman" w:cs="Times New Roman"/>
          <w:sz w:val="24"/>
          <w:szCs w:val="24"/>
        </w:rPr>
        <w:t>Hofisi</w:t>
      </w:r>
      <w:proofErr w:type="spellEnd"/>
      <w:r w:rsidR="00D1563F">
        <w:rPr>
          <w:rFonts w:ascii="Times New Roman" w:hAnsi="Times New Roman" w:cs="Times New Roman"/>
          <w:sz w:val="24"/>
          <w:szCs w:val="24"/>
        </w:rPr>
        <w:t xml:space="preserve"> was in fact asking the court to allow him to defeat the special plea by amending the summons</w:t>
      </w:r>
      <w:r w:rsidR="00220638">
        <w:rPr>
          <w:rFonts w:ascii="Times New Roman" w:hAnsi="Times New Roman" w:cs="Times New Roman"/>
          <w:sz w:val="24"/>
          <w:szCs w:val="24"/>
        </w:rPr>
        <w:t>.</w:t>
      </w:r>
      <w:r w:rsidR="00D1563F">
        <w:rPr>
          <w:rFonts w:ascii="Times New Roman" w:hAnsi="Times New Roman" w:cs="Times New Roman"/>
          <w:sz w:val="24"/>
          <w:szCs w:val="24"/>
        </w:rPr>
        <w:t xml:space="preserve"> He was in </w:t>
      </w:r>
      <w:r w:rsidR="00220638">
        <w:rPr>
          <w:rFonts w:ascii="Times New Roman" w:hAnsi="Times New Roman" w:cs="Times New Roman"/>
          <w:sz w:val="24"/>
          <w:szCs w:val="24"/>
        </w:rPr>
        <w:t>effect</w:t>
      </w:r>
      <w:r w:rsidR="00D1563F">
        <w:rPr>
          <w:rFonts w:ascii="Times New Roman" w:hAnsi="Times New Roman" w:cs="Times New Roman"/>
          <w:sz w:val="24"/>
          <w:szCs w:val="24"/>
        </w:rPr>
        <w:t xml:space="preserve"> saying to the court, </w:t>
      </w:r>
      <w:r w:rsidR="00220638">
        <w:rPr>
          <w:rFonts w:ascii="Times New Roman" w:hAnsi="Times New Roman" w:cs="Times New Roman"/>
          <w:sz w:val="24"/>
          <w:szCs w:val="24"/>
        </w:rPr>
        <w:t>“</w:t>
      </w:r>
      <w:r w:rsidR="00D1563F">
        <w:rPr>
          <w:rFonts w:ascii="Times New Roman" w:hAnsi="Times New Roman" w:cs="Times New Roman"/>
          <w:sz w:val="24"/>
          <w:szCs w:val="24"/>
        </w:rPr>
        <w:t xml:space="preserve">now that a special plea has been validly raised, permit me to </w:t>
      </w:r>
      <w:r>
        <w:rPr>
          <w:rFonts w:ascii="Times New Roman" w:hAnsi="Times New Roman" w:cs="Times New Roman"/>
          <w:sz w:val="24"/>
          <w:szCs w:val="24"/>
        </w:rPr>
        <w:t>make an amendment as a defence against the special plea</w:t>
      </w:r>
      <w:r w:rsidR="00220638">
        <w:rPr>
          <w:rFonts w:ascii="Times New Roman" w:hAnsi="Times New Roman" w:cs="Times New Roman"/>
          <w:sz w:val="24"/>
          <w:szCs w:val="24"/>
        </w:rPr>
        <w:t>”</w:t>
      </w:r>
      <w:r w:rsidR="00D1563F">
        <w:rPr>
          <w:rFonts w:ascii="Times New Roman" w:hAnsi="Times New Roman" w:cs="Times New Roman"/>
          <w:sz w:val="24"/>
          <w:szCs w:val="24"/>
        </w:rPr>
        <w:t xml:space="preserve">. He quoted no authority for such a proposition and I have not come across any jurisprudence were a court has allowed </w:t>
      </w:r>
      <w:r w:rsidR="00220638">
        <w:rPr>
          <w:rFonts w:ascii="Times New Roman" w:hAnsi="Times New Roman" w:cs="Times New Roman"/>
          <w:sz w:val="24"/>
          <w:szCs w:val="24"/>
        </w:rPr>
        <w:t>a</w:t>
      </w:r>
      <w:r>
        <w:rPr>
          <w:rFonts w:ascii="Times New Roman" w:hAnsi="Times New Roman" w:cs="Times New Roman"/>
          <w:sz w:val="24"/>
          <w:szCs w:val="24"/>
        </w:rPr>
        <w:t>n amendment to be raised as a defence</w:t>
      </w:r>
      <w:r w:rsidR="00220638">
        <w:rPr>
          <w:rFonts w:ascii="Times New Roman" w:hAnsi="Times New Roman" w:cs="Times New Roman"/>
          <w:sz w:val="24"/>
          <w:szCs w:val="24"/>
        </w:rPr>
        <w:t xml:space="preserve"> </w:t>
      </w:r>
      <w:r>
        <w:rPr>
          <w:rFonts w:ascii="Times New Roman" w:hAnsi="Times New Roman" w:cs="Times New Roman"/>
          <w:sz w:val="24"/>
          <w:szCs w:val="24"/>
        </w:rPr>
        <w:t xml:space="preserve">to a </w:t>
      </w:r>
      <w:r w:rsidR="00D1563F">
        <w:rPr>
          <w:rFonts w:ascii="Times New Roman" w:hAnsi="Times New Roman" w:cs="Times New Roman"/>
          <w:sz w:val="24"/>
          <w:szCs w:val="24"/>
        </w:rPr>
        <w:t xml:space="preserve">properly raised </w:t>
      </w:r>
      <w:r>
        <w:rPr>
          <w:rFonts w:ascii="Times New Roman" w:hAnsi="Times New Roman" w:cs="Times New Roman"/>
          <w:sz w:val="24"/>
          <w:szCs w:val="24"/>
        </w:rPr>
        <w:t>point of law</w:t>
      </w:r>
      <w:r w:rsidR="00D1563F">
        <w:rPr>
          <w:rFonts w:ascii="Times New Roman" w:hAnsi="Times New Roman" w:cs="Times New Roman"/>
          <w:sz w:val="24"/>
          <w:szCs w:val="24"/>
        </w:rPr>
        <w:t>. As already pointed out, the proper course for a party in such circumstances is to make a withdrawal</w:t>
      </w:r>
      <w:r>
        <w:rPr>
          <w:rFonts w:ascii="Times New Roman" w:hAnsi="Times New Roman" w:cs="Times New Roman"/>
          <w:sz w:val="24"/>
          <w:szCs w:val="24"/>
        </w:rPr>
        <w:t xml:space="preserve"> and issue fresh summons</w:t>
      </w:r>
      <w:r w:rsidR="00D1563F">
        <w:rPr>
          <w:rFonts w:ascii="Times New Roman" w:hAnsi="Times New Roman" w:cs="Times New Roman"/>
          <w:sz w:val="24"/>
          <w:szCs w:val="24"/>
        </w:rPr>
        <w:t>.</w:t>
      </w:r>
      <w:r>
        <w:rPr>
          <w:rFonts w:ascii="Times New Roman" w:hAnsi="Times New Roman" w:cs="Times New Roman"/>
          <w:sz w:val="24"/>
          <w:szCs w:val="24"/>
        </w:rPr>
        <w:t xml:space="preserve"> </w:t>
      </w:r>
      <w:r w:rsidR="00D1563F">
        <w:rPr>
          <w:rFonts w:ascii="Times New Roman" w:hAnsi="Times New Roman" w:cs="Times New Roman"/>
          <w:sz w:val="24"/>
          <w:szCs w:val="24"/>
        </w:rPr>
        <w:t xml:space="preserve"> </w:t>
      </w:r>
    </w:p>
    <w:p w:rsidR="00930660" w:rsidRDefault="00D1563F"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s132 was not designed to allow a party to correct his </w:t>
      </w:r>
      <w:r w:rsidR="00930660">
        <w:rPr>
          <w:rFonts w:ascii="Times New Roman" w:hAnsi="Times New Roman" w:cs="Times New Roman"/>
          <w:sz w:val="24"/>
          <w:szCs w:val="24"/>
        </w:rPr>
        <w:t>cause of action or defence</w:t>
      </w:r>
      <w:r>
        <w:rPr>
          <w:rFonts w:ascii="Times New Roman" w:hAnsi="Times New Roman" w:cs="Times New Roman"/>
          <w:sz w:val="24"/>
          <w:szCs w:val="24"/>
        </w:rPr>
        <w:t xml:space="preserve"> as he went along once defences had been raised </w:t>
      </w:r>
      <w:r w:rsidR="00930660">
        <w:rPr>
          <w:rFonts w:ascii="Times New Roman" w:hAnsi="Times New Roman" w:cs="Times New Roman"/>
          <w:sz w:val="24"/>
          <w:szCs w:val="24"/>
        </w:rPr>
        <w:t>to defeat the cause of action or to impugn a defence. Such procedure</w:t>
      </w:r>
      <w:r>
        <w:rPr>
          <w:rFonts w:ascii="Times New Roman" w:hAnsi="Times New Roman" w:cs="Times New Roman"/>
          <w:sz w:val="24"/>
          <w:szCs w:val="24"/>
        </w:rPr>
        <w:t xml:space="preserve"> would </w:t>
      </w:r>
      <w:r w:rsidR="00930660">
        <w:rPr>
          <w:rFonts w:ascii="Times New Roman" w:hAnsi="Times New Roman" w:cs="Times New Roman"/>
          <w:sz w:val="24"/>
          <w:szCs w:val="24"/>
        </w:rPr>
        <w:t>make the administration o</w:t>
      </w:r>
      <w:r>
        <w:rPr>
          <w:rFonts w:ascii="Times New Roman" w:hAnsi="Times New Roman" w:cs="Times New Roman"/>
          <w:sz w:val="24"/>
          <w:szCs w:val="24"/>
        </w:rPr>
        <w:t>f justice</w:t>
      </w:r>
      <w:r w:rsidR="00930660">
        <w:rPr>
          <w:rFonts w:ascii="Times New Roman" w:hAnsi="Times New Roman" w:cs="Times New Roman"/>
          <w:sz w:val="24"/>
          <w:szCs w:val="24"/>
        </w:rPr>
        <w:t xml:space="preserve"> well-nigh impossible</w:t>
      </w:r>
      <w:r>
        <w:rPr>
          <w:rFonts w:ascii="Times New Roman" w:hAnsi="Times New Roman" w:cs="Times New Roman"/>
          <w:sz w:val="24"/>
          <w:szCs w:val="24"/>
        </w:rPr>
        <w:t xml:space="preserve"> and would lead to never ending litigation. If such a precedence were to be allowed, what would stop a party who had issued summons with no </w:t>
      </w:r>
      <w:r w:rsidR="007C7AC5">
        <w:rPr>
          <w:rFonts w:ascii="Times New Roman" w:hAnsi="Times New Roman" w:cs="Times New Roman"/>
          <w:sz w:val="24"/>
          <w:szCs w:val="24"/>
        </w:rPr>
        <w:t>cause</w:t>
      </w:r>
      <w:r>
        <w:rPr>
          <w:rFonts w:ascii="Times New Roman" w:hAnsi="Times New Roman" w:cs="Times New Roman"/>
          <w:sz w:val="24"/>
          <w:szCs w:val="24"/>
        </w:rPr>
        <w:t xml:space="preserve"> of action to then </w:t>
      </w:r>
      <w:r w:rsidR="00930660">
        <w:rPr>
          <w:rFonts w:ascii="Times New Roman" w:hAnsi="Times New Roman" w:cs="Times New Roman"/>
          <w:sz w:val="24"/>
          <w:szCs w:val="24"/>
        </w:rPr>
        <w:t>seek</w:t>
      </w:r>
      <w:r>
        <w:rPr>
          <w:rFonts w:ascii="Times New Roman" w:hAnsi="Times New Roman" w:cs="Times New Roman"/>
          <w:sz w:val="24"/>
          <w:szCs w:val="24"/>
        </w:rPr>
        <w:t xml:space="preserve"> an amendment to create a cause of action </w:t>
      </w:r>
      <w:r w:rsidR="007C7AC5">
        <w:rPr>
          <w:rFonts w:ascii="Times New Roman" w:hAnsi="Times New Roman" w:cs="Times New Roman"/>
          <w:sz w:val="24"/>
          <w:szCs w:val="24"/>
        </w:rPr>
        <w:t xml:space="preserve">after a defendant had raised the defence of lack thereof. Or where a defendant had not raised any defence at all in his plea and the plaintiff sought judgment, </w:t>
      </w:r>
      <w:r>
        <w:rPr>
          <w:rFonts w:ascii="Times New Roman" w:hAnsi="Times New Roman" w:cs="Times New Roman"/>
          <w:sz w:val="24"/>
          <w:szCs w:val="24"/>
        </w:rPr>
        <w:t>wh</w:t>
      </w:r>
      <w:r w:rsidR="007C7AC5">
        <w:rPr>
          <w:rFonts w:ascii="Times New Roman" w:hAnsi="Times New Roman" w:cs="Times New Roman"/>
          <w:sz w:val="24"/>
          <w:szCs w:val="24"/>
        </w:rPr>
        <w:t xml:space="preserve">at would then stop a defendant from seeking to amend his plea to raise an appropriate defence. </w:t>
      </w:r>
    </w:p>
    <w:p w:rsidR="006218AD" w:rsidRDefault="007C7AC5"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opinion, Mr </w:t>
      </w:r>
      <w:proofErr w:type="spellStart"/>
      <w:r>
        <w:rPr>
          <w:rFonts w:ascii="Times New Roman" w:hAnsi="Times New Roman" w:cs="Times New Roman"/>
          <w:sz w:val="24"/>
          <w:szCs w:val="24"/>
        </w:rPr>
        <w:t>Hofisi’s</w:t>
      </w:r>
      <w:proofErr w:type="spellEnd"/>
      <w:r>
        <w:rPr>
          <w:rFonts w:ascii="Times New Roman" w:hAnsi="Times New Roman" w:cs="Times New Roman"/>
          <w:sz w:val="24"/>
          <w:szCs w:val="24"/>
        </w:rPr>
        <w:t xml:space="preserve"> conduct is tantamount to closing the stable door after th</w:t>
      </w:r>
      <w:r w:rsidR="00930660">
        <w:rPr>
          <w:rFonts w:ascii="Times New Roman" w:hAnsi="Times New Roman" w:cs="Times New Roman"/>
          <w:sz w:val="24"/>
          <w:szCs w:val="24"/>
        </w:rPr>
        <w:t>e horse had bolted and saves no</w:t>
      </w:r>
      <w:r>
        <w:rPr>
          <w:rFonts w:ascii="Times New Roman" w:hAnsi="Times New Roman" w:cs="Times New Roman"/>
          <w:sz w:val="24"/>
          <w:szCs w:val="24"/>
        </w:rPr>
        <w:t xml:space="preserve"> purpose.</w:t>
      </w:r>
      <w:r w:rsidR="007125D8">
        <w:rPr>
          <w:rFonts w:ascii="Times New Roman" w:hAnsi="Times New Roman" w:cs="Times New Roman"/>
          <w:sz w:val="24"/>
          <w:szCs w:val="24"/>
        </w:rPr>
        <w:t xml:space="preserve"> An efficient and conscientious legal practitioner would, as soon as the special plea of prescription was raised, have immediately withdrawn the summons and issued new summons timeously.</w:t>
      </w:r>
      <w:r w:rsidR="00785762">
        <w:rPr>
          <w:rFonts w:ascii="Times New Roman" w:hAnsi="Times New Roman" w:cs="Times New Roman"/>
          <w:sz w:val="24"/>
          <w:szCs w:val="24"/>
        </w:rPr>
        <w:t xml:space="preserve"> </w:t>
      </w:r>
    </w:p>
    <w:p w:rsidR="006218AD" w:rsidRDefault="006218AD" w:rsidP="006218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it is my considered view that once </w:t>
      </w:r>
      <w:r w:rsidR="000B49E2">
        <w:rPr>
          <w:rFonts w:ascii="Times New Roman" w:hAnsi="Times New Roman" w:cs="Times New Roman"/>
          <w:sz w:val="24"/>
          <w:szCs w:val="24"/>
        </w:rPr>
        <w:t>t</w:t>
      </w:r>
      <w:r>
        <w:rPr>
          <w:rFonts w:ascii="Times New Roman" w:hAnsi="Times New Roman" w:cs="Times New Roman"/>
          <w:sz w:val="24"/>
          <w:szCs w:val="24"/>
        </w:rPr>
        <w:t xml:space="preserve">he oral application to amend </w:t>
      </w:r>
      <w:r w:rsidR="000B49E2">
        <w:rPr>
          <w:rFonts w:ascii="Times New Roman" w:hAnsi="Times New Roman" w:cs="Times New Roman"/>
          <w:sz w:val="24"/>
          <w:szCs w:val="24"/>
        </w:rPr>
        <w:t>the summons and declaration is opposed, it must be properly made in writing as a court application to accord the defendant the opportunity to appropriately respond thereto.</w:t>
      </w:r>
      <w:r>
        <w:rPr>
          <w:rFonts w:ascii="Times New Roman" w:hAnsi="Times New Roman" w:cs="Times New Roman"/>
          <w:sz w:val="24"/>
          <w:szCs w:val="24"/>
        </w:rPr>
        <w:t xml:space="preserve"> </w:t>
      </w:r>
    </w:p>
    <w:p w:rsidR="00D1563F" w:rsidRDefault="00785762"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unfortunate if the plaintiff is unable to receive compensation for unlawful arrest and detention because of the sheer ineptitude and crass incompetence of his legal practitioner.</w:t>
      </w:r>
    </w:p>
    <w:p w:rsidR="00D1563F" w:rsidRDefault="00D1563F"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leave to amend the summons is denied. The special plea of prescription is upheld.</w:t>
      </w:r>
    </w:p>
    <w:p w:rsidR="007C7AC5" w:rsidRDefault="007C7AC5" w:rsidP="00BF5B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Once I have refu</w:t>
      </w:r>
      <w:r w:rsidR="00930660">
        <w:rPr>
          <w:rFonts w:ascii="Times New Roman" w:hAnsi="Times New Roman" w:cs="Times New Roman"/>
          <w:sz w:val="24"/>
          <w:szCs w:val="24"/>
        </w:rPr>
        <w:t xml:space="preserve">sed leave to amend the summons and </w:t>
      </w:r>
      <w:r w:rsidR="000B49E2">
        <w:rPr>
          <w:rFonts w:ascii="Times New Roman" w:hAnsi="Times New Roman" w:cs="Times New Roman"/>
          <w:sz w:val="24"/>
          <w:szCs w:val="24"/>
        </w:rPr>
        <w:t xml:space="preserve">have </w:t>
      </w:r>
      <w:r w:rsidR="00930660">
        <w:rPr>
          <w:rFonts w:ascii="Times New Roman" w:hAnsi="Times New Roman" w:cs="Times New Roman"/>
          <w:sz w:val="24"/>
          <w:szCs w:val="24"/>
        </w:rPr>
        <w:t xml:space="preserve">upheld the special plea of prescription, </w:t>
      </w:r>
      <w:r>
        <w:rPr>
          <w:rFonts w:ascii="Times New Roman" w:hAnsi="Times New Roman" w:cs="Times New Roman"/>
          <w:sz w:val="24"/>
          <w:szCs w:val="24"/>
        </w:rPr>
        <w:t>the second ground of the special plea</w:t>
      </w:r>
      <w:r w:rsidR="001C5899">
        <w:rPr>
          <w:rFonts w:ascii="Times New Roman" w:hAnsi="Times New Roman" w:cs="Times New Roman"/>
          <w:sz w:val="24"/>
          <w:szCs w:val="24"/>
        </w:rPr>
        <w:t>,</w:t>
      </w:r>
      <w:r w:rsidR="00930660">
        <w:rPr>
          <w:rFonts w:ascii="Times New Roman" w:hAnsi="Times New Roman" w:cs="Times New Roman"/>
          <w:sz w:val="24"/>
          <w:szCs w:val="24"/>
        </w:rPr>
        <w:t xml:space="preserve"> that the </w:t>
      </w:r>
      <w:r w:rsidR="001C5899">
        <w:rPr>
          <w:rFonts w:ascii="Times New Roman" w:hAnsi="Times New Roman" w:cs="Times New Roman"/>
          <w:sz w:val="24"/>
          <w:szCs w:val="24"/>
        </w:rPr>
        <w:t>plaintiff is</w:t>
      </w:r>
      <w:r w:rsidR="005711CA">
        <w:rPr>
          <w:rFonts w:ascii="Times New Roman" w:hAnsi="Times New Roman" w:cs="Times New Roman"/>
          <w:sz w:val="24"/>
          <w:szCs w:val="24"/>
        </w:rPr>
        <w:t>,</w:t>
      </w:r>
      <w:r w:rsidR="001C5899">
        <w:rPr>
          <w:rFonts w:ascii="Times New Roman" w:hAnsi="Times New Roman" w:cs="Times New Roman"/>
          <w:sz w:val="24"/>
          <w:szCs w:val="24"/>
        </w:rPr>
        <w:t xml:space="preserve"> in any case</w:t>
      </w:r>
      <w:r w:rsidR="005711CA">
        <w:rPr>
          <w:rFonts w:ascii="Times New Roman" w:hAnsi="Times New Roman" w:cs="Times New Roman"/>
          <w:sz w:val="24"/>
          <w:szCs w:val="24"/>
        </w:rPr>
        <w:t>,</w:t>
      </w:r>
      <w:r w:rsidR="001C5899">
        <w:rPr>
          <w:rFonts w:ascii="Times New Roman" w:hAnsi="Times New Roman" w:cs="Times New Roman"/>
          <w:sz w:val="24"/>
          <w:szCs w:val="24"/>
        </w:rPr>
        <w:t xml:space="preserve"> barred for failing to abide by the provisions of s</w:t>
      </w:r>
      <w:r w:rsidR="00A77AAB">
        <w:rPr>
          <w:rFonts w:ascii="Times New Roman" w:hAnsi="Times New Roman" w:cs="Times New Roman"/>
          <w:sz w:val="24"/>
          <w:szCs w:val="24"/>
        </w:rPr>
        <w:t xml:space="preserve"> </w:t>
      </w:r>
      <w:r w:rsidR="001C5899">
        <w:rPr>
          <w:rFonts w:ascii="Times New Roman" w:hAnsi="Times New Roman" w:cs="Times New Roman"/>
          <w:sz w:val="24"/>
          <w:szCs w:val="24"/>
        </w:rPr>
        <w:t>70 of the Police Act become</w:t>
      </w:r>
      <w:r w:rsidR="00785762">
        <w:rPr>
          <w:rFonts w:ascii="Times New Roman" w:hAnsi="Times New Roman" w:cs="Times New Roman"/>
          <w:sz w:val="24"/>
          <w:szCs w:val="24"/>
        </w:rPr>
        <w:t>s</w:t>
      </w:r>
      <w:r>
        <w:rPr>
          <w:rFonts w:ascii="Times New Roman" w:hAnsi="Times New Roman" w:cs="Times New Roman"/>
          <w:sz w:val="24"/>
          <w:szCs w:val="24"/>
        </w:rPr>
        <w:t xml:space="preserve"> academic. However, for the </w:t>
      </w:r>
      <w:r w:rsidR="00785762">
        <w:rPr>
          <w:rFonts w:ascii="Times New Roman" w:hAnsi="Times New Roman" w:cs="Times New Roman"/>
          <w:sz w:val="24"/>
          <w:szCs w:val="24"/>
        </w:rPr>
        <w:t>sake of completeness of a determination of the</w:t>
      </w:r>
      <w:r>
        <w:rPr>
          <w:rFonts w:ascii="Times New Roman" w:hAnsi="Times New Roman" w:cs="Times New Roman"/>
          <w:sz w:val="24"/>
          <w:szCs w:val="24"/>
        </w:rPr>
        <w:t xml:space="preserve"> special plea in its </w:t>
      </w:r>
      <w:r w:rsidR="00785762">
        <w:rPr>
          <w:rFonts w:ascii="Times New Roman" w:hAnsi="Times New Roman" w:cs="Times New Roman"/>
          <w:sz w:val="24"/>
          <w:szCs w:val="24"/>
        </w:rPr>
        <w:t>entirety, I</w:t>
      </w:r>
      <w:r>
        <w:rPr>
          <w:rFonts w:ascii="Times New Roman" w:hAnsi="Times New Roman" w:cs="Times New Roman"/>
          <w:sz w:val="24"/>
          <w:szCs w:val="24"/>
        </w:rPr>
        <w:t xml:space="preserve"> will </w:t>
      </w:r>
      <w:r w:rsidR="00785762">
        <w:rPr>
          <w:rFonts w:ascii="Times New Roman" w:hAnsi="Times New Roman" w:cs="Times New Roman"/>
          <w:sz w:val="24"/>
          <w:szCs w:val="24"/>
        </w:rPr>
        <w:t xml:space="preserve">summarily </w:t>
      </w:r>
      <w:r>
        <w:rPr>
          <w:rFonts w:ascii="Times New Roman" w:hAnsi="Times New Roman" w:cs="Times New Roman"/>
          <w:sz w:val="24"/>
          <w:szCs w:val="24"/>
        </w:rPr>
        <w:t>address the effect of failing to compl</w:t>
      </w:r>
      <w:r w:rsidR="00785762">
        <w:rPr>
          <w:rFonts w:ascii="Times New Roman" w:hAnsi="Times New Roman" w:cs="Times New Roman"/>
          <w:sz w:val="24"/>
          <w:szCs w:val="24"/>
        </w:rPr>
        <w:t>y</w:t>
      </w:r>
      <w:r>
        <w:rPr>
          <w:rFonts w:ascii="Times New Roman" w:hAnsi="Times New Roman" w:cs="Times New Roman"/>
          <w:sz w:val="24"/>
          <w:szCs w:val="24"/>
        </w:rPr>
        <w:t xml:space="preserve"> with s70 of the Police Act.</w:t>
      </w:r>
    </w:p>
    <w:p w:rsidR="00FF21D5" w:rsidRDefault="00785762"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first place, I do not agree </w:t>
      </w:r>
      <w:r w:rsidR="000B49E2">
        <w:rPr>
          <w:rFonts w:ascii="Times New Roman" w:hAnsi="Times New Roman" w:cs="Times New Roman"/>
          <w:sz w:val="24"/>
          <w:szCs w:val="24"/>
        </w:rPr>
        <w:t xml:space="preserve">that </w:t>
      </w:r>
      <w:r>
        <w:rPr>
          <w:rFonts w:ascii="Times New Roman" w:hAnsi="Times New Roman" w:cs="Times New Roman"/>
          <w:sz w:val="24"/>
          <w:szCs w:val="24"/>
        </w:rPr>
        <w:t>s70 is inapplicable to acts done in terms of the Criminal Procedure and Evidence Act</w:t>
      </w:r>
      <w:r w:rsidR="000B49E2">
        <w:rPr>
          <w:rFonts w:ascii="Times New Roman" w:hAnsi="Times New Roman" w:cs="Times New Roman"/>
          <w:sz w:val="24"/>
          <w:szCs w:val="24"/>
        </w:rPr>
        <w:t xml:space="preserve"> </w:t>
      </w:r>
      <w:r w:rsidR="00A77AAB">
        <w:rPr>
          <w:rFonts w:ascii="Times New Roman" w:hAnsi="Times New Roman" w:cs="Times New Roman"/>
          <w:sz w:val="24"/>
          <w:szCs w:val="24"/>
        </w:rPr>
        <w:t>[</w:t>
      </w:r>
      <w:r w:rsidR="000B49E2" w:rsidRPr="00A77AAB">
        <w:rPr>
          <w:rFonts w:ascii="Times New Roman" w:hAnsi="Times New Roman" w:cs="Times New Roman"/>
          <w:i/>
          <w:sz w:val="24"/>
          <w:szCs w:val="24"/>
        </w:rPr>
        <w:t>C</w:t>
      </w:r>
      <w:r w:rsidR="00A77AAB" w:rsidRPr="00A77AAB">
        <w:rPr>
          <w:rFonts w:ascii="Times New Roman" w:hAnsi="Times New Roman" w:cs="Times New Roman"/>
          <w:i/>
          <w:sz w:val="24"/>
          <w:szCs w:val="24"/>
        </w:rPr>
        <w:t>h</w:t>
      </w:r>
      <w:r w:rsidR="000B49E2" w:rsidRPr="00A77AAB">
        <w:rPr>
          <w:rFonts w:ascii="Times New Roman" w:hAnsi="Times New Roman" w:cs="Times New Roman"/>
          <w:i/>
          <w:sz w:val="24"/>
          <w:szCs w:val="24"/>
        </w:rPr>
        <w:t>ap</w:t>
      </w:r>
      <w:r w:rsidR="00A77AAB" w:rsidRPr="00A77AAB">
        <w:rPr>
          <w:rFonts w:ascii="Times New Roman" w:hAnsi="Times New Roman" w:cs="Times New Roman"/>
          <w:i/>
          <w:sz w:val="24"/>
          <w:szCs w:val="24"/>
        </w:rPr>
        <w:t xml:space="preserve">ter </w:t>
      </w:r>
      <w:r w:rsidR="000B49E2" w:rsidRPr="00A77AAB">
        <w:rPr>
          <w:rFonts w:ascii="Times New Roman" w:hAnsi="Times New Roman" w:cs="Times New Roman"/>
          <w:i/>
          <w:sz w:val="24"/>
          <w:szCs w:val="24"/>
        </w:rPr>
        <w:t>9:07</w:t>
      </w:r>
      <w:r w:rsidR="00A77AAB">
        <w:rPr>
          <w:rFonts w:ascii="Times New Roman" w:hAnsi="Times New Roman" w:cs="Times New Roman"/>
          <w:sz w:val="24"/>
          <w:szCs w:val="24"/>
        </w:rPr>
        <w:t>]</w:t>
      </w:r>
      <w:r>
        <w:rPr>
          <w:rFonts w:ascii="Times New Roman" w:hAnsi="Times New Roman" w:cs="Times New Roman"/>
          <w:sz w:val="24"/>
          <w:szCs w:val="24"/>
        </w:rPr>
        <w:t xml:space="preserve"> as alleged. </w:t>
      </w:r>
      <w:r w:rsidR="00183C5E">
        <w:rPr>
          <w:rFonts w:ascii="Times New Roman" w:hAnsi="Times New Roman" w:cs="Times New Roman"/>
          <w:sz w:val="24"/>
          <w:szCs w:val="24"/>
        </w:rPr>
        <w:t xml:space="preserve">The Criminal Procedure and Evidence Act does not provide for the employment of police officers as such, nor does it vest in them power to act as police officers. </w:t>
      </w:r>
      <w:r>
        <w:rPr>
          <w:rFonts w:ascii="Times New Roman" w:hAnsi="Times New Roman" w:cs="Times New Roman"/>
          <w:sz w:val="24"/>
          <w:szCs w:val="24"/>
        </w:rPr>
        <w:t xml:space="preserve">A police officer </w:t>
      </w:r>
      <w:r w:rsidR="00183C5E">
        <w:rPr>
          <w:rFonts w:ascii="Times New Roman" w:hAnsi="Times New Roman" w:cs="Times New Roman"/>
          <w:sz w:val="24"/>
          <w:szCs w:val="24"/>
        </w:rPr>
        <w:t xml:space="preserve">is employed as a policeman/woman in terms of the Police Act and </w:t>
      </w:r>
      <w:r>
        <w:rPr>
          <w:rFonts w:ascii="Times New Roman" w:hAnsi="Times New Roman" w:cs="Times New Roman"/>
          <w:sz w:val="24"/>
          <w:szCs w:val="24"/>
        </w:rPr>
        <w:t>derives his authority to act as such from th</w:t>
      </w:r>
      <w:r w:rsidR="00183C5E">
        <w:rPr>
          <w:rFonts w:ascii="Times New Roman" w:hAnsi="Times New Roman" w:cs="Times New Roman"/>
          <w:sz w:val="24"/>
          <w:szCs w:val="24"/>
        </w:rPr>
        <w:t xml:space="preserve">at act. </w:t>
      </w:r>
      <w:r>
        <w:rPr>
          <w:rFonts w:ascii="Times New Roman" w:hAnsi="Times New Roman" w:cs="Times New Roman"/>
          <w:sz w:val="24"/>
          <w:szCs w:val="24"/>
        </w:rPr>
        <w:t>S</w:t>
      </w:r>
      <w:r w:rsidR="00A77AAB">
        <w:rPr>
          <w:rFonts w:ascii="Times New Roman" w:hAnsi="Times New Roman" w:cs="Times New Roman"/>
          <w:sz w:val="24"/>
          <w:szCs w:val="24"/>
        </w:rPr>
        <w:t xml:space="preserve">ection </w:t>
      </w:r>
      <w:r>
        <w:rPr>
          <w:rFonts w:ascii="Times New Roman" w:hAnsi="Times New Roman" w:cs="Times New Roman"/>
          <w:sz w:val="24"/>
          <w:szCs w:val="24"/>
        </w:rPr>
        <w:t xml:space="preserve">25 of the Criminal Procedure and Evidence Act </w:t>
      </w:r>
      <w:r w:rsidR="00BA51BD">
        <w:rPr>
          <w:rFonts w:ascii="Times New Roman" w:hAnsi="Times New Roman" w:cs="Times New Roman"/>
          <w:sz w:val="24"/>
          <w:szCs w:val="24"/>
        </w:rPr>
        <w:t xml:space="preserve">merely </w:t>
      </w:r>
      <w:r>
        <w:rPr>
          <w:rFonts w:ascii="Times New Roman" w:hAnsi="Times New Roman" w:cs="Times New Roman"/>
          <w:sz w:val="24"/>
          <w:szCs w:val="24"/>
        </w:rPr>
        <w:t xml:space="preserve">authorises peace officers, who may include police officers, to detain and arrest suspects. Nor do I agree that the Police Act only authorises police officers to arrest and detain other police officers. </w:t>
      </w:r>
      <w:r w:rsidR="00082235">
        <w:rPr>
          <w:rFonts w:ascii="Times New Roman" w:hAnsi="Times New Roman" w:cs="Times New Roman"/>
          <w:sz w:val="24"/>
          <w:szCs w:val="24"/>
        </w:rPr>
        <w:t>S19 of the Police Act provides for the powers and duties of the police to enable them to exercise the powers conferred by the Criminal</w:t>
      </w:r>
      <w:r w:rsidR="00BA51BD">
        <w:rPr>
          <w:rFonts w:ascii="Times New Roman" w:hAnsi="Times New Roman" w:cs="Times New Roman"/>
          <w:sz w:val="24"/>
          <w:szCs w:val="24"/>
        </w:rPr>
        <w:t xml:space="preserve"> Procedure</w:t>
      </w:r>
      <w:r w:rsidR="00082235">
        <w:rPr>
          <w:rFonts w:ascii="Times New Roman" w:hAnsi="Times New Roman" w:cs="Times New Roman"/>
          <w:sz w:val="24"/>
          <w:szCs w:val="24"/>
        </w:rPr>
        <w:t xml:space="preserve"> and Evidence Act.</w:t>
      </w:r>
    </w:p>
    <w:p w:rsidR="00785762" w:rsidRDefault="00183C5E"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the provisions of s</w:t>
      </w:r>
      <w:r w:rsidR="00A77AAB">
        <w:rPr>
          <w:rFonts w:ascii="Times New Roman" w:hAnsi="Times New Roman" w:cs="Times New Roman"/>
          <w:sz w:val="24"/>
          <w:szCs w:val="24"/>
        </w:rPr>
        <w:t xml:space="preserve"> </w:t>
      </w:r>
      <w:r>
        <w:rPr>
          <w:rFonts w:ascii="Times New Roman" w:hAnsi="Times New Roman" w:cs="Times New Roman"/>
          <w:sz w:val="24"/>
          <w:szCs w:val="24"/>
        </w:rPr>
        <w:t>70 have been dealt with before in our jurisprudence and it is settled that</w:t>
      </w:r>
      <w:r w:rsidR="00785762">
        <w:rPr>
          <w:rFonts w:ascii="Times New Roman" w:hAnsi="Times New Roman" w:cs="Times New Roman"/>
          <w:sz w:val="24"/>
          <w:szCs w:val="24"/>
        </w:rPr>
        <w:t xml:space="preserve"> civil proceedings against the police, </w:t>
      </w:r>
      <w:r>
        <w:rPr>
          <w:rFonts w:ascii="Times New Roman" w:hAnsi="Times New Roman" w:cs="Times New Roman"/>
          <w:sz w:val="24"/>
          <w:szCs w:val="24"/>
        </w:rPr>
        <w:t>exercising</w:t>
      </w:r>
      <w:r w:rsidR="00785762">
        <w:rPr>
          <w:rFonts w:ascii="Times New Roman" w:hAnsi="Times New Roman" w:cs="Times New Roman"/>
          <w:sz w:val="24"/>
          <w:szCs w:val="24"/>
        </w:rPr>
        <w:t xml:space="preserve"> their duty as such, falls squarely within the provisions of s</w:t>
      </w:r>
      <w:r w:rsidR="00A77AAB">
        <w:rPr>
          <w:rFonts w:ascii="Times New Roman" w:hAnsi="Times New Roman" w:cs="Times New Roman"/>
          <w:sz w:val="24"/>
          <w:szCs w:val="24"/>
        </w:rPr>
        <w:t xml:space="preserve"> </w:t>
      </w:r>
      <w:r w:rsidR="00785762">
        <w:rPr>
          <w:rFonts w:ascii="Times New Roman" w:hAnsi="Times New Roman" w:cs="Times New Roman"/>
          <w:sz w:val="24"/>
          <w:szCs w:val="24"/>
        </w:rPr>
        <w:t>70.</w:t>
      </w:r>
      <w:r w:rsidR="00785762">
        <w:rPr>
          <w:rStyle w:val="FootnoteReference"/>
          <w:rFonts w:ascii="Times New Roman" w:hAnsi="Times New Roman"/>
          <w:sz w:val="24"/>
          <w:szCs w:val="24"/>
        </w:rPr>
        <w:footnoteReference w:id="4"/>
      </w:r>
      <w:r w:rsidR="00082235">
        <w:rPr>
          <w:rFonts w:ascii="Times New Roman" w:hAnsi="Times New Roman" w:cs="Times New Roman"/>
          <w:sz w:val="24"/>
          <w:szCs w:val="24"/>
        </w:rPr>
        <w:t xml:space="preserve"> </w:t>
      </w:r>
    </w:p>
    <w:p w:rsidR="00BA51BD" w:rsidRDefault="00473190"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A51BD">
        <w:rPr>
          <w:rFonts w:ascii="Times New Roman" w:hAnsi="Times New Roman" w:cs="Times New Roman"/>
          <w:sz w:val="24"/>
          <w:szCs w:val="24"/>
        </w:rPr>
        <w:t xml:space="preserve">he question </w:t>
      </w:r>
      <w:r w:rsidR="00082235">
        <w:rPr>
          <w:rFonts w:ascii="Times New Roman" w:hAnsi="Times New Roman" w:cs="Times New Roman"/>
          <w:sz w:val="24"/>
          <w:szCs w:val="24"/>
        </w:rPr>
        <w:t xml:space="preserve">whether or not, by providing limitations to the time within which one must institute civil proceedings against the police acting within the scope of their </w:t>
      </w:r>
      <w:r w:rsidR="00082235">
        <w:rPr>
          <w:rFonts w:ascii="Times New Roman" w:hAnsi="Times New Roman" w:cs="Times New Roman"/>
          <w:sz w:val="24"/>
          <w:szCs w:val="24"/>
        </w:rPr>
        <w:lastRenderedPageBreak/>
        <w:t>employment, s70 is therefore ultra vires the constitution, is certainly not yet settled. Conflicting judgments have been rendered in this court.</w:t>
      </w:r>
      <w:r w:rsidR="00082235">
        <w:rPr>
          <w:rStyle w:val="FootnoteReference"/>
          <w:rFonts w:ascii="Times New Roman" w:hAnsi="Times New Roman"/>
          <w:sz w:val="24"/>
          <w:szCs w:val="24"/>
        </w:rPr>
        <w:footnoteReference w:id="5"/>
      </w:r>
      <w:r w:rsidR="00082235">
        <w:rPr>
          <w:rFonts w:ascii="Times New Roman" w:hAnsi="Times New Roman" w:cs="Times New Roman"/>
          <w:sz w:val="24"/>
          <w:szCs w:val="24"/>
        </w:rPr>
        <w:t xml:space="preserve"> </w:t>
      </w:r>
    </w:p>
    <w:p w:rsidR="00082235" w:rsidRDefault="00082235"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has already been referred to the </w:t>
      </w:r>
      <w:r w:rsidR="007C3F45">
        <w:rPr>
          <w:rFonts w:ascii="Times New Roman" w:hAnsi="Times New Roman" w:cs="Times New Roman"/>
          <w:sz w:val="24"/>
          <w:szCs w:val="24"/>
        </w:rPr>
        <w:t xml:space="preserve">Constitutional Court for confirmation of the finding of unconstitutionality in the </w:t>
      </w:r>
      <w:r w:rsidR="007C3F45" w:rsidRPr="00473190">
        <w:rPr>
          <w:rFonts w:ascii="Times New Roman" w:hAnsi="Times New Roman" w:cs="Times New Roman"/>
          <w:i/>
          <w:sz w:val="24"/>
          <w:szCs w:val="24"/>
        </w:rPr>
        <w:t xml:space="preserve">Michael </w:t>
      </w:r>
      <w:proofErr w:type="spellStart"/>
      <w:r w:rsidR="007C3F45" w:rsidRPr="00473190">
        <w:rPr>
          <w:rFonts w:ascii="Times New Roman" w:hAnsi="Times New Roman" w:cs="Times New Roman"/>
          <w:i/>
          <w:sz w:val="24"/>
          <w:szCs w:val="24"/>
        </w:rPr>
        <w:t>Nyika</w:t>
      </w:r>
      <w:proofErr w:type="spellEnd"/>
      <w:r w:rsidR="007C3F45">
        <w:rPr>
          <w:rFonts w:ascii="Times New Roman" w:hAnsi="Times New Roman" w:cs="Times New Roman"/>
          <w:sz w:val="24"/>
          <w:szCs w:val="24"/>
        </w:rPr>
        <w:t xml:space="preserve"> </w:t>
      </w:r>
      <w:r w:rsidR="00473190">
        <w:rPr>
          <w:rFonts w:ascii="Times New Roman" w:hAnsi="Times New Roman" w:cs="Times New Roman"/>
          <w:sz w:val="24"/>
          <w:szCs w:val="24"/>
        </w:rPr>
        <w:t>(</w:t>
      </w:r>
      <w:r w:rsidR="00473190" w:rsidRPr="00A77AAB">
        <w:rPr>
          <w:rFonts w:ascii="Times New Roman" w:hAnsi="Times New Roman" w:cs="Times New Roman"/>
          <w:i/>
          <w:sz w:val="24"/>
          <w:szCs w:val="24"/>
        </w:rPr>
        <w:t>supra</w:t>
      </w:r>
      <w:r w:rsidR="00473190">
        <w:rPr>
          <w:rFonts w:ascii="Times New Roman" w:hAnsi="Times New Roman" w:cs="Times New Roman"/>
          <w:sz w:val="24"/>
          <w:szCs w:val="24"/>
        </w:rPr>
        <w:t xml:space="preserve">) </w:t>
      </w:r>
      <w:r w:rsidR="007C3F45">
        <w:rPr>
          <w:rFonts w:ascii="Times New Roman" w:hAnsi="Times New Roman" w:cs="Times New Roman"/>
          <w:sz w:val="24"/>
          <w:szCs w:val="24"/>
        </w:rPr>
        <w:t>case</w:t>
      </w:r>
      <w:r w:rsidR="00473190">
        <w:rPr>
          <w:rFonts w:ascii="Times New Roman" w:hAnsi="Times New Roman" w:cs="Times New Roman"/>
          <w:sz w:val="24"/>
          <w:szCs w:val="24"/>
        </w:rPr>
        <w:t>. There is therefore no need for a further referral to the Constitutional Court for a determination of this issue.</w:t>
      </w:r>
    </w:p>
    <w:p w:rsidR="00473190" w:rsidRDefault="007C3F45"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pending such confirmation, I am </w:t>
      </w:r>
      <w:r w:rsidR="00BA51BD">
        <w:rPr>
          <w:rFonts w:ascii="Times New Roman" w:hAnsi="Times New Roman" w:cs="Times New Roman"/>
          <w:sz w:val="24"/>
          <w:szCs w:val="24"/>
        </w:rPr>
        <w:t xml:space="preserve">more </w:t>
      </w:r>
      <w:r>
        <w:rPr>
          <w:rFonts w:ascii="Times New Roman" w:hAnsi="Times New Roman" w:cs="Times New Roman"/>
          <w:sz w:val="24"/>
          <w:szCs w:val="24"/>
        </w:rPr>
        <w:t xml:space="preserve">persuaded by the reasoning of </w:t>
      </w:r>
      <w:proofErr w:type="spellStart"/>
      <w:r w:rsidRPr="00A77AAB">
        <w:rPr>
          <w:rFonts w:ascii="Times New Roman" w:hAnsi="Times New Roman" w:cs="Times New Roman"/>
          <w:smallCaps/>
          <w:sz w:val="24"/>
          <w:szCs w:val="24"/>
        </w:rPr>
        <w:t>Munangati-Manongwa</w:t>
      </w:r>
      <w:proofErr w:type="spellEnd"/>
      <w:r>
        <w:rPr>
          <w:rFonts w:ascii="Times New Roman" w:hAnsi="Times New Roman" w:cs="Times New Roman"/>
          <w:sz w:val="24"/>
          <w:szCs w:val="24"/>
        </w:rPr>
        <w:t xml:space="preserve"> J in </w:t>
      </w:r>
      <w:r w:rsidR="00473190">
        <w:rPr>
          <w:rFonts w:ascii="Times New Roman" w:hAnsi="Times New Roman" w:cs="Times New Roman"/>
          <w:sz w:val="24"/>
          <w:szCs w:val="24"/>
        </w:rPr>
        <w:t xml:space="preserve">the </w:t>
      </w:r>
      <w:r w:rsidRPr="00902F07">
        <w:rPr>
          <w:rFonts w:ascii="Times New Roman" w:hAnsi="Times New Roman" w:cs="Times New Roman"/>
          <w:i/>
          <w:sz w:val="24"/>
          <w:szCs w:val="24"/>
        </w:rPr>
        <w:t xml:space="preserve">Norbert </w:t>
      </w:r>
      <w:proofErr w:type="spellStart"/>
      <w:r w:rsidR="00473190" w:rsidRPr="00902F07">
        <w:rPr>
          <w:rFonts w:ascii="Times New Roman" w:hAnsi="Times New Roman" w:cs="Times New Roman"/>
          <w:i/>
          <w:sz w:val="24"/>
          <w:szCs w:val="24"/>
        </w:rPr>
        <w:t>Mangena</w:t>
      </w:r>
      <w:proofErr w:type="spellEnd"/>
      <w:r w:rsidR="00473190" w:rsidRPr="00A77AAB">
        <w:rPr>
          <w:rFonts w:ascii="Times New Roman" w:hAnsi="Times New Roman" w:cs="Times New Roman"/>
          <w:sz w:val="24"/>
          <w:szCs w:val="24"/>
        </w:rPr>
        <w:t xml:space="preserve"> (</w:t>
      </w:r>
      <w:r w:rsidR="00473190" w:rsidRPr="00902F07">
        <w:rPr>
          <w:rFonts w:ascii="Times New Roman" w:hAnsi="Times New Roman" w:cs="Times New Roman"/>
          <w:i/>
          <w:sz w:val="24"/>
          <w:szCs w:val="24"/>
        </w:rPr>
        <w:t>supra</w:t>
      </w:r>
      <w:r w:rsidR="00473190" w:rsidRPr="00A77AAB">
        <w:rPr>
          <w:rFonts w:ascii="Times New Roman" w:hAnsi="Times New Roman" w:cs="Times New Roman"/>
          <w:sz w:val="24"/>
          <w:szCs w:val="24"/>
        </w:rPr>
        <w:t>)</w:t>
      </w:r>
      <w:r w:rsidR="00473190" w:rsidRPr="00A77AAB">
        <w:rPr>
          <w:rFonts w:ascii="Times New Roman" w:hAnsi="Times New Roman" w:cs="Times New Roman"/>
          <w:i/>
          <w:sz w:val="24"/>
          <w:szCs w:val="24"/>
        </w:rPr>
        <w:t xml:space="preserve"> </w:t>
      </w:r>
      <w:r w:rsidR="00473190" w:rsidRPr="00A77AAB">
        <w:rPr>
          <w:rFonts w:ascii="Times New Roman" w:hAnsi="Times New Roman" w:cs="Times New Roman"/>
          <w:sz w:val="24"/>
          <w:szCs w:val="24"/>
        </w:rPr>
        <w:t>matter. In my view, o</w:t>
      </w:r>
      <w:r w:rsidRPr="00A77AAB">
        <w:rPr>
          <w:rFonts w:ascii="Times New Roman" w:hAnsi="Times New Roman" w:cs="Times New Roman"/>
          <w:sz w:val="24"/>
          <w:szCs w:val="24"/>
        </w:rPr>
        <w:t>nce</w:t>
      </w:r>
      <w:r>
        <w:rPr>
          <w:rFonts w:ascii="Times New Roman" w:hAnsi="Times New Roman" w:cs="Times New Roman"/>
          <w:sz w:val="24"/>
          <w:szCs w:val="24"/>
        </w:rPr>
        <w:t xml:space="preserve"> it is found that placing limitations as to when one may exercise their constitutional rights is a reasonable and acceptable principle in any democratic society, each State is at liberty, in the exercise of its margin of appreciation </w:t>
      </w:r>
      <w:r w:rsidR="00643A0B">
        <w:rPr>
          <w:rFonts w:ascii="Times New Roman" w:hAnsi="Times New Roman" w:cs="Times New Roman"/>
          <w:sz w:val="24"/>
          <w:szCs w:val="24"/>
        </w:rPr>
        <w:t xml:space="preserve">in the conduct of governance, to determine the time limits appropriate </w:t>
      </w:r>
      <w:r w:rsidR="00473190">
        <w:rPr>
          <w:rFonts w:ascii="Times New Roman" w:hAnsi="Times New Roman" w:cs="Times New Roman"/>
          <w:sz w:val="24"/>
          <w:szCs w:val="24"/>
        </w:rPr>
        <w:t>to</w:t>
      </w:r>
      <w:r w:rsidR="00643A0B">
        <w:rPr>
          <w:rFonts w:ascii="Times New Roman" w:hAnsi="Times New Roman" w:cs="Times New Roman"/>
          <w:sz w:val="24"/>
          <w:szCs w:val="24"/>
        </w:rPr>
        <w:t xml:space="preserve"> its own circumstances. </w:t>
      </w:r>
      <w:r w:rsidR="00473190">
        <w:rPr>
          <w:rFonts w:ascii="Times New Roman" w:hAnsi="Times New Roman" w:cs="Times New Roman"/>
          <w:sz w:val="24"/>
          <w:szCs w:val="24"/>
        </w:rPr>
        <w:t xml:space="preserve">Nor is it an automatic infringement of the right to equal treatment before the law or non-discrimination, that certain classes of persons are treated differently, in relation to rights which are not absolute but are subject to competing claims. </w:t>
      </w:r>
    </w:p>
    <w:p w:rsidR="00BA51BD" w:rsidRDefault="00473190"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643A0B">
        <w:rPr>
          <w:rFonts w:ascii="Times New Roman" w:hAnsi="Times New Roman" w:cs="Times New Roman"/>
          <w:sz w:val="24"/>
          <w:szCs w:val="24"/>
        </w:rPr>
        <w:t xml:space="preserve">hat other states may have lengthened the periods </w:t>
      </w:r>
      <w:r>
        <w:rPr>
          <w:rFonts w:ascii="Times New Roman" w:hAnsi="Times New Roman" w:cs="Times New Roman"/>
          <w:sz w:val="24"/>
          <w:szCs w:val="24"/>
        </w:rPr>
        <w:t xml:space="preserve">of limitations to act </w:t>
      </w:r>
      <w:r w:rsidR="00643A0B">
        <w:rPr>
          <w:rFonts w:ascii="Times New Roman" w:hAnsi="Times New Roman" w:cs="Times New Roman"/>
          <w:sz w:val="24"/>
          <w:szCs w:val="24"/>
        </w:rPr>
        <w:t xml:space="preserve">is not relevant in my view, and does not give rise to unconstitutionality. </w:t>
      </w:r>
      <w:r w:rsidR="00BA51BD">
        <w:rPr>
          <w:rFonts w:ascii="Times New Roman" w:hAnsi="Times New Roman" w:cs="Times New Roman"/>
          <w:sz w:val="24"/>
          <w:szCs w:val="24"/>
        </w:rPr>
        <w:t xml:space="preserve">It merely points to the “best practise” model. </w:t>
      </w:r>
    </w:p>
    <w:p w:rsidR="00643A0B" w:rsidRDefault="00643A0B" w:rsidP="00392A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I </w:t>
      </w:r>
      <w:r w:rsidR="00BA51BD">
        <w:rPr>
          <w:rFonts w:ascii="Times New Roman" w:hAnsi="Times New Roman" w:cs="Times New Roman"/>
          <w:sz w:val="24"/>
          <w:szCs w:val="24"/>
        </w:rPr>
        <w:t xml:space="preserve">do not discern any compelling reason to depart from </w:t>
      </w:r>
      <w:r w:rsidR="007C3F45">
        <w:rPr>
          <w:rFonts w:ascii="Times New Roman" w:hAnsi="Times New Roman" w:cs="Times New Roman"/>
          <w:sz w:val="24"/>
          <w:szCs w:val="24"/>
        </w:rPr>
        <w:t xml:space="preserve">the Supreme Court decision in </w:t>
      </w:r>
      <w:proofErr w:type="spellStart"/>
      <w:r w:rsidR="007C3F45" w:rsidRPr="003E24D4">
        <w:rPr>
          <w:rFonts w:ascii="Times New Roman" w:hAnsi="Times New Roman" w:cs="Times New Roman"/>
          <w:i/>
          <w:sz w:val="24"/>
          <w:szCs w:val="24"/>
        </w:rPr>
        <w:t>Stambolie</w:t>
      </w:r>
      <w:proofErr w:type="spellEnd"/>
      <w:r w:rsidR="007C3F45" w:rsidRPr="003E24D4">
        <w:rPr>
          <w:rFonts w:ascii="Times New Roman" w:hAnsi="Times New Roman" w:cs="Times New Roman"/>
          <w:i/>
          <w:sz w:val="24"/>
          <w:szCs w:val="24"/>
        </w:rPr>
        <w:t xml:space="preserve"> </w:t>
      </w:r>
      <w:r w:rsidR="007C3F45" w:rsidRPr="00F26505">
        <w:rPr>
          <w:rFonts w:ascii="Times New Roman" w:hAnsi="Times New Roman" w:cs="Times New Roman"/>
          <w:sz w:val="24"/>
          <w:szCs w:val="24"/>
        </w:rPr>
        <w:t>v</w:t>
      </w:r>
      <w:r w:rsidR="007C3F45" w:rsidRPr="003E24D4">
        <w:rPr>
          <w:rFonts w:ascii="Times New Roman" w:hAnsi="Times New Roman" w:cs="Times New Roman"/>
          <w:i/>
          <w:sz w:val="24"/>
          <w:szCs w:val="24"/>
        </w:rPr>
        <w:t xml:space="preserve"> Commissioner of Police</w:t>
      </w:r>
      <w:r w:rsidR="007C3F45">
        <w:rPr>
          <w:rFonts w:ascii="Times New Roman" w:hAnsi="Times New Roman" w:cs="Times New Roman"/>
          <w:i/>
          <w:sz w:val="24"/>
          <w:szCs w:val="24"/>
        </w:rPr>
        <w:t xml:space="preserve">, </w:t>
      </w:r>
      <w:r w:rsidR="007C3F45" w:rsidRPr="007C3F45">
        <w:rPr>
          <w:rFonts w:ascii="Times New Roman" w:hAnsi="Times New Roman" w:cs="Times New Roman"/>
          <w:sz w:val="24"/>
          <w:szCs w:val="24"/>
        </w:rPr>
        <w:t>which</w:t>
      </w:r>
      <w:r>
        <w:rPr>
          <w:rFonts w:ascii="Times New Roman" w:hAnsi="Times New Roman" w:cs="Times New Roman"/>
          <w:sz w:val="24"/>
          <w:szCs w:val="24"/>
        </w:rPr>
        <w:t>, on similar facts and similar legislative and constitutional provisions, ruled that the time limit then set at 6 months was not unconstitutional</w:t>
      </w:r>
      <w:r w:rsidR="00BA51BD">
        <w:rPr>
          <w:rFonts w:ascii="Times New Roman" w:hAnsi="Times New Roman" w:cs="Times New Roman"/>
          <w:sz w:val="24"/>
          <w:szCs w:val="24"/>
        </w:rPr>
        <w:t xml:space="preserve">, which decision I am bound by in accordance with the principle of </w:t>
      </w:r>
      <w:r w:rsidR="00BA51BD" w:rsidRPr="00643A0B">
        <w:rPr>
          <w:rFonts w:ascii="Times New Roman" w:hAnsi="Times New Roman" w:cs="Times New Roman"/>
          <w:i/>
          <w:sz w:val="24"/>
          <w:szCs w:val="24"/>
        </w:rPr>
        <w:t xml:space="preserve">stare </w:t>
      </w:r>
      <w:proofErr w:type="spellStart"/>
      <w:r w:rsidR="00BA51BD" w:rsidRPr="00643A0B">
        <w:rPr>
          <w:rFonts w:ascii="Times New Roman" w:hAnsi="Times New Roman" w:cs="Times New Roman"/>
          <w:i/>
          <w:sz w:val="24"/>
          <w:szCs w:val="24"/>
        </w:rPr>
        <w:t>decisis</w:t>
      </w:r>
      <w:proofErr w:type="spellEnd"/>
      <w:r>
        <w:rPr>
          <w:rFonts w:ascii="Times New Roman" w:hAnsi="Times New Roman" w:cs="Times New Roman"/>
          <w:sz w:val="24"/>
          <w:szCs w:val="24"/>
        </w:rPr>
        <w:t>.</w:t>
      </w:r>
    </w:p>
    <w:p w:rsidR="009A6514" w:rsidRDefault="009A6514" w:rsidP="003563CB">
      <w:pPr>
        <w:spacing w:after="0" w:line="360" w:lineRule="auto"/>
        <w:ind w:firstLine="720"/>
        <w:jc w:val="both"/>
        <w:rPr>
          <w:rFonts w:ascii="Times New Roman" w:hAnsi="Times New Roman" w:cs="Times New Roman"/>
          <w:sz w:val="24"/>
          <w:szCs w:val="24"/>
        </w:rPr>
      </w:pPr>
      <w:r w:rsidRPr="00FF21D5">
        <w:rPr>
          <w:rFonts w:ascii="Times New Roman" w:hAnsi="Times New Roman" w:cs="Times New Roman"/>
          <w:sz w:val="24"/>
          <w:szCs w:val="24"/>
        </w:rPr>
        <w:t xml:space="preserve">In the premises, the </w:t>
      </w:r>
      <w:r w:rsidR="008104D8">
        <w:rPr>
          <w:rFonts w:ascii="Times New Roman" w:hAnsi="Times New Roman" w:cs="Times New Roman"/>
          <w:sz w:val="24"/>
          <w:szCs w:val="24"/>
        </w:rPr>
        <w:t>special plea is upheld with</w:t>
      </w:r>
      <w:r w:rsidR="003563CB" w:rsidRPr="00FF21D5">
        <w:rPr>
          <w:rFonts w:ascii="Times New Roman" w:hAnsi="Times New Roman" w:cs="Times New Roman"/>
          <w:sz w:val="24"/>
          <w:szCs w:val="24"/>
        </w:rPr>
        <w:t xml:space="preserve"> cost</w:t>
      </w:r>
      <w:r w:rsidR="008104D8">
        <w:rPr>
          <w:rFonts w:ascii="Times New Roman" w:hAnsi="Times New Roman" w:cs="Times New Roman"/>
          <w:sz w:val="24"/>
          <w:szCs w:val="24"/>
        </w:rPr>
        <w:t>s.</w:t>
      </w:r>
    </w:p>
    <w:p w:rsidR="009A6514" w:rsidRDefault="009A6514" w:rsidP="00392AF1">
      <w:pPr>
        <w:spacing w:after="0" w:line="360" w:lineRule="auto"/>
        <w:ind w:firstLine="720"/>
        <w:jc w:val="both"/>
        <w:rPr>
          <w:rFonts w:ascii="Times New Roman" w:hAnsi="Times New Roman" w:cs="Times New Roman"/>
          <w:sz w:val="24"/>
          <w:szCs w:val="24"/>
        </w:rPr>
      </w:pPr>
    </w:p>
    <w:p w:rsidR="00F44250" w:rsidRDefault="00F44250" w:rsidP="007455BE">
      <w:pPr>
        <w:pStyle w:val="ListParagraph"/>
        <w:ind w:left="1080"/>
        <w:jc w:val="both"/>
        <w:rPr>
          <w:rFonts w:ascii="Times New Roman" w:hAnsi="Times New Roman" w:cs="Times New Roman"/>
          <w:sz w:val="24"/>
          <w:szCs w:val="24"/>
        </w:rPr>
      </w:pPr>
    </w:p>
    <w:p w:rsidR="00D611EB" w:rsidRPr="00D611EB" w:rsidRDefault="00C06250" w:rsidP="00D611EB">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Donsa-Nkomo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Mutangi</w:t>
      </w:r>
      <w:proofErr w:type="spellEnd"/>
      <w:r w:rsidR="00D611EB" w:rsidRPr="00D611EB">
        <w:rPr>
          <w:rFonts w:ascii="Times New Roman" w:hAnsi="Times New Roman" w:cs="Times New Roman"/>
          <w:sz w:val="24"/>
          <w:szCs w:val="24"/>
        </w:rPr>
        <w:t>, plaintiff’s legal practitioners</w:t>
      </w:r>
    </w:p>
    <w:p w:rsidR="00D611EB" w:rsidRPr="00D611EB" w:rsidRDefault="00C06250" w:rsidP="00D611EB">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Honey and </w:t>
      </w:r>
      <w:proofErr w:type="spellStart"/>
      <w:r>
        <w:rPr>
          <w:rFonts w:ascii="Times New Roman" w:hAnsi="Times New Roman" w:cs="Times New Roman"/>
          <w:i/>
          <w:sz w:val="24"/>
          <w:szCs w:val="24"/>
        </w:rPr>
        <w:t>Blankenberg</w:t>
      </w:r>
      <w:proofErr w:type="spellEnd"/>
      <w:r w:rsidR="00D611EB" w:rsidRPr="00D611EB">
        <w:rPr>
          <w:rFonts w:ascii="Times New Roman" w:hAnsi="Times New Roman" w:cs="Times New Roman"/>
          <w:sz w:val="24"/>
          <w:szCs w:val="24"/>
        </w:rPr>
        <w:t xml:space="preserve">, </w:t>
      </w:r>
      <w:r w:rsidR="00D61B16" w:rsidRPr="00D611EB">
        <w:rPr>
          <w:rFonts w:ascii="Times New Roman" w:hAnsi="Times New Roman" w:cs="Times New Roman"/>
          <w:sz w:val="24"/>
          <w:szCs w:val="24"/>
        </w:rPr>
        <w:t>defendant</w:t>
      </w:r>
      <w:r w:rsidR="00283E41">
        <w:rPr>
          <w:rFonts w:ascii="Times New Roman" w:hAnsi="Times New Roman" w:cs="Times New Roman"/>
          <w:sz w:val="24"/>
          <w:szCs w:val="24"/>
        </w:rPr>
        <w:t>’</w:t>
      </w:r>
      <w:r w:rsidR="00D61B16" w:rsidRPr="00D611EB">
        <w:rPr>
          <w:rFonts w:ascii="Times New Roman" w:hAnsi="Times New Roman" w:cs="Times New Roman"/>
          <w:sz w:val="24"/>
          <w:szCs w:val="24"/>
        </w:rPr>
        <w:t>s</w:t>
      </w:r>
      <w:r w:rsidR="00D611EB" w:rsidRPr="00D611EB">
        <w:rPr>
          <w:rFonts w:ascii="Times New Roman" w:hAnsi="Times New Roman" w:cs="Times New Roman"/>
          <w:sz w:val="24"/>
          <w:szCs w:val="24"/>
        </w:rPr>
        <w:t xml:space="preserve"> legal practitioners</w:t>
      </w:r>
    </w:p>
    <w:sectPr w:rsidR="00D611EB" w:rsidRPr="00D611E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0E1" w:rsidRDefault="001F60E1" w:rsidP="00A5344D">
      <w:pPr>
        <w:spacing w:after="0" w:line="240" w:lineRule="auto"/>
      </w:pPr>
      <w:r>
        <w:separator/>
      </w:r>
    </w:p>
  </w:endnote>
  <w:endnote w:type="continuationSeparator" w:id="0">
    <w:p w:rsidR="001F60E1" w:rsidRDefault="001F60E1"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0E1" w:rsidRDefault="001F60E1" w:rsidP="00A5344D">
      <w:pPr>
        <w:spacing w:after="0" w:line="240" w:lineRule="auto"/>
      </w:pPr>
      <w:r>
        <w:separator/>
      </w:r>
    </w:p>
  </w:footnote>
  <w:footnote w:type="continuationSeparator" w:id="0">
    <w:p w:rsidR="001F60E1" w:rsidRDefault="001F60E1" w:rsidP="00A5344D">
      <w:pPr>
        <w:spacing w:after="0" w:line="240" w:lineRule="auto"/>
      </w:pPr>
      <w:r>
        <w:continuationSeparator/>
      </w:r>
    </w:p>
  </w:footnote>
  <w:footnote w:id="1">
    <w:p w:rsidR="00A12168" w:rsidRPr="00A12168" w:rsidRDefault="00A12168">
      <w:pPr>
        <w:pStyle w:val="FootnoteText"/>
        <w:rPr>
          <w:lang w:val="en-ZW"/>
        </w:rPr>
      </w:pPr>
      <w:r>
        <w:rPr>
          <w:rStyle w:val="FootnoteReference"/>
        </w:rPr>
        <w:footnoteRef/>
      </w:r>
      <w:r>
        <w:t xml:space="preserve"> </w:t>
      </w:r>
      <w:r w:rsidRPr="00A77AAB">
        <w:rPr>
          <w:rFonts w:asciiTheme="minorHAnsi" w:hAnsiTheme="minorHAnsi"/>
          <w:lang w:val="en-ZW"/>
        </w:rPr>
        <w:t>UDC Ltd</w:t>
      </w:r>
      <w:r>
        <w:rPr>
          <w:lang w:val="en-ZW"/>
        </w:rPr>
        <w:t xml:space="preserve"> v </w:t>
      </w:r>
      <w:proofErr w:type="spellStart"/>
      <w:r w:rsidRPr="00A77AAB">
        <w:rPr>
          <w:sz w:val="18"/>
          <w:szCs w:val="18"/>
          <w:lang w:val="en-ZW"/>
        </w:rPr>
        <w:t>Shamva</w:t>
      </w:r>
      <w:proofErr w:type="spellEnd"/>
      <w:r w:rsidRPr="00A77AAB">
        <w:rPr>
          <w:sz w:val="18"/>
          <w:szCs w:val="18"/>
          <w:lang w:val="en-ZW"/>
        </w:rPr>
        <w:t xml:space="preserve"> 2000 (ZLR) 210</w:t>
      </w:r>
    </w:p>
  </w:footnote>
  <w:footnote w:id="2">
    <w:p w:rsidR="00220638" w:rsidRPr="00220638" w:rsidRDefault="00220638">
      <w:pPr>
        <w:pStyle w:val="FootnoteText"/>
      </w:pPr>
      <w:r>
        <w:rPr>
          <w:rStyle w:val="FootnoteReference"/>
        </w:rPr>
        <w:footnoteRef/>
      </w:r>
      <w:r>
        <w:t xml:space="preserve"> Rule 132 “…</w:t>
      </w:r>
    </w:p>
  </w:footnote>
  <w:footnote w:id="3">
    <w:p w:rsidR="00220638" w:rsidRPr="00220638" w:rsidRDefault="00220638">
      <w:pPr>
        <w:pStyle w:val="FootnoteText"/>
        <w:rPr>
          <w:lang w:val="en-ZW"/>
        </w:rPr>
      </w:pPr>
      <w:r>
        <w:rPr>
          <w:rStyle w:val="FootnoteReference"/>
        </w:rPr>
        <w:footnoteRef/>
      </w:r>
      <w:r>
        <w:t xml:space="preserve"> </w:t>
      </w:r>
      <w:r w:rsidRPr="00A77AAB">
        <w:rPr>
          <w:rFonts w:asciiTheme="minorHAnsi" w:hAnsiTheme="minorHAnsi"/>
          <w:lang w:val="en-ZW"/>
        </w:rPr>
        <w:t>Lourenco v Raja 1984 (2) ZLR 151 (SC)</w:t>
      </w:r>
    </w:p>
  </w:footnote>
  <w:footnote w:id="4">
    <w:p w:rsidR="00785762" w:rsidRPr="00785762" w:rsidRDefault="00785762">
      <w:pPr>
        <w:pStyle w:val="FootnoteText"/>
        <w:rPr>
          <w:lang w:val="en-ZW"/>
        </w:rPr>
      </w:pPr>
      <w:r>
        <w:rPr>
          <w:rStyle w:val="FootnoteReference"/>
        </w:rPr>
        <w:footnoteRef/>
      </w:r>
      <w:r>
        <w:t xml:space="preserve"> </w:t>
      </w:r>
      <w:r>
        <w:rPr>
          <w:lang w:val="en-ZW"/>
        </w:rPr>
        <w:t xml:space="preserve">See </w:t>
      </w:r>
      <w:r w:rsidR="00183C5E" w:rsidRPr="00082235">
        <w:rPr>
          <w:i/>
          <w:lang w:val="en-ZW"/>
        </w:rPr>
        <w:t xml:space="preserve">Norbert </w:t>
      </w:r>
      <w:proofErr w:type="spellStart"/>
      <w:r w:rsidR="00183C5E" w:rsidRPr="00082235">
        <w:rPr>
          <w:i/>
          <w:lang w:val="en-ZW"/>
        </w:rPr>
        <w:t>Mangena</w:t>
      </w:r>
      <w:proofErr w:type="spellEnd"/>
      <w:r w:rsidR="00183C5E" w:rsidRPr="00082235">
        <w:rPr>
          <w:i/>
          <w:lang w:val="en-ZW"/>
        </w:rPr>
        <w:t xml:space="preserve"> v Minister of Home Affairs &amp; </w:t>
      </w:r>
      <w:proofErr w:type="spellStart"/>
      <w:r w:rsidR="00183C5E" w:rsidRPr="00082235">
        <w:rPr>
          <w:i/>
          <w:lang w:val="en-ZW"/>
        </w:rPr>
        <w:t>Anor</w:t>
      </w:r>
      <w:proofErr w:type="spellEnd"/>
      <w:r w:rsidR="00183C5E">
        <w:rPr>
          <w:lang w:val="en-ZW"/>
        </w:rPr>
        <w:t xml:space="preserve"> HH115/16, </w:t>
      </w:r>
      <w:r w:rsidR="00183C5E" w:rsidRPr="00082235">
        <w:rPr>
          <w:i/>
          <w:lang w:val="en-ZW"/>
        </w:rPr>
        <w:t xml:space="preserve">Michael </w:t>
      </w:r>
      <w:proofErr w:type="spellStart"/>
      <w:r w:rsidR="00183C5E" w:rsidRPr="00082235">
        <w:rPr>
          <w:i/>
          <w:lang w:val="en-ZW"/>
        </w:rPr>
        <w:t>Nyika</w:t>
      </w:r>
      <w:proofErr w:type="spellEnd"/>
      <w:r w:rsidR="00183C5E" w:rsidRPr="00082235">
        <w:rPr>
          <w:i/>
          <w:lang w:val="en-ZW"/>
        </w:rPr>
        <w:t xml:space="preserve"> &amp; </w:t>
      </w:r>
      <w:proofErr w:type="spellStart"/>
      <w:r w:rsidR="00183C5E" w:rsidRPr="00082235">
        <w:rPr>
          <w:i/>
          <w:lang w:val="en-ZW"/>
        </w:rPr>
        <w:t>Anor</w:t>
      </w:r>
      <w:proofErr w:type="spellEnd"/>
      <w:r w:rsidR="00183C5E" w:rsidRPr="00082235">
        <w:rPr>
          <w:i/>
          <w:lang w:val="en-ZW"/>
        </w:rPr>
        <w:t xml:space="preserve"> v Minister of Home Affairs &amp; 3 </w:t>
      </w:r>
      <w:proofErr w:type="spellStart"/>
      <w:r w:rsidR="00183C5E" w:rsidRPr="00082235">
        <w:rPr>
          <w:i/>
          <w:lang w:val="en-ZW"/>
        </w:rPr>
        <w:t>Ors</w:t>
      </w:r>
      <w:proofErr w:type="spellEnd"/>
      <w:r w:rsidR="00183C5E">
        <w:rPr>
          <w:lang w:val="en-ZW"/>
        </w:rPr>
        <w:t xml:space="preserve"> HH181/16, </w:t>
      </w:r>
      <w:proofErr w:type="spellStart"/>
      <w:r w:rsidR="00082235" w:rsidRPr="003E24D4">
        <w:rPr>
          <w:rFonts w:ascii="Times New Roman" w:hAnsi="Times New Roman" w:cs="Times New Roman"/>
          <w:i/>
          <w:sz w:val="24"/>
          <w:szCs w:val="24"/>
        </w:rPr>
        <w:t>Stambolie</w:t>
      </w:r>
      <w:proofErr w:type="spellEnd"/>
      <w:r w:rsidR="00082235" w:rsidRPr="003E24D4">
        <w:rPr>
          <w:rFonts w:ascii="Times New Roman" w:hAnsi="Times New Roman" w:cs="Times New Roman"/>
          <w:i/>
          <w:sz w:val="24"/>
          <w:szCs w:val="24"/>
        </w:rPr>
        <w:t xml:space="preserve"> </w:t>
      </w:r>
      <w:r w:rsidR="00082235" w:rsidRPr="00F26505">
        <w:rPr>
          <w:rFonts w:ascii="Times New Roman" w:hAnsi="Times New Roman" w:cs="Times New Roman"/>
          <w:sz w:val="24"/>
          <w:szCs w:val="24"/>
        </w:rPr>
        <w:t>v</w:t>
      </w:r>
      <w:r w:rsidR="00082235" w:rsidRPr="003E24D4">
        <w:rPr>
          <w:rFonts w:ascii="Times New Roman" w:hAnsi="Times New Roman" w:cs="Times New Roman"/>
          <w:i/>
          <w:sz w:val="24"/>
          <w:szCs w:val="24"/>
        </w:rPr>
        <w:t xml:space="preserve"> Commissioner of Police</w:t>
      </w:r>
      <w:r w:rsidR="00082235">
        <w:rPr>
          <w:rFonts w:ascii="Times New Roman" w:hAnsi="Times New Roman" w:cs="Times New Roman"/>
          <w:sz w:val="24"/>
          <w:szCs w:val="24"/>
        </w:rPr>
        <w:t xml:space="preserve"> 1989 (3) ZLR 283</w:t>
      </w:r>
    </w:p>
  </w:footnote>
  <w:footnote w:id="5">
    <w:p w:rsidR="00082235" w:rsidRPr="00082235" w:rsidRDefault="00082235">
      <w:pPr>
        <w:pStyle w:val="FootnoteText"/>
        <w:rPr>
          <w:lang w:val="en-ZW"/>
        </w:rPr>
      </w:pPr>
      <w:r>
        <w:rPr>
          <w:rStyle w:val="FootnoteReference"/>
        </w:rPr>
        <w:footnoteRef/>
      </w:r>
      <w:r>
        <w:t xml:space="preserve"> </w:t>
      </w:r>
      <w:r>
        <w:rPr>
          <w:lang w:val="en-ZW"/>
        </w:rPr>
        <w:t xml:space="preserve">See for instance Charles </w:t>
      </w:r>
      <w:proofErr w:type="spellStart"/>
      <w:r>
        <w:rPr>
          <w:lang w:val="en-ZW"/>
        </w:rPr>
        <w:t>Ngoni</w:t>
      </w:r>
      <w:proofErr w:type="spellEnd"/>
      <w:r>
        <w:rPr>
          <w:lang w:val="en-ZW"/>
        </w:rPr>
        <w:t xml:space="preserve"> v Minister of Home Affairs &amp; 2 </w:t>
      </w:r>
      <w:proofErr w:type="spellStart"/>
      <w:r>
        <w:rPr>
          <w:lang w:val="en-ZW"/>
        </w:rPr>
        <w:t>Ors</w:t>
      </w:r>
      <w:proofErr w:type="spellEnd"/>
      <w:r>
        <w:rPr>
          <w:lang w:val="en-ZW"/>
        </w:rPr>
        <w:t xml:space="preserve"> HH658/15, </w:t>
      </w:r>
      <w:r w:rsidRPr="00082235">
        <w:rPr>
          <w:i/>
          <w:lang w:val="en-ZW"/>
        </w:rPr>
        <w:t xml:space="preserve">Norbert </w:t>
      </w:r>
      <w:proofErr w:type="spellStart"/>
      <w:r w:rsidRPr="00082235">
        <w:rPr>
          <w:i/>
          <w:lang w:val="en-ZW"/>
        </w:rPr>
        <w:t>Mangena</w:t>
      </w:r>
      <w:proofErr w:type="spellEnd"/>
      <w:r w:rsidRPr="00082235">
        <w:rPr>
          <w:i/>
          <w:lang w:val="en-ZW"/>
        </w:rPr>
        <w:t xml:space="preserve"> v Minister of Home Affairs &amp; </w:t>
      </w:r>
      <w:proofErr w:type="spellStart"/>
      <w:r w:rsidRPr="00082235">
        <w:rPr>
          <w:i/>
          <w:lang w:val="en-ZW"/>
        </w:rPr>
        <w:t>Anor</w:t>
      </w:r>
      <w:proofErr w:type="spellEnd"/>
      <w:r>
        <w:rPr>
          <w:i/>
          <w:lang w:val="en-ZW"/>
        </w:rPr>
        <w:t xml:space="preserve">(supra) and </w:t>
      </w:r>
      <w:r w:rsidRPr="00082235">
        <w:rPr>
          <w:i/>
          <w:lang w:val="en-ZW"/>
        </w:rPr>
        <w:t xml:space="preserve">Michael </w:t>
      </w:r>
      <w:proofErr w:type="spellStart"/>
      <w:r w:rsidRPr="00082235">
        <w:rPr>
          <w:i/>
          <w:lang w:val="en-ZW"/>
        </w:rPr>
        <w:t>Nyika</w:t>
      </w:r>
      <w:proofErr w:type="spellEnd"/>
      <w:r w:rsidRPr="00082235">
        <w:rPr>
          <w:i/>
          <w:lang w:val="en-ZW"/>
        </w:rPr>
        <w:t xml:space="preserve"> &amp; </w:t>
      </w:r>
      <w:proofErr w:type="spellStart"/>
      <w:r w:rsidRPr="00082235">
        <w:rPr>
          <w:i/>
          <w:lang w:val="en-ZW"/>
        </w:rPr>
        <w:t>Anor</w:t>
      </w:r>
      <w:proofErr w:type="spellEnd"/>
      <w:r w:rsidRPr="00082235">
        <w:rPr>
          <w:i/>
          <w:lang w:val="en-ZW"/>
        </w:rPr>
        <w:t xml:space="preserve"> v Minister of Home Affairs &amp; 3 </w:t>
      </w:r>
      <w:proofErr w:type="spellStart"/>
      <w:r w:rsidRPr="00082235">
        <w:rPr>
          <w:i/>
          <w:lang w:val="en-ZW"/>
        </w:rPr>
        <w:t>Ors</w:t>
      </w:r>
      <w:proofErr w:type="spellEnd"/>
      <w:r>
        <w:rPr>
          <w:i/>
          <w:lang w:val="en-Z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F83FA8" w:rsidRDefault="00F83FA8">
        <w:pPr>
          <w:pStyle w:val="Header"/>
          <w:jc w:val="right"/>
          <w:rPr>
            <w:noProof/>
          </w:rPr>
        </w:pPr>
        <w:r>
          <w:fldChar w:fldCharType="begin"/>
        </w:r>
        <w:r>
          <w:instrText xml:space="preserve"> PAGE   \* MERGEFORMAT </w:instrText>
        </w:r>
        <w:r>
          <w:fldChar w:fldCharType="separate"/>
        </w:r>
        <w:r w:rsidR="000A1937">
          <w:rPr>
            <w:noProof/>
          </w:rPr>
          <w:t>1</w:t>
        </w:r>
        <w:r>
          <w:rPr>
            <w:noProof/>
          </w:rPr>
          <w:fldChar w:fldCharType="end"/>
        </w:r>
      </w:p>
      <w:p w:rsidR="00F83FA8" w:rsidRDefault="00F83FA8">
        <w:pPr>
          <w:pStyle w:val="Header"/>
          <w:jc w:val="right"/>
          <w:rPr>
            <w:noProof/>
          </w:rPr>
        </w:pPr>
        <w:r>
          <w:rPr>
            <w:noProof/>
          </w:rPr>
          <w:t xml:space="preserve"> HH</w:t>
        </w:r>
        <w:r w:rsidR="001E1DA8">
          <w:rPr>
            <w:noProof/>
          </w:rPr>
          <w:t xml:space="preserve"> 227-17</w:t>
        </w:r>
      </w:p>
      <w:p w:rsidR="00F83FA8" w:rsidRDefault="00F83FA8">
        <w:pPr>
          <w:pStyle w:val="Header"/>
          <w:jc w:val="right"/>
        </w:pPr>
        <w:r w:rsidRPr="0032360F">
          <w:rPr>
            <w:noProof/>
          </w:rPr>
          <w:t xml:space="preserve">HC </w:t>
        </w:r>
        <w:r w:rsidR="0032360F" w:rsidRPr="0032360F">
          <w:rPr>
            <w:noProof/>
          </w:rPr>
          <w:t>8262/16</w:t>
        </w:r>
      </w:p>
    </w:sdtContent>
  </w:sdt>
  <w:p w:rsidR="00F83FA8" w:rsidRDefault="00F83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8B0497"/>
    <w:multiLevelType w:val="hybridMultilevel"/>
    <w:tmpl w:val="57501350"/>
    <w:lvl w:ilvl="0" w:tplc="656C4D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3805C4B"/>
    <w:multiLevelType w:val="hybridMultilevel"/>
    <w:tmpl w:val="FA4E20B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E372FB0"/>
    <w:multiLevelType w:val="hybridMultilevel"/>
    <w:tmpl w:val="490E3638"/>
    <w:lvl w:ilvl="0" w:tplc="30090019">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6">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309D2AC0"/>
    <w:multiLevelType w:val="hybridMultilevel"/>
    <w:tmpl w:val="F15256DE"/>
    <w:lvl w:ilvl="0" w:tplc="9042D6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88952DB"/>
    <w:multiLevelType w:val="hybridMultilevel"/>
    <w:tmpl w:val="CDD033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1F845A5"/>
    <w:multiLevelType w:val="hybridMultilevel"/>
    <w:tmpl w:val="5D32A842"/>
    <w:lvl w:ilvl="0" w:tplc="AAA4E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0472A88"/>
    <w:multiLevelType w:val="hybridMultilevel"/>
    <w:tmpl w:val="A9E89C36"/>
    <w:lvl w:ilvl="0" w:tplc="83BC5B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78646906"/>
    <w:multiLevelType w:val="hybridMultilevel"/>
    <w:tmpl w:val="944CCF9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1"/>
  </w:num>
  <w:num w:numId="2">
    <w:abstractNumId w:val="3"/>
  </w:num>
  <w:num w:numId="3">
    <w:abstractNumId w:val="0"/>
  </w:num>
  <w:num w:numId="4">
    <w:abstractNumId w:val="18"/>
  </w:num>
  <w:num w:numId="5">
    <w:abstractNumId w:val="20"/>
  </w:num>
  <w:num w:numId="6">
    <w:abstractNumId w:val="21"/>
  </w:num>
  <w:num w:numId="7">
    <w:abstractNumId w:val="8"/>
  </w:num>
  <w:num w:numId="8">
    <w:abstractNumId w:val="10"/>
  </w:num>
  <w:num w:numId="9">
    <w:abstractNumId w:val="17"/>
  </w:num>
  <w:num w:numId="10">
    <w:abstractNumId w:val="4"/>
  </w:num>
  <w:num w:numId="11">
    <w:abstractNumId w:val="13"/>
  </w:num>
  <w:num w:numId="12">
    <w:abstractNumId w:val="6"/>
  </w:num>
  <w:num w:numId="13">
    <w:abstractNumId w:val="9"/>
  </w:num>
  <w:num w:numId="14">
    <w:abstractNumId w:val="15"/>
  </w:num>
  <w:num w:numId="15">
    <w:abstractNumId w:val="19"/>
  </w:num>
  <w:num w:numId="16">
    <w:abstractNumId w:val="5"/>
  </w:num>
  <w:num w:numId="17">
    <w:abstractNumId w:val="2"/>
  </w:num>
  <w:num w:numId="18">
    <w:abstractNumId w:val="14"/>
  </w:num>
  <w:num w:numId="19">
    <w:abstractNumId w:val="7"/>
  </w:num>
  <w:num w:numId="20">
    <w:abstractNumId w:val="12"/>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262EC"/>
    <w:rsid w:val="00036056"/>
    <w:rsid w:val="00043AF0"/>
    <w:rsid w:val="00065E9F"/>
    <w:rsid w:val="00066429"/>
    <w:rsid w:val="00072CCD"/>
    <w:rsid w:val="000807CC"/>
    <w:rsid w:val="00080C6C"/>
    <w:rsid w:val="00082235"/>
    <w:rsid w:val="000902A5"/>
    <w:rsid w:val="00090BBF"/>
    <w:rsid w:val="0009309A"/>
    <w:rsid w:val="00095EA5"/>
    <w:rsid w:val="000A1937"/>
    <w:rsid w:val="000B49E2"/>
    <w:rsid w:val="000D2FDC"/>
    <w:rsid w:val="000D67DB"/>
    <w:rsid w:val="000E3266"/>
    <w:rsid w:val="000F6C31"/>
    <w:rsid w:val="001015A9"/>
    <w:rsid w:val="00110B6C"/>
    <w:rsid w:val="00112400"/>
    <w:rsid w:val="001215B0"/>
    <w:rsid w:val="00123FD7"/>
    <w:rsid w:val="00127FC2"/>
    <w:rsid w:val="00131CDA"/>
    <w:rsid w:val="001342D0"/>
    <w:rsid w:val="00137E90"/>
    <w:rsid w:val="0014423C"/>
    <w:rsid w:val="00153A61"/>
    <w:rsid w:val="00165726"/>
    <w:rsid w:val="00181B6A"/>
    <w:rsid w:val="00182D3E"/>
    <w:rsid w:val="00183C5E"/>
    <w:rsid w:val="00183D71"/>
    <w:rsid w:val="00191489"/>
    <w:rsid w:val="00197694"/>
    <w:rsid w:val="001A7E8F"/>
    <w:rsid w:val="001B3F9D"/>
    <w:rsid w:val="001C5899"/>
    <w:rsid w:val="001D0AB9"/>
    <w:rsid w:val="001E0BDC"/>
    <w:rsid w:val="001E0D88"/>
    <w:rsid w:val="001E1DA8"/>
    <w:rsid w:val="001E416C"/>
    <w:rsid w:val="001F0CCD"/>
    <w:rsid w:val="001F1FC4"/>
    <w:rsid w:val="001F3013"/>
    <w:rsid w:val="001F4771"/>
    <w:rsid w:val="001F60E1"/>
    <w:rsid w:val="00202A27"/>
    <w:rsid w:val="00203F05"/>
    <w:rsid w:val="00212B12"/>
    <w:rsid w:val="00220638"/>
    <w:rsid w:val="00227F1B"/>
    <w:rsid w:val="002372EC"/>
    <w:rsid w:val="002405FA"/>
    <w:rsid w:val="00242E6F"/>
    <w:rsid w:val="00244EAC"/>
    <w:rsid w:val="00244F0F"/>
    <w:rsid w:val="00254E16"/>
    <w:rsid w:val="0025507C"/>
    <w:rsid w:val="002564A8"/>
    <w:rsid w:val="00257107"/>
    <w:rsid w:val="00262E76"/>
    <w:rsid w:val="002639DB"/>
    <w:rsid w:val="002640BD"/>
    <w:rsid w:val="00273F92"/>
    <w:rsid w:val="00281048"/>
    <w:rsid w:val="0028157D"/>
    <w:rsid w:val="00283E41"/>
    <w:rsid w:val="00296590"/>
    <w:rsid w:val="002A4613"/>
    <w:rsid w:val="002A561D"/>
    <w:rsid w:val="002B1102"/>
    <w:rsid w:val="002C2D94"/>
    <w:rsid w:val="002C6C19"/>
    <w:rsid w:val="002D62E1"/>
    <w:rsid w:val="002E2B61"/>
    <w:rsid w:val="003009A0"/>
    <w:rsid w:val="0031018B"/>
    <w:rsid w:val="00313239"/>
    <w:rsid w:val="00320282"/>
    <w:rsid w:val="0032051E"/>
    <w:rsid w:val="0032360F"/>
    <w:rsid w:val="00325BB6"/>
    <w:rsid w:val="003425F4"/>
    <w:rsid w:val="0034675B"/>
    <w:rsid w:val="003563CB"/>
    <w:rsid w:val="00361DDE"/>
    <w:rsid w:val="00377971"/>
    <w:rsid w:val="00377CF8"/>
    <w:rsid w:val="00377EE0"/>
    <w:rsid w:val="00380BE7"/>
    <w:rsid w:val="0038394C"/>
    <w:rsid w:val="0038555D"/>
    <w:rsid w:val="00392AF1"/>
    <w:rsid w:val="0039311F"/>
    <w:rsid w:val="003A446A"/>
    <w:rsid w:val="003A6017"/>
    <w:rsid w:val="003A69E8"/>
    <w:rsid w:val="003C4BF2"/>
    <w:rsid w:val="003D2A24"/>
    <w:rsid w:val="003D3E83"/>
    <w:rsid w:val="003D70F4"/>
    <w:rsid w:val="003E0D19"/>
    <w:rsid w:val="003F2423"/>
    <w:rsid w:val="0040093B"/>
    <w:rsid w:val="00403671"/>
    <w:rsid w:val="004127AD"/>
    <w:rsid w:val="00416E7C"/>
    <w:rsid w:val="004400BC"/>
    <w:rsid w:val="0044398F"/>
    <w:rsid w:val="004475E6"/>
    <w:rsid w:val="00451135"/>
    <w:rsid w:val="004639FA"/>
    <w:rsid w:val="00472041"/>
    <w:rsid w:val="00473190"/>
    <w:rsid w:val="004934D3"/>
    <w:rsid w:val="004A1EB1"/>
    <w:rsid w:val="004A3136"/>
    <w:rsid w:val="004A6311"/>
    <w:rsid w:val="004B7890"/>
    <w:rsid w:val="004C4C8B"/>
    <w:rsid w:val="004C580F"/>
    <w:rsid w:val="004C69E3"/>
    <w:rsid w:val="004C78B7"/>
    <w:rsid w:val="004D4139"/>
    <w:rsid w:val="004E4BA6"/>
    <w:rsid w:val="004E5F23"/>
    <w:rsid w:val="00503A3D"/>
    <w:rsid w:val="005213E9"/>
    <w:rsid w:val="00521501"/>
    <w:rsid w:val="00524797"/>
    <w:rsid w:val="00532124"/>
    <w:rsid w:val="005432BC"/>
    <w:rsid w:val="00553215"/>
    <w:rsid w:val="0055690B"/>
    <w:rsid w:val="00557E46"/>
    <w:rsid w:val="00560775"/>
    <w:rsid w:val="005607B3"/>
    <w:rsid w:val="005711CA"/>
    <w:rsid w:val="0057413E"/>
    <w:rsid w:val="00576145"/>
    <w:rsid w:val="00584439"/>
    <w:rsid w:val="00585B55"/>
    <w:rsid w:val="00586C88"/>
    <w:rsid w:val="00595A57"/>
    <w:rsid w:val="005A49AD"/>
    <w:rsid w:val="005A6410"/>
    <w:rsid w:val="005B3778"/>
    <w:rsid w:val="005B72B4"/>
    <w:rsid w:val="005B7AE1"/>
    <w:rsid w:val="005C0A60"/>
    <w:rsid w:val="005C3ED3"/>
    <w:rsid w:val="005D2DFA"/>
    <w:rsid w:val="005D41DC"/>
    <w:rsid w:val="005D6539"/>
    <w:rsid w:val="005D6A72"/>
    <w:rsid w:val="005F4743"/>
    <w:rsid w:val="005F70BD"/>
    <w:rsid w:val="00610D6E"/>
    <w:rsid w:val="006116A7"/>
    <w:rsid w:val="006123F1"/>
    <w:rsid w:val="0061260E"/>
    <w:rsid w:val="006218AD"/>
    <w:rsid w:val="00622727"/>
    <w:rsid w:val="00625312"/>
    <w:rsid w:val="0062597B"/>
    <w:rsid w:val="00626324"/>
    <w:rsid w:val="00630D83"/>
    <w:rsid w:val="00636786"/>
    <w:rsid w:val="0064067B"/>
    <w:rsid w:val="00642CEC"/>
    <w:rsid w:val="00643A0B"/>
    <w:rsid w:val="00647D97"/>
    <w:rsid w:val="00651026"/>
    <w:rsid w:val="00651153"/>
    <w:rsid w:val="006525EC"/>
    <w:rsid w:val="00662EAD"/>
    <w:rsid w:val="006651EB"/>
    <w:rsid w:val="006673C3"/>
    <w:rsid w:val="0067167D"/>
    <w:rsid w:val="006802A1"/>
    <w:rsid w:val="00681C05"/>
    <w:rsid w:val="00681DD8"/>
    <w:rsid w:val="00682A74"/>
    <w:rsid w:val="00685FE3"/>
    <w:rsid w:val="00694543"/>
    <w:rsid w:val="006A021B"/>
    <w:rsid w:val="006A02F3"/>
    <w:rsid w:val="006A65B3"/>
    <w:rsid w:val="006A6D99"/>
    <w:rsid w:val="006B7F5C"/>
    <w:rsid w:val="006C0413"/>
    <w:rsid w:val="006C0DB7"/>
    <w:rsid w:val="006C1A60"/>
    <w:rsid w:val="006D462E"/>
    <w:rsid w:val="00700560"/>
    <w:rsid w:val="00710057"/>
    <w:rsid w:val="007125D8"/>
    <w:rsid w:val="007275F2"/>
    <w:rsid w:val="0073269E"/>
    <w:rsid w:val="00736C89"/>
    <w:rsid w:val="007455BE"/>
    <w:rsid w:val="00766DB1"/>
    <w:rsid w:val="00783C63"/>
    <w:rsid w:val="00785762"/>
    <w:rsid w:val="00797BBF"/>
    <w:rsid w:val="007A13DA"/>
    <w:rsid w:val="007A3F35"/>
    <w:rsid w:val="007A45CF"/>
    <w:rsid w:val="007B6BCE"/>
    <w:rsid w:val="007C07BA"/>
    <w:rsid w:val="007C2219"/>
    <w:rsid w:val="007C3F45"/>
    <w:rsid w:val="007C7AC5"/>
    <w:rsid w:val="007D4F8F"/>
    <w:rsid w:val="007D7A7A"/>
    <w:rsid w:val="007F0B96"/>
    <w:rsid w:val="007F3AE4"/>
    <w:rsid w:val="008104D8"/>
    <w:rsid w:val="0082193F"/>
    <w:rsid w:val="008405DF"/>
    <w:rsid w:val="00841F5D"/>
    <w:rsid w:val="00843C2C"/>
    <w:rsid w:val="008478FA"/>
    <w:rsid w:val="00851675"/>
    <w:rsid w:val="0085386C"/>
    <w:rsid w:val="0085402E"/>
    <w:rsid w:val="00854A60"/>
    <w:rsid w:val="008604D5"/>
    <w:rsid w:val="0086329F"/>
    <w:rsid w:val="0086651B"/>
    <w:rsid w:val="00870684"/>
    <w:rsid w:val="00871483"/>
    <w:rsid w:val="00871790"/>
    <w:rsid w:val="008915F7"/>
    <w:rsid w:val="008A011C"/>
    <w:rsid w:val="008A7603"/>
    <w:rsid w:val="008B04F7"/>
    <w:rsid w:val="008B601B"/>
    <w:rsid w:val="008C2710"/>
    <w:rsid w:val="008C34FE"/>
    <w:rsid w:val="008C38D7"/>
    <w:rsid w:val="008E44DE"/>
    <w:rsid w:val="00902F07"/>
    <w:rsid w:val="009116F8"/>
    <w:rsid w:val="00917DE1"/>
    <w:rsid w:val="00921972"/>
    <w:rsid w:val="00924F5C"/>
    <w:rsid w:val="00930660"/>
    <w:rsid w:val="00940045"/>
    <w:rsid w:val="00941F12"/>
    <w:rsid w:val="00944383"/>
    <w:rsid w:val="0095623E"/>
    <w:rsid w:val="00972E0D"/>
    <w:rsid w:val="00973CB4"/>
    <w:rsid w:val="00974C5E"/>
    <w:rsid w:val="00980C4F"/>
    <w:rsid w:val="009811CD"/>
    <w:rsid w:val="00994BF3"/>
    <w:rsid w:val="009A1665"/>
    <w:rsid w:val="009A3F25"/>
    <w:rsid w:val="009A6514"/>
    <w:rsid w:val="009D3BAA"/>
    <w:rsid w:val="009D3D0F"/>
    <w:rsid w:val="009D71D1"/>
    <w:rsid w:val="009D727C"/>
    <w:rsid w:val="009D77B3"/>
    <w:rsid w:val="009E2ED4"/>
    <w:rsid w:val="009E3F68"/>
    <w:rsid w:val="009F13C1"/>
    <w:rsid w:val="009F1F0E"/>
    <w:rsid w:val="009F7186"/>
    <w:rsid w:val="00A038D2"/>
    <w:rsid w:val="00A12168"/>
    <w:rsid w:val="00A2642B"/>
    <w:rsid w:val="00A36E8B"/>
    <w:rsid w:val="00A37F0E"/>
    <w:rsid w:val="00A420D4"/>
    <w:rsid w:val="00A431D0"/>
    <w:rsid w:val="00A464C6"/>
    <w:rsid w:val="00A47E80"/>
    <w:rsid w:val="00A51827"/>
    <w:rsid w:val="00A5344D"/>
    <w:rsid w:val="00A60902"/>
    <w:rsid w:val="00A60B39"/>
    <w:rsid w:val="00A60F48"/>
    <w:rsid w:val="00A615C8"/>
    <w:rsid w:val="00A63DCC"/>
    <w:rsid w:val="00A71BC1"/>
    <w:rsid w:val="00A72645"/>
    <w:rsid w:val="00A77AAB"/>
    <w:rsid w:val="00A804AE"/>
    <w:rsid w:val="00A833A2"/>
    <w:rsid w:val="00A91397"/>
    <w:rsid w:val="00AA179E"/>
    <w:rsid w:val="00AA41F8"/>
    <w:rsid w:val="00AB6264"/>
    <w:rsid w:val="00AC5598"/>
    <w:rsid w:val="00AC7609"/>
    <w:rsid w:val="00AD4D9E"/>
    <w:rsid w:val="00AD6EC0"/>
    <w:rsid w:val="00AF79F7"/>
    <w:rsid w:val="00B00361"/>
    <w:rsid w:val="00B17DAA"/>
    <w:rsid w:val="00B224FC"/>
    <w:rsid w:val="00B61EB9"/>
    <w:rsid w:val="00B656A5"/>
    <w:rsid w:val="00B807C9"/>
    <w:rsid w:val="00B90BF4"/>
    <w:rsid w:val="00BA16DC"/>
    <w:rsid w:val="00BA51BD"/>
    <w:rsid w:val="00BA5662"/>
    <w:rsid w:val="00BC3C73"/>
    <w:rsid w:val="00BC424C"/>
    <w:rsid w:val="00BC5EBB"/>
    <w:rsid w:val="00BD1DC8"/>
    <w:rsid w:val="00BE4A03"/>
    <w:rsid w:val="00BE6BDC"/>
    <w:rsid w:val="00BF3061"/>
    <w:rsid w:val="00BF5BFB"/>
    <w:rsid w:val="00C00CC6"/>
    <w:rsid w:val="00C06250"/>
    <w:rsid w:val="00C14EFB"/>
    <w:rsid w:val="00C36767"/>
    <w:rsid w:val="00C47965"/>
    <w:rsid w:val="00C6063E"/>
    <w:rsid w:val="00C63838"/>
    <w:rsid w:val="00C76F36"/>
    <w:rsid w:val="00C84DF1"/>
    <w:rsid w:val="00C9167F"/>
    <w:rsid w:val="00C92343"/>
    <w:rsid w:val="00CA2DB4"/>
    <w:rsid w:val="00CB370A"/>
    <w:rsid w:val="00CC0A17"/>
    <w:rsid w:val="00CD1665"/>
    <w:rsid w:val="00CF106B"/>
    <w:rsid w:val="00CF10E3"/>
    <w:rsid w:val="00D054BA"/>
    <w:rsid w:val="00D054DF"/>
    <w:rsid w:val="00D06230"/>
    <w:rsid w:val="00D12F8B"/>
    <w:rsid w:val="00D1563F"/>
    <w:rsid w:val="00D15742"/>
    <w:rsid w:val="00D458C9"/>
    <w:rsid w:val="00D46ED1"/>
    <w:rsid w:val="00D51414"/>
    <w:rsid w:val="00D5396B"/>
    <w:rsid w:val="00D55DD3"/>
    <w:rsid w:val="00D611EB"/>
    <w:rsid w:val="00D61B16"/>
    <w:rsid w:val="00D6358B"/>
    <w:rsid w:val="00D77D99"/>
    <w:rsid w:val="00D828DE"/>
    <w:rsid w:val="00D87C5F"/>
    <w:rsid w:val="00D927A3"/>
    <w:rsid w:val="00D96EF2"/>
    <w:rsid w:val="00DA238F"/>
    <w:rsid w:val="00DB5BB1"/>
    <w:rsid w:val="00DC1FEF"/>
    <w:rsid w:val="00DC2200"/>
    <w:rsid w:val="00DC47AE"/>
    <w:rsid w:val="00DC77DA"/>
    <w:rsid w:val="00DD53DD"/>
    <w:rsid w:val="00DF5211"/>
    <w:rsid w:val="00E01E8B"/>
    <w:rsid w:val="00E22FB6"/>
    <w:rsid w:val="00E243CC"/>
    <w:rsid w:val="00E346E4"/>
    <w:rsid w:val="00E3687C"/>
    <w:rsid w:val="00E5163E"/>
    <w:rsid w:val="00E54A8E"/>
    <w:rsid w:val="00E6395E"/>
    <w:rsid w:val="00E81695"/>
    <w:rsid w:val="00E839D0"/>
    <w:rsid w:val="00E91ECE"/>
    <w:rsid w:val="00E95F0C"/>
    <w:rsid w:val="00E97BF3"/>
    <w:rsid w:val="00EC496A"/>
    <w:rsid w:val="00ED2B6B"/>
    <w:rsid w:val="00EE2D6C"/>
    <w:rsid w:val="00EE7CC5"/>
    <w:rsid w:val="00EF3939"/>
    <w:rsid w:val="00EF4C2C"/>
    <w:rsid w:val="00EF75D3"/>
    <w:rsid w:val="00F00E80"/>
    <w:rsid w:val="00F02345"/>
    <w:rsid w:val="00F06BF2"/>
    <w:rsid w:val="00F07D1F"/>
    <w:rsid w:val="00F101FD"/>
    <w:rsid w:val="00F23D43"/>
    <w:rsid w:val="00F4306C"/>
    <w:rsid w:val="00F44250"/>
    <w:rsid w:val="00F45AD2"/>
    <w:rsid w:val="00F507F0"/>
    <w:rsid w:val="00F51C26"/>
    <w:rsid w:val="00F666FE"/>
    <w:rsid w:val="00F7027B"/>
    <w:rsid w:val="00F70CBB"/>
    <w:rsid w:val="00F758B6"/>
    <w:rsid w:val="00F75A07"/>
    <w:rsid w:val="00F83979"/>
    <w:rsid w:val="00F83F66"/>
    <w:rsid w:val="00F83FA8"/>
    <w:rsid w:val="00F928AD"/>
    <w:rsid w:val="00F97F05"/>
    <w:rsid w:val="00FA1138"/>
    <w:rsid w:val="00FA409E"/>
    <w:rsid w:val="00FA4575"/>
    <w:rsid w:val="00FA5BAB"/>
    <w:rsid w:val="00FB25FD"/>
    <w:rsid w:val="00FB6225"/>
    <w:rsid w:val="00FC146D"/>
    <w:rsid w:val="00FC21B0"/>
    <w:rsid w:val="00FE34F2"/>
    <w:rsid w:val="00FE3F6D"/>
    <w:rsid w:val="00FF21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377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377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B67FC-AA1D-47DC-B88E-618358C5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2017-04-04T14:00:00Z</cp:lastPrinted>
  <dcterms:created xsi:type="dcterms:W3CDTF">2017-04-07T09:51:00Z</dcterms:created>
  <dcterms:modified xsi:type="dcterms:W3CDTF">2017-04-07T09:51:00Z</dcterms:modified>
</cp:coreProperties>
</file>