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25694" w14:textId="77777777" w:rsidR="00743640" w:rsidRPr="009D6890" w:rsidRDefault="00743640" w:rsidP="00D62D0F">
      <w:pPr>
        <w:spacing w:line="360" w:lineRule="auto"/>
        <w:jc w:val="both"/>
        <w:rPr>
          <w:rFonts w:ascii="Times New Roman" w:hAnsi="Times New Roman" w:cs="Times New Roman"/>
          <w:sz w:val="24"/>
          <w:szCs w:val="24"/>
        </w:rPr>
      </w:pPr>
      <w:bookmarkStart w:id="0" w:name="_GoBack"/>
      <w:bookmarkEnd w:id="0"/>
    </w:p>
    <w:p w14:paraId="35A09B03" w14:textId="77777777" w:rsidR="00A7451A" w:rsidRPr="00A70F23" w:rsidRDefault="00A7451A" w:rsidP="00A70F23">
      <w:pPr>
        <w:pStyle w:val="NoSpacing"/>
        <w:rPr>
          <w:rFonts w:ascii="Times New Roman" w:hAnsi="Times New Roman" w:cs="Times New Roman"/>
          <w:sz w:val="24"/>
          <w:szCs w:val="24"/>
        </w:rPr>
      </w:pPr>
      <w:r w:rsidRPr="00A70F23">
        <w:rPr>
          <w:rFonts w:ascii="Times New Roman" w:hAnsi="Times New Roman" w:cs="Times New Roman"/>
          <w:sz w:val="24"/>
          <w:szCs w:val="24"/>
        </w:rPr>
        <w:t xml:space="preserve">SMOKE END MOTORS (PVT) LTD </w:t>
      </w:r>
    </w:p>
    <w:p w14:paraId="1F305C78" w14:textId="592466EC" w:rsidR="00A7451A" w:rsidRPr="00A70F23" w:rsidRDefault="00A7451A" w:rsidP="00A70F23">
      <w:pPr>
        <w:pStyle w:val="NoSpacing"/>
        <w:rPr>
          <w:rFonts w:ascii="Times New Roman" w:hAnsi="Times New Roman" w:cs="Times New Roman"/>
          <w:sz w:val="24"/>
          <w:szCs w:val="24"/>
        </w:rPr>
      </w:pPr>
      <w:r w:rsidRPr="00A70F23">
        <w:rPr>
          <w:rFonts w:ascii="Times New Roman" w:hAnsi="Times New Roman" w:cs="Times New Roman"/>
          <w:sz w:val="24"/>
          <w:szCs w:val="24"/>
        </w:rPr>
        <w:t>Versus</w:t>
      </w:r>
    </w:p>
    <w:p w14:paraId="4B9F7C25" w14:textId="6758F114" w:rsidR="00B16865" w:rsidRDefault="00A7451A" w:rsidP="00A70F23">
      <w:pPr>
        <w:pStyle w:val="NoSpacing"/>
        <w:rPr>
          <w:rFonts w:ascii="Times New Roman" w:hAnsi="Times New Roman" w:cs="Times New Roman"/>
          <w:sz w:val="24"/>
          <w:szCs w:val="24"/>
        </w:rPr>
      </w:pPr>
      <w:r w:rsidRPr="00A70F23">
        <w:rPr>
          <w:rFonts w:ascii="Times New Roman" w:hAnsi="Times New Roman" w:cs="Times New Roman"/>
          <w:sz w:val="24"/>
          <w:szCs w:val="24"/>
        </w:rPr>
        <w:t xml:space="preserve">TREAT AND COMPANY </w:t>
      </w:r>
    </w:p>
    <w:p w14:paraId="7C1A0E91" w14:textId="77777777" w:rsidR="00A70F23" w:rsidRPr="00A70F23" w:rsidRDefault="00A70F23" w:rsidP="00A70F23">
      <w:pPr>
        <w:pStyle w:val="NoSpacing"/>
        <w:rPr>
          <w:rFonts w:ascii="Times New Roman" w:hAnsi="Times New Roman" w:cs="Times New Roman"/>
          <w:sz w:val="24"/>
          <w:szCs w:val="24"/>
        </w:rPr>
      </w:pPr>
    </w:p>
    <w:p w14:paraId="1A0D1DA2" w14:textId="6C7E7D72" w:rsidR="00A7451A" w:rsidRPr="00D62D0F" w:rsidRDefault="00A7451A" w:rsidP="00D62D0F">
      <w:pPr>
        <w:pStyle w:val="NoSpacing"/>
        <w:rPr>
          <w:rFonts w:ascii="Times New Roman" w:hAnsi="Times New Roman" w:cs="Times New Roman"/>
          <w:sz w:val="24"/>
          <w:szCs w:val="24"/>
        </w:rPr>
      </w:pPr>
      <w:r w:rsidRPr="00D62D0F">
        <w:rPr>
          <w:rFonts w:ascii="Times New Roman" w:hAnsi="Times New Roman" w:cs="Times New Roman"/>
          <w:sz w:val="24"/>
          <w:szCs w:val="24"/>
        </w:rPr>
        <w:t>HIGH COURT OF ZIMBABWE</w:t>
      </w:r>
    </w:p>
    <w:p w14:paraId="1CCEA59D" w14:textId="722DF96B" w:rsidR="00A7451A" w:rsidRPr="00D62D0F" w:rsidRDefault="00A7451A" w:rsidP="00D62D0F">
      <w:pPr>
        <w:pStyle w:val="NoSpacing"/>
        <w:rPr>
          <w:rFonts w:ascii="Times New Roman" w:hAnsi="Times New Roman" w:cs="Times New Roman"/>
          <w:sz w:val="24"/>
          <w:szCs w:val="24"/>
        </w:rPr>
      </w:pPr>
      <w:r w:rsidRPr="00D62D0F">
        <w:rPr>
          <w:rFonts w:ascii="Times New Roman" w:hAnsi="Times New Roman" w:cs="Times New Roman"/>
          <w:sz w:val="24"/>
          <w:szCs w:val="24"/>
        </w:rPr>
        <w:t>COMMERCIAL DIVISION</w:t>
      </w:r>
    </w:p>
    <w:p w14:paraId="4D5DB647" w14:textId="4843C181" w:rsidR="00B16865" w:rsidRPr="00D62D0F" w:rsidRDefault="00B16865" w:rsidP="00D62D0F">
      <w:pPr>
        <w:pStyle w:val="NoSpacing"/>
        <w:rPr>
          <w:rFonts w:ascii="Times New Roman" w:hAnsi="Times New Roman" w:cs="Times New Roman"/>
          <w:sz w:val="24"/>
          <w:szCs w:val="24"/>
        </w:rPr>
      </w:pPr>
      <w:r w:rsidRPr="00D62D0F">
        <w:rPr>
          <w:rFonts w:ascii="Times New Roman" w:hAnsi="Times New Roman" w:cs="Times New Roman"/>
          <w:sz w:val="24"/>
          <w:szCs w:val="24"/>
        </w:rPr>
        <w:t>CHILIMBE J</w:t>
      </w:r>
    </w:p>
    <w:p w14:paraId="18FD3AD3" w14:textId="5455A058" w:rsidR="00A7451A" w:rsidRPr="00D62D0F" w:rsidRDefault="00A7451A" w:rsidP="00D62D0F">
      <w:pPr>
        <w:pStyle w:val="NoSpacing"/>
        <w:rPr>
          <w:rFonts w:ascii="Times New Roman" w:hAnsi="Times New Roman" w:cs="Times New Roman"/>
          <w:sz w:val="24"/>
          <w:szCs w:val="24"/>
        </w:rPr>
      </w:pPr>
      <w:r w:rsidRPr="00D62D0F">
        <w:rPr>
          <w:rFonts w:ascii="Times New Roman" w:hAnsi="Times New Roman" w:cs="Times New Roman"/>
          <w:sz w:val="24"/>
          <w:szCs w:val="24"/>
        </w:rPr>
        <w:t xml:space="preserve">HARARE 5 March 2024 and </w:t>
      </w:r>
      <w:r w:rsidR="00A70F23">
        <w:rPr>
          <w:rFonts w:ascii="Times New Roman" w:hAnsi="Times New Roman" w:cs="Times New Roman"/>
          <w:sz w:val="24"/>
          <w:szCs w:val="24"/>
        </w:rPr>
        <w:t>19</w:t>
      </w:r>
      <w:r w:rsidRPr="00D62D0F">
        <w:rPr>
          <w:rFonts w:ascii="Times New Roman" w:hAnsi="Times New Roman" w:cs="Times New Roman"/>
          <w:sz w:val="24"/>
          <w:szCs w:val="24"/>
        </w:rPr>
        <w:t xml:space="preserve"> August 2024</w:t>
      </w:r>
    </w:p>
    <w:p w14:paraId="42CE105D" w14:textId="77777777" w:rsidR="00A7282C" w:rsidRPr="009D6890" w:rsidRDefault="00A7282C" w:rsidP="00D62D0F">
      <w:pPr>
        <w:spacing w:line="360" w:lineRule="auto"/>
        <w:jc w:val="both"/>
        <w:rPr>
          <w:rFonts w:ascii="Times New Roman" w:hAnsi="Times New Roman" w:cs="Times New Roman"/>
          <w:sz w:val="24"/>
          <w:szCs w:val="24"/>
        </w:rPr>
      </w:pPr>
    </w:p>
    <w:p w14:paraId="72E2FB38" w14:textId="5A25898B" w:rsidR="00B16865" w:rsidRPr="009D6890" w:rsidRDefault="00A7282C" w:rsidP="00D62D0F">
      <w:pPr>
        <w:spacing w:line="360" w:lineRule="auto"/>
        <w:jc w:val="both"/>
        <w:rPr>
          <w:rFonts w:ascii="Times New Roman" w:hAnsi="Times New Roman" w:cs="Times New Roman"/>
          <w:sz w:val="24"/>
          <w:szCs w:val="24"/>
        </w:rPr>
      </w:pPr>
      <w:r w:rsidRPr="009D6890">
        <w:rPr>
          <w:rFonts w:ascii="Times New Roman" w:hAnsi="Times New Roman" w:cs="Times New Roman"/>
          <w:b/>
          <w:bCs/>
          <w:sz w:val="24"/>
          <w:szCs w:val="24"/>
        </w:rPr>
        <w:t>Interlocutory application</w:t>
      </w:r>
      <w:r w:rsidR="00A7451A" w:rsidRPr="009D6890">
        <w:rPr>
          <w:rFonts w:ascii="Times New Roman" w:hAnsi="Times New Roman" w:cs="Times New Roman"/>
          <w:sz w:val="24"/>
          <w:szCs w:val="24"/>
        </w:rPr>
        <w:t> </w:t>
      </w:r>
    </w:p>
    <w:p w14:paraId="601408EF" w14:textId="7BA7A82A" w:rsidR="006549AB" w:rsidRPr="00D62D0F" w:rsidRDefault="006549AB" w:rsidP="006549AB">
      <w:pPr>
        <w:pStyle w:val="NoSpacing"/>
        <w:rPr>
          <w:rFonts w:ascii="Times New Roman" w:hAnsi="Times New Roman" w:cs="Times New Roman"/>
          <w:sz w:val="24"/>
          <w:szCs w:val="24"/>
        </w:rPr>
      </w:pPr>
      <w:r w:rsidRPr="00D62D0F">
        <w:rPr>
          <w:rFonts w:ascii="Times New Roman" w:hAnsi="Times New Roman" w:cs="Times New Roman"/>
          <w:i/>
          <w:iCs/>
          <w:sz w:val="24"/>
          <w:szCs w:val="24"/>
        </w:rPr>
        <w:t>S.T Muzorori</w:t>
      </w:r>
      <w:r w:rsidRPr="00D62D0F">
        <w:rPr>
          <w:rFonts w:ascii="Times New Roman" w:hAnsi="Times New Roman" w:cs="Times New Roman"/>
          <w:sz w:val="24"/>
          <w:szCs w:val="24"/>
        </w:rPr>
        <w:t xml:space="preserve"> for plaintiff</w:t>
      </w:r>
    </w:p>
    <w:p w14:paraId="3E040AD5" w14:textId="69EB5050" w:rsidR="00A7282C" w:rsidRPr="00D62D0F" w:rsidRDefault="00B16865" w:rsidP="00D62D0F">
      <w:pPr>
        <w:pStyle w:val="NoSpacing"/>
        <w:rPr>
          <w:rFonts w:ascii="Times New Roman" w:hAnsi="Times New Roman" w:cs="Times New Roman"/>
          <w:sz w:val="24"/>
          <w:szCs w:val="24"/>
        </w:rPr>
      </w:pPr>
      <w:r w:rsidRPr="00D62D0F">
        <w:rPr>
          <w:rFonts w:ascii="Times New Roman" w:hAnsi="Times New Roman" w:cs="Times New Roman"/>
          <w:i/>
          <w:iCs/>
          <w:sz w:val="24"/>
          <w:szCs w:val="24"/>
        </w:rPr>
        <w:t>T. Nyahuma</w:t>
      </w:r>
      <w:r w:rsidRPr="00D62D0F">
        <w:rPr>
          <w:rFonts w:ascii="Times New Roman" w:hAnsi="Times New Roman" w:cs="Times New Roman"/>
          <w:sz w:val="24"/>
          <w:szCs w:val="24"/>
        </w:rPr>
        <w:t xml:space="preserve"> for defendant</w:t>
      </w:r>
    </w:p>
    <w:p w14:paraId="5B68E01C" w14:textId="77777777" w:rsidR="00A7282C" w:rsidRPr="009D6890" w:rsidRDefault="00A7282C" w:rsidP="00D62D0F">
      <w:pPr>
        <w:pStyle w:val="NoSpacing"/>
        <w:spacing w:line="360" w:lineRule="auto"/>
        <w:jc w:val="both"/>
        <w:rPr>
          <w:rFonts w:ascii="Times New Roman" w:hAnsi="Times New Roman" w:cs="Times New Roman"/>
          <w:sz w:val="24"/>
          <w:szCs w:val="24"/>
        </w:rPr>
      </w:pPr>
    </w:p>
    <w:p w14:paraId="6B3D93B4" w14:textId="616A7A78" w:rsidR="00A7282C" w:rsidRPr="009D6890" w:rsidRDefault="00A7282C" w:rsidP="00D62D0F">
      <w:pPr>
        <w:spacing w:line="360" w:lineRule="auto"/>
        <w:jc w:val="both"/>
        <w:rPr>
          <w:rFonts w:ascii="Times New Roman" w:hAnsi="Times New Roman" w:cs="Times New Roman"/>
          <w:sz w:val="24"/>
          <w:szCs w:val="24"/>
        </w:rPr>
      </w:pPr>
      <w:r w:rsidRPr="009D6890">
        <w:rPr>
          <w:rFonts w:ascii="Times New Roman" w:hAnsi="Times New Roman" w:cs="Times New Roman"/>
          <w:sz w:val="24"/>
          <w:szCs w:val="24"/>
        </w:rPr>
        <w:t xml:space="preserve"> CHILIMBE J</w:t>
      </w:r>
    </w:p>
    <w:p w14:paraId="3B763073" w14:textId="6A643EFF" w:rsidR="00A7282C" w:rsidRPr="009D6890" w:rsidRDefault="00A7282C" w:rsidP="00D62D0F">
      <w:pPr>
        <w:spacing w:line="360" w:lineRule="auto"/>
        <w:jc w:val="both"/>
        <w:rPr>
          <w:rFonts w:ascii="Times New Roman" w:hAnsi="Times New Roman" w:cs="Times New Roman"/>
          <w:sz w:val="24"/>
          <w:szCs w:val="24"/>
        </w:rPr>
      </w:pPr>
      <w:r w:rsidRPr="009D6890">
        <w:rPr>
          <w:rFonts w:ascii="Times New Roman" w:hAnsi="Times New Roman" w:cs="Times New Roman"/>
          <w:sz w:val="24"/>
          <w:szCs w:val="24"/>
        </w:rPr>
        <w:t>BACKGROUND</w:t>
      </w:r>
    </w:p>
    <w:p w14:paraId="18071D29" w14:textId="2C4C3FE0" w:rsidR="009D6890" w:rsidRPr="009A3F9A" w:rsidRDefault="009D6890" w:rsidP="00D62D0F">
      <w:pPr>
        <w:spacing w:line="360" w:lineRule="auto"/>
        <w:jc w:val="both"/>
        <w:rPr>
          <w:rFonts w:ascii="Times New Roman" w:hAnsi="Times New Roman" w:cs="Times New Roman"/>
          <w:sz w:val="24"/>
          <w:szCs w:val="24"/>
        </w:rPr>
      </w:pPr>
      <w:r w:rsidRPr="009D6890">
        <w:rPr>
          <w:rFonts w:ascii="Times New Roman" w:hAnsi="Times New Roman" w:cs="Times New Roman"/>
          <w:sz w:val="24"/>
          <w:szCs w:val="24"/>
        </w:rPr>
        <w:t xml:space="preserve">[1] </w:t>
      </w:r>
      <w:r w:rsidR="00C52201">
        <w:rPr>
          <w:rFonts w:ascii="Times New Roman" w:hAnsi="Times New Roman" w:cs="Times New Roman"/>
          <w:sz w:val="24"/>
          <w:szCs w:val="24"/>
        </w:rPr>
        <w:t>In th</w:t>
      </w:r>
      <w:r w:rsidRPr="009D6890">
        <w:rPr>
          <w:rFonts w:ascii="Times New Roman" w:hAnsi="Times New Roman" w:cs="Times New Roman"/>
          <w:sz w:val="24"/>
          <w:szCs w:val="24"/>
        </w:rPr>
        <w:t xml:space="preserve">is interlocutory </w:t>
      </w:r>
      <w:r w:rsidR="00C52201" w:rsidRPr="009D6890">
        <w:rPr>
          <w:rFonts w:ascii="Times New Roman" w:hAnsi="Times New Roman" w:cs="Times New Roman"/>
          <w:sz w:val="24"/>
          <w:szCs w:val="24"/>
        </w:rPr>
        <w:t>application</w:t>
      </w:r>
      <w:r w:rsidR="00C52201">
        <w:rPr>
          <w:rFonts w:ascii="Times New Roman" w:hAnsi="Times New Roman" w:cs="Times New Roman"/>
          <w:sz w:val="24"/>
          <w:szCs w:val="24"/>
        </w:rPr>
        <w:t xml:space="preserve">, I </w:t>
      </w:r>
      <w:r w:rsidR="008A2999">
        <w:rPr>
          <w:rFonts w:ascii="Times New Roman" w:hAnsi="Times New Roman" w:cs="Times New Roman"/>
          <w:sz w:val="24"/>
          <w:szCs w:val="24"/>
        </w:rPr>
        <w:t xml:space="preserve">address </w:t>
      </w:r>
      <w:r w:rsidR="00984C31">
        <w:rPr>
          <w:rFonts w:ascii="Times New Roman" w:hAnsi="Times New Roman" w:cs="Times New Roman"/>
          <w:sz w:val="24"/>
          <w:szCs w:val="24"/>
        </w:rPr>
        <w:t>a</w:t>
      </w:r>
      <w:r w:rsidRPr="009D6890">
        <w:rPr>
          <w:rFonts w:ascii="Times New Roman" w:hAnsi="Times New Roman" w:cs="Times New Roman"/>
          <w:sz w:val="24"/>
          <w:szCs w:val="24"/>
        </w:rPr>
        <w:t xml:space="preserve"> preliminary point which arose during case management proceedings namely; -</w:t>
      </w:r>
      <w:r w:rsidR="00984C31">
        <w:rPr>
          <w:rFonts w:ascii="Times New Roman" w:hAnsi="Times New Roman" w:cs="Times New Roman"/>
          <w:sz w:val="24"/>
          <w:szCs w:val="24"/>
        </w:rPr>
        <w:t>w</w:t>
      </w:r>
      <w:r w:rsidRPr="009D6890">
        <w:rPr>
          <w:rFonts w:ascii="Times New Roman" w:hAnsi="Times New Roman" w:cs="Times New Roman"/>
          <w:sz w:val="24"/>
          <w:szCs w:val="24"/>
        </w:rPr>
        <w:t xml:space="preserve">hether incorrect citation of defendant </w:t>
      </w:r>
      <w:r w:rsidRPr="009A3F9A">
        <w:rPr>
          <w:rFonts w:ascii="Times New Roman" w:hAnsi="Times New Roman" w:cs="Times New Roman"/>
          <w:sz w:val="24"/>
          <w:szCs w:val="24"/>
        </w:rPr>
        <w:t xml:space="preserve">as </w:t>
      </w:r>
      <w:r w:rsidR="00D62D0F">
        <w:rPr>
          <w:rFonts w:ascii="Times New Roman" w:hAnsi="Times New Roman" w:cs="Times New Roman"/>
          <w:sz w:val="24"/>
          <w:szCs w:val="24"/>
        </w:rPr>
        <w:t>“</w:t>
      </w:r>
      <w:r w:rsidRPr="009A3F9A">
        <w:rPr>
          <w:rFonts w:ascii="Times New Roman" w:hAnsi="Times New Roman" w:cs="Times New Roman"/>
          <w:sz w:val="24"/>
          <w:szCs w:val="24"/>
          <w:u w:val="single"/>
        </w:rPr>
        <w:t xml:space="preserve">Treat and Company </w:t>
      </w:r>
      <w:r w:rsidR="00D62D0F">
        <w:rPr>
          <w:rFonts w:ascii="Times New Roman" w:hAnsi="Times New Roman" w:cs="Times New Roman"/>
          <w:sz w:val="24"/>
          <w:szCs w:val="24"/>
          <w:u w:val="single"/>
        </w:rPr>
        <w:t>”,</w:t>
      </w:r>
      <w:r w:rsidRPr="009A3F9A">
        <w:rPr>
          <w:rFonts w:ascii="Times New Roman" w:hAnsi="Times New Roman" w:cs="Times New Roman"/>
          <w:sz w:val="24"/>
          <w:szCs w:val="24"/>
        </w:rPr>
        <w:t xml:space="preserve"> instead of its proper </w:t>
      </w:r>
      <w:r w:rsidR="00E54A1D" w:rsidRPr="009A3F9A">
        <w:rPr>
          <w:rFonts w:ascii="Times New Roman" w:hAnsi="Times New Roman" w:cs="Times New Roman"/>
          <w:sz w:val="24"/>
          <w:szCs w:val="24"/>
        </w:rPr>
        <w:t>name “</w:t>
      </w:r>
      <w:r w:rsidRPr="009A3F9A">
        <w:rPr>
          <w:rFonts w:ascii="Times New Roman" w:hAnsi="Times New Roman" w:cs="Times New Roman"/>
          <w:sz w:val="24"/>
          <w:szCs w:val="24"/>
          <w:u w:val="single"/>
        </w:rPr>
        <w:t>Treat and Company (Pvt) Ltd.</w:t>
      </w:r>
      <w:r w:rsidR="00D62D0F">
        <w:rPr>
          <w:rFonts w:ascii="Times New Roman" w:hAnsi="Times New Roman" w:cs="Times New Roman"/>
          <w:sz w:val="24"/>
          <w:szCs w:val="24"/>
          <w:u w:val="single"/>
        </w:rPr>
        <w:t>”</w:t>
      </w:r>
    </w:p>
    <w:p w14:paraId="3378FA6D" w14:textId="0C4C9409" w:rsidR="00672B74" w:rsidRPr="009D6890" w:rsidRDefault="00672B74" w:rsidP="00D62D0F">
      <w:pPr>
        <w:spacing w:line="360" w:lineRule="auto"/>
        <w:jc w:val="both"/>
        <w:rPr>
          <w:rFonts w:ascii="Times New Roman" w:hAnsi="Times New Roman" w:cs="Times New Roman"/>
          <w:sz w:val="24"/>
          <w:szCs w:val="24"/>
        </w:rPr>
      </w:pPr>
      <w:r w:rsidRPr="009D6890">
        <w:rPr>
          <w:rFonts w:ascii="Times New Roman" w:hAnsi="Times New Roman" w:cs="Times New Roman"/>
          <w:sz w:val="24"/>
          <w:szCs w:val="24"/>
        </w:rPr>
        <w:t>[</w:t>
      </w:r>
      <w:r w:rsidR="009D6890" w:rsidRPr="009D6890">
        <w:rPr>
          <w:rFonts w:ascii="Times New Roman" w:hAnsi="Times New Roman" w:cs="Times New Roman"/>
          <w:sz w:val="24"/>
          <w:szCs w:val="24"/>
        </w:rPr>
        <w:t>2</w:t>
      </w:r>
      <w:r w:rsidRPr="009D6890">
        <w:rPr>
          <w:rFonts w:ascii="Times New Roman" w:hAnsi="Times New Roman" w:cs="Times New Roman"/>
          <w:sz w:val="24"/>
          <w:szCs w:val="24"/>
        </w:rPr>
        <w:t xml:space="preserve">] This point arose from the draft trial issues framed by the parties and filed of record following an unsuccessful attempt at settlement. The issues were </w:t>
      </w:r>
      <w:r w:rsidR="008A2999">
        <w:rPr>
          <w:rFonts w:ascii="Times New Roman" w:hAnsi="Times New Roman" w:cs="Times New Roman"/>
          <w:sz w:val="24"/>
          <w:szCs w:val="24"/>
        </w:rPr>
        <w:t>listed</w:t>
      </w:r>
      <w:r w:rsidRPr="009D6890">
        <w:rPr>
          <w:rFonts w:ascii="Times New Roman" w:hAnsi="Times New Roman" w:cs="Times New Roman"/>
          <w:sz w:val="24"/>
          <w:szCs w:val="24"/>
        </w:rPr>
        <w:t xml:space="preserve"> as follows; -</w:t>
      </w:r>
    </w:p>
    <w:p w14:paraId="0E780C83" w14:textId="2D64DDE1" w:rsidR="00672B74" w:rsidRPr="009D6890" w:rsidRDefault="00672B74" w:rsidP="00D62D0F">
      <w:pPr>
        <w:pStyle w:val="ListParagraph"/>
        <w:numPr>
          <w:ilvl w:val="0"/>
          <w:numId w:val="3"/>
        </w:numPr>
        <w:spacing w:line="360" w:lineRule="auto"/>
        <w:ind w:left="1208" w:hanging="357"/>
        <w:jc w:val="both"/>
        <w:rPr>
          <w:rFonts w:ascii="Times New Roman" w:hAnsi="Times New Roman" w:cs="Times New Roman"/>
          <w:sz w:val="24"/>
          <w:szCs w:val="24"/>
        </w:rPr>
      </w:pPr>
      <w:r w:rsidRPr="009D6890">
        <w:rPr>
          <w:rFonts w:ascii="Times New Roman" w:hAnsi="Times New Roman" w:cs="Times New Roman"/>
          <w:sz w:val="24"/>
          <w:szCs w:val="24"/>
        </w:rPr>
        <w:t xml:space="preserve">Whether or not there is a </w:t>
      </w:r>
      <w:r w:rsidR="00837A44" w:rsidRPr="009D6890">
        <w:rPr>
          <w:rFonts w:ascii="Times New Roman" w:hAnsi="Times New Roman" w:cs="Times New Roman"/>
          <w:sz w:val="24"/>
          <w:szCs w:val="24"/>
        </w:rPr>
        <w:t>D</w:t>
      </w:r>
      <w:r w:rsidRPr="009D6890">
        <w:rPr>
          <w:rFonts w:ascii="Times New Roman" w:hAnsi="Times New Roman" w:cs="Times New Roman"/>
          <w:sz w:val="24"/>
          <w:szCs w:val="24"/>
        </w:rPr>
        <w:t>efendant in this matter</w:t>
      </w:r>
    </w:p>
    <w:p w14:paraId="1B2F2B2C" w14:textId="7FFD5256" w:rsidR="00672B74" w:rsidRPr="009D6890" w:rsidRDefault="00672B74" w:rsidP="00D62D0F">
      <w:pPr>
        <w:pStyle w:val="ListParagraph"/>
        <w:numPr>
          <w:ilvl w:val="0"/>
          <w:numId w:val="3"/>
        </w:numPr>
        <w:spacing w:line="360" w:lineRule="auto"/>
        <w:ind w:left="1208" w:hanging="357"/>
        <w:jc w:val="both"/>
        <w:rPr>
          <w:rFonts w:ascii="Times New Roman" w:hAnsi="Times New Roman" w:cs="Times New Roman"/>
          <w:sz w:val="24"/>
          <w:szCs w:val="24"/>
        </w:rPr>
      </w:pPr>
      <w:r w:rsidRPr="009D6890">
        <w:rPr>
          <w:rFonts w:ascii="Times New Roman" w:hAnsi="Times New Roman" w:cs="Times New Roman"/>
          <w:sz w:val="24"/>
          <w:szCs w:val="24"/>
        </w:rPr>
        <w:t>Whether or not there is a valid lease agreement</w:t>
      </w:r>
    </w:p>
    <w:p w14:paraId="7D1C9AC8" w14:textId="3C64D649" w:rsidR="00672B74" w:rsidRPr="009D6890" w:rsidRDefault="00672B74" w:rsidP="00D62D0F">
      <w:pPr>
        <w:pStyle w:val="ListParagraph"/>
        <w:numPr>
          <w:ilvl w:val="0"/>
          <w:numId w:val="3"/>
        </w:numPr>
        <w:spacing w:line="360" w:lineRule="auto"/>
        <w:ind w:left="1208" w:hanging="357"/>
        <w:jc w:val="both"/>
        <w:rPr>
          <w:rFonts w:ascii="Times New Roman" w:hAnsi="Times New Roman" w:cs="Times New Roman"/>
          <w:sz w:val="24"/>
          <w:szCs w:val="24"/>
        </w:rPr>
      </w:pPr>
      <w:r w:rsidRPr="009D6890">
        <w:rPr>
          <w:rFonts w:ascii="Times New Roman" w:hAnsi="Times New Roman" w:cs="Times New Roman"/>
          <w:sz w:val="24"/>
          <w:szCs w:val="24"/>
        </w:rPr>
        <w:t>Whether or not the lease agreement was terminated on the 1</w:t>
      </w:r>
      <w:r w:rsidRPr="009D6890">
        <w:rPr>
          <w:rFonts w:ascii="Times New Roman" w:hAnsi="Times New Roman" w:cs="Times New Roman"/>
          <w:sz w:val="24"/>
          <w:szCs w:val="24"/>
          <w:vertAlign w:val="superscript"/>
        </w:rPr>
        <w:t>st</w:t>
      </w:r>
      <w:r w:rsidRPr="009D6890">
        <w:rPr>
          <w:rFonts w:ascii="Times New Roman" w:hAnsi="Times New Roman" w:cs="Times New Roman"/>
          <w:sz w:val="24"/>
          <w:szCs w:val="24"/>
        </w:rPr>
        <w:t xml:space="preserve"> of July 2022</w:t>
      </w:r>
    </w:p>
    <w:p w14:paraId="005B34D1" w14:textId="48D46112" w:rsidR="00672B74" w:rsidRPr="009D6890" w:rsidRDefault="00672B74" w:rsidP="00D62D0F">
      <w:pPr>
        <w:pStyle w:val="ListParagraph"/>
        <w:numPr>
          <w:ilvl w:val="0"/>
          <w:numId w:val="3"/>
        </w:numPr>
        <w:spacing w:line="360" w:lineRule="auto"/>
        <w:ind w:left="1208" w:hanging="357"/>
        <w:jc w:val="both"/>
        <w:rPr>
          <w:rFonts w:ascii="Times New Roman" w:hAnsi="Times New Roman" w:cs="Times New Roman"/>
          <w:sz w:val="24"/>
          <w:szCs w:val="24"/>
        </w:rPr>
      </w:pPr>
      <w:r w:rsidRPr="009D6890">
        <w:rPr>
          <w:rFonts w:ascii="Times New Roman" w:hAnsi="Times New Roman" w:cs="Times New Roman"/>
          <w:sz w:val="24"/>
          <w:szCs w:val="24"/>
        </w:rPr>
        <w:t xml:space="preserve">Whether or not </w:t>
      </w:r>
      <w:r w:rsidR="00837A44" w:rsidRPr="009D6890">
        <w:rPr>
          <w:rFonts w:ascii="Times New Roman" w:hAnsi="Times New Roman" w:cs="Times New Roman"/>
          <w:sz w:val="24"/>
          <w:szCs w:val="24"/>
        </w:rPr>
        <w:t>D</w:t>
      </w:r>
      <w:r w:rsidRPr="009D6890">
        <w:rPr>
          <w:rFonts w:ascii="Times New Roman" w:hAnsi="Times New Roman" w:cs="Times New Roman"/>
          <w:sz w:val="24"/>
          <w:szCs w:val="24"/>
        </w:rPr>
        <w:t xml:space="preserve">efendant is liable to pay </w:t>
      </w:r>
      <w:r w:rsidR="00837A44" w:rsidRPr="009D6890">
        <w:rPr>
          <w:rFonts w:ascii="Times New Roman" w:hAnsi="Times New Roman" w:cs="Times New Roman"/>
          <w:sz w:val="24"/>
          <w:szCs w:val="24"/>
        </w:rPr>
        <w:t>P</w:t>
      </w:r>
      <w:r w:rsidRPr="009D6890">
        <w:rPr>
          <w:rFonts w:ascii="Times New Roman" w:hAnsi="Times New Roman" w:cs="Times New Roman"/>
          <w:sz w:val="24"/>
          <w:szCs w:val="24"/>
        </w:rPr>
        <w:t xml:space="preserve">laintiff and if </w:t>
      </w:r>
      <w:r w:rsidR="00837A44" w:rsidRPr="009D6890">
        <w:rPr>
          <w:rFonts w:ascii="Times New Roman" w:hAnsi="Times New Roman" w:cs="Times New Roman"/>
          <w:sz w:val="24"/>
          <w:szCs w:val="24"/>
        </w:rPr>
        <w:t>so, in</w:t>
      </w:r>
      <w:r w:rsidRPr="009D6890">
        <w:rPr>
          <w:rFonts w:ascii="Times New Roman" w:hAnsi="Times New Roman" w:cs="Times New Roman"/>
          <w:sz w:val="24"/>
          <w:szCs w:val="24"/>
        </w:rPr>
        <w:t xml:space="preserve"> what amount</w:t>
      </w:r>
    </w:p>
    <w:p w14:paraId="45CBF407" w14:textId="28D5090C" w:rsidR="00672B74" w:rsidRPr="009D6890" w:rsidRDefault="00837A44" w:rsidP="00D62D0F">
      <w:pPr>
        <w:spacing w:line="360" w:lineRule="auto"/>
        <w:jc w:val="both"/>
        <w:rPr>
          <w:rFonts w:ascii="Times New Roman" w:hAnsi="Times New Roman" w:cs="Times New Roman"/>
          <w:sz w:val="24"/>
          <w:szCs w:val="24"/>
        </w:rPr>
      </w:pPr>
      <w:r w:rsidRPr="009D6890">
        <w:rPr>
          <w:rFonts w:ascii="Times New Roman" w:hAnsi="Times New Roman" w:cs="Times New Roman"/>
          <w:sz w:val="24"/>
          <w:szCs w:val="24"/>
        </w:rPr>
        <w:t>[</w:t>
      </w:r>
      <w:r w:rsidR="00E54A1D">
        <w:rPr>
          <w:rFonts w:ascii="Times New Roman" w:hAnsi="Times New Roman" w:cs="Times New Roman"/>
          <w:sz w:val="24"/>
          <w:szCs w:val="24"/>
        </w:rPr>
        <w:t>3</w:t>
      </w:r>
      <w:r w:rsidRPr="009D6890">
        <w:rPr>
          <w:rFonts w:ascii="Times New Roman" w:hAnsi="Times New Roman" w:cs="Times New Roman"/>
          <w:sz w:val="24"/>
          <w:szCs w:val="24"/>
        </w:rPr>
        <w:t>] A case management meeting was convened in terms of rule 18 of the High Court of Zimbabwe (Commercial Division) Rules SI 123-20 (“the Commercial Court Rules”) which provides thus; -</w:t>
      </w:r>
    </w:p>
    <w:p w14:paraId="30525AAB" w14:textId="5B9A2A07" w:rsidR="00837A44" w:rsidRPr="009D6890" w:rsidRDefault="00837A44" w:rsidP="00D62D0F">
      <w:pPr>
        <w:spacing w:line="360" w:lineRule="auto"/>
        <w:ind w:left="851"/>
        <w:jc w:val="both"/>
        <w:rPr>
          <w:rFonts w:ascii="Times New Roman" w:hAnsi="Times New Roman" w:cs="Times New Roman"/>
          <w:sz w:val="24"/>
          <w:szCs w:val="24"/>
        </w:rPr>
      </w:pPr>
      <w:r w:rsidRPr="009D6890">
        <w:rPr>
          <w:rFonts w:ascii="Times New Roman" w:hAnsi="Times New Roman" w:cs="Times New Roman"/>
          <w:sz w:val="24"/>
          <w:szCs w:val="24"/>
        </w:rPr>
        <w:t xml:space="preserve"> </w:t>
      </w:r>
      <w:r w:rsidR="00672B74" w:rsidRPr="009D6890">
        <w:rPr>
          <w:rFonts w:ascii="Times New Roman" w:hAnsi="Times New Roman" w:cs="Times New Roman"/>
          <w:sz w:val="24"/>
          <w:szCs w:val="24"/>
        </w:rPr>
        <w:t xml:space="preserve">Power to make and give directions for disposal of suits </w:t>
      </w:r>
    </w:p>
    <w:p w14:paraId="6CA696DB" w14:textId="496349C4" w:rsidR="00672B74" w:rsidRPr="009D6890" w:rsidRDefault="00672B74" w:rsidP="00D62D0F">
      <w:pPr>
        <w:spacing w:line="360" w:lineRule="auto"/>
        <w:ind w:left="851"/>
        <w:jc w:val="both"/>
        <w:rPr>
          <w:rFonts w:ascii="Times New Roman" w:hAnsi="Times New Roman" w:cs="Times New Roman"/>
          <w:sz w:val="24"/>
          <w:szCs w:val="24"/>
        </w:rPr>
      </w:pPr>
      <w:r w:rsidRPr="009D6890">
        <w:rPr>
          <w:rFonts w:ascii="Times New Roman" w:hAnsi="Times New Roman" w:cs="Times New Roman"/>
          <w:sz w:val="24"/>
          <w:szCs w:val="24"/>
        </w:rPr>
        <w:t xml:space="preserve">18. (1) A judge shall, within ten (10) working days after receipt of the record, on his or her own motion direct the registrar to cause the parties to the proceedings to appear before him or her, for the purposes of case management, in order that he or she may </w:t>
      </w:r>
      <w:r w:rsidRPr="009D6890">
        <w:rPr>
          <w:rFonts w:ascii="Times New Roman" w:hAnsi="Times New Roman" w:cs="Times New Roman"/>
          <w:sz w:val="24"/>
          <w:szCs w:val="24"/>
        </w:rPr>
        <w:lastRenderedPageBreak/>
        <w:t>make such order or give such directions in relation to any case management as well as any interim application which the parties may have filed or intend to file as the judge deems fit, in order to achieve the just, expeditious and economical disposal of the dispute.</w:t>
      </w:r>
    </w:p>
    <w:p w14:paraId="73C6F286" w14:textId="3616E10F" w:rsidR="00D62D0F" w:rsidRDefault="009D6890" w:rsidP="00D62D0F">
      <w:pPr>
        <w:spacing w:line="360" w:lineRule="auto"/>
        <w:jc w:val="both"/>
        <w:rPr>
          <w:rFonts w:ascii="Times New Roman" w:hAnsi="Times New Roman" w:cs="Times New Roman"/>
          <w:sz w:val="24"/>
          <w:szCs w:val="24"/>
        </w:rPr>
      </w:pPr>
      <w:r w:rsidRPr="009D6890">
        <w:rPr>
          <w:rFonts w:ascii="Times New Roman" w:hAnsi="Times New Roman" w:cs="Times New Roman"/>
          <w:sz w:val="24"/>
          <w:szCs w:val="24"/>
        </w:rPr>
        <w:t>[</w:t>
      </w:r>
      <w:r w:rsidR="00E54A1D">
        <w:rPr>
          <w:rFonts w:ascii="Times New Roman" w:hAnsi="Times New Roman" w:cs="Times New Roman"/>
          <w:sz w:val="24"/>
          <w:szCs w:val="24"/>
        </w:rPr>
        <w:t>4</w:t>
      </w:r>
      <w:r w:rsidRPr="009D6890">
        <w:rPr>
          <w:rFonts w:ascii="Times New Roman" w:hAnsi="Times New Roman" w:cs="Times New Roman"/>
          <w:sz w:val="24"/>
          <w:szCs w:val="24"/>
        </w:rPr>
        <w:t xml:space="preserve">] </w:t>
      </w:r>
      <w:r w:rsidR="00984C31">
        <w:rPr>
          <w:rFonts w:ascii="Times New Roman" w:hAnsi="Times New Roman" w:cs="Times New Roman"/>
          <w:sz w:val="24"/>
          <w:szCs w:val="24"/>
        </w:rPr>
        <w:t>At the conclusion of the case management conference, I issued an order by consent directing the part</w:t>
      </w:r>
      <w:r w:rsidRPr="009D6890">
        <w:rPr>
          <w:rFonts w:ascii="Times New Roman" w:hAnsi="Times New Roman" w:cs="Times New Roman"/>
          <w:sz w:val="24"/>
          <w:szCs w:val="24"/>
        </w:rPr>
        <w:t xml:space="preserve">ies file written submissions addressing the issue of locus standi and causa. </w:t>
      </w:r>
      <w:r w:rsidR="00D62D0F">
        <w:rPr>
          <w:rFonts w:ascii="Times New Roman" w:hAnsi="Times New Roman" w:cs="Times New Roman"/>
          <w:sz w:val="24"/>
          <w:szCs w:val="24"/>
        </w:rPr>
        <w:t xml:space="preserve">I was </w:t>
      </w:r>
      <w:r w:rsidR="008A2999">
        <w:rPr>
          <w:rFonts w:ascii="Times New Roman" w:hAnsi="Times New Roman" w:cs="Times New Roman"/>
          <w:sz w:val="24"/>
          <w:szCs w:val="24"/>
        </w:rPr>
        <w:t xml:space="preserve">also </w:t>
      </w:r>
      <w:r w:rsidR="00C52201">
        <w:rPr>
          <w:rFonts w:ascii="Times New Roman" w:hAnsi="Times New Roman" w:cs="Times New Roman"/>
          <w:sz w:val="24"/>
          <w:szCs w:val="24"/>
        </w:rPr>
        <w:t>persuaded, in</w:t>
      </w:r>
      <w:r w:rsidR="00D62D0F">
        <w:rPr>
          <w:rFonts w:ascii="Times New Roman" w:hAnsi="Times New Roman" w:cs="Times New Roman"/>
          <w:sz w:val="24"/>
          <w:szCs w:val="24"/>
        </w:rPr>
        <w:t xml:space="preserve"> taking this </w:t>
      </w:r>
      <w:r w:rsidR="008A2999">
        <w:rPr>
          <w:rFonts w:ascii="Times New Roman" w:hAnsi="Times New Roman" w:cs="Times New Roman"/>
          <w:sz w:val="24"/>
          <w:szCs w:val="24"/>
        </w:rPr>
        <w:t>approach, partly</w:t>
      </w:r>
      <w:r w:rsidR="00D62D0F">
        <w:rPr>
          <w:rFonts w:ascii="Times New Roman" w:hAnsi="Times New Roman" w:cs="Times New Roman"/>
          <w:sz w:val="24"/>
          <w:szCs w:val="24"/>
        </w:rPr>
        <w:t xml:space="preserve"> by the view taken by this court in </w:t>
      </w:r>
      <w:r w:rsidR="00C60E75" w:rsidRPr="00C60E75">
        <w:rPr>
          <w:rFonts w:ascii="Times New Roman" w:hAnsi="Times New Roman" w:cs="Times New Roman"/>
          <w:i/>
          <w:iCs/>
          <w:sz w:val="24"/>
          <w:szCs w:val="24"/>
        </w:rPr>
        <w:t>Amos Makono &amp; 32 Ors v Freda Rebecca Gold Mine</w:t>
      </w:r>
      <w:r w:rsidR="00C60E75">
        <w:rPr>
          <w:rFonts w:ascii="Times New Roman" w:hAnsi="Times New Roman" w:cs="Times New Roman"/>
          <w:sz w:val="24"/>
          <w:szCs w:val="24"/>
        </w:rPr>
        <w:t xml:space="preserve"> HH 400-18, </w:t>
      </w:r>
      <w:r w:rsidR="00D62D0F">
        <w:rPr>
          <w:rFonts w:ascii="Times New Roman" w:hAnsi="Times New Roman" w:cs="Times New Roman"/>
          <w:sz w:val="24"/>
          <w:szCs w:val="24"/>
        </w:rPr>
        <w:t xml:space="preserve">per CHATUKUTA J (as she then was) where the learned Judge observed </w:t>
      </w:r>
      <w:r w:rsidR="00C60E75">
        <w:rPr>
          <w:rFonts w:ascii="Times New Roman" w:hAnsi="Times New Roman" w:cs="Times New Roman"/>
          <w:sz w:val="24"/>
          <w:szCs w:val="24"/>
        </w:rPr>
        <w:t xml:space="preserve">[ at page 3] </w:t>
      </w:r>
      <w:r w:rsidR="00D62D0F">
        <w:rPr>
          <w:rFonts w:ascii="Times New Roman" w:hAnsi="Times New Roman" w:cs="Times New Roman"/>
          <w:sz w:val="24"/>
          <w:szCs w:val="24"/>
        </w:rPr>
        <w:t>that; -</w:t>
      </w:r>
    </w:p>
    <w:p w14:paraId="11101397" w14:textId="0FDCF333" w:rsidR="00D62D0F" w:rsidRDefault="00D62D0F" w:rsidP="00D62D0F">
      <w:pPr>
        <w:spacing w:after="0" w:line="360" w:lineRule="auto"/>
        <w:ind w:left="851"/>
        <w:jc w:val="both"/>
        <w:rPr>
          <w:rFonts w:ascii="Times New Roman" w:eastAsia="Times New Roman" w:hAnsi="Times New Roman" w:cs="Times New Roman"/>
          <w:kern w:val="0"/>
          <w:sz w:val="24"/>
          <w:szCs w:val="24"/>
          <w:lang w:eastAsia="en-ZW"/>
          <w14:ligatures w14:val="none"/>
        </w:rPr>
      </w:pPr>
      <w:r>
        <w:rPr>
          <w:rFonts w:ascii="Times New Roman" w:eastAsia="Times New Roman" w:hAnsi="Times New Roman" w:cs="Times New Roman"/>
          <w:kern w:val="0"/>
          <w:sz w:val="24"/>
          <w:szCs w:val="24"/>
          <w:lang w:eastAsia="en-ZW"/>
          <w14:ligatures w14:val="none"/>
        </w:rPr>
        <w:t>“</w:t>
      </w:r>
      <w:r w:rsidRPr="00D62D0F">
        <w:rPr>
          <w:rFonts w:ascii="Times New Roman" w:eastAsia="Times New Roman" w:hAnsi="Times New Roman" w:cs="Times New Roman"/>
          <w:kern w:val="0"/>
          <w:sz w:val="24"/>
          <w:szCs w:val="24"/>
          <w:lang w:eastAsia="en-ZW"/>
          <w14:ligatures w14:val="none"/>
        </w:rPr>
        <w:t xml:space="preserve">It needs no saying that the question regarding the legal personality of a party cited in court proceedings is a point of law which a court can raise </w:t>
      </w:r>
      <w:r w:rsidRPr="00D62D0F">
        <w:rPr>
          <w:rFonts w:ascii="Times New Roman" w:eastAsia="Times New Roman" w:hAnsi="Times New Roman" w:cs="Times New Roman"/>
          <w:i/>
          <w:kern w:val="0"/>
          <w:sz w:val="24"/>
          <w:szCs w:val="24"/>
          <w:lang w:eastAsia="en-ZW"/>
          <w14:ligatures w14:val="none"/>
        </w:rPr>
        <w:t xml:space="preserve">mero motu </w:t>
      </w:r>
      <w:r w:rsidRPr="00D62D0F">
        <w:rPr>
          <w:rFonts w:ascii="Times New Roman" w:eastAsia="Times New Roman" w:hAnsi="Times New Roman" w:cs="Times New Roman"/>
          <w:kern w:val="0"/>
          <w:sz w:val="24"/>
          <w:szCs w:val="24"/>
          <w:lang w:eastAsia="en-ZW"/>
          <w14:ligatures w14:val="none"/>
        </w:rPr>
        <w:t xml:space="preserve">as transpired in </w:t>
      </w:r>
      <w:r w:rsidRPr="00D62D0F">
        <w:rPr>
          <w:rFonts w:ascii="Times New Roman" w:eastAsia="Times New Roman" w:hAnsi="Times New Roman" w:cs="Times New Roman"/>
          <w:i/>
          <w:kern w:val="0"/>
          <w:sz w:val="24"/>
          <w:szCs w:val="24"/>
          <w:lang w:eastAsia="en-ZW"/>
          <w14:ligatures w14:val="none"/>
        </w:rPr>
        <w:t xml:space="preserve">CT Bolts (Pvt) Ltd </w:t>
      </w:r>
      <w:r w:rsidRPr="00D62D0F">
        <w:rPr>
          <w:rFonts w:ascii="Times New Roman" w:eastAsia="Times New Roman" w:hAnsi="Times New Roman" w:cs="Times New Roman"/>
          <w:kern w:val="0"/>
          <w:sz w:val="24"/>
          <w:szCs w:val="24"/>
          <w:lang w:eastAsia="en-ZW"/>
          <w14:ligatures w14:val="none"/>
        </w:rPr>
        <w:t xml:space="preserve">v </w:t>
      </w:r>
      <w:r w:rsidRPr="00D62D0F">
        <w:rPr>
          <w:rFonts w:ascii="Times New Roman" w:eastAsia="Times New Roman" w:hAnsi="Times New Roman" w:cs="Times New Roman"/>
          <w:i/>
          <w:kern w:val="0"/>
          <w:sz w:val="24"/>
          <w:szCs w:val="24"/>
          <w:lang w:eastAsia="en-ZW"/>
          <w14:ligatures w14:val="none"/>
        </w:rPr>
        <w:t>Workers’ Committee</w:t>
      </w:r>
      <w:r w:rsidRPr="00D62D0F">
        <w:rPr>
          <w:rFonts w:ascii="Times New Roman" w:eastAsia="Times New Roman" w:hAnsi="Times New Roman" w:cs="Times New Roman"/>
          <w:kern w:val="0"/>
          <w:sz w:val="24"/>
          <w:szCs w:val="24"/>
          <w:lang w:eastAsia="en-ZW"/>
          <w14:ligatures w14:val="none"/>
        </w:rPr>
        <w:t xml:space="preserve"> (</w:t>
      </w:r>
      <w:r w:rsidRPr="00D62D0F">
        <w:rPr>
          <w:rFonts w:ascii="Times New Roman" w:eastAsia="Times New Roman" w:hAnsi="Times New Roman" w:cs="Times New Roman"/>
          <w:i/>
          <w:kern w:val="0"/>
          <w:sz w:val="24"/>
          <w:szCs w:val="24"/>
          <w:lang w:eastAsia="en-ZW"/>
          <w14:ligatures w14:val="none"/>
        </w:rPr>
        <w:t>supra</w:t>
      </w:r>
      <w:r w:rsidRPr="00D62D0F">
        <w:rPr>
          <w:rFonts w:ascii="Times New Roman" w:eastAsia="Times New Roman" w:hAnsi="Times New Roman" w:cs="Times New Roman"/>
          <w:kern w:val="0"/>
          <w:sz w:val="24"/>
          <w:szCs w:val="24"/>
          <w:lang w:eastAsia="en-ZW"/>
          <w14:ligatures w14:val="none"/>
        </w:rPr>
        <w:t>).</w:t>
      </w:r>
      <w:r>
        <w:rPr>
          <w:rFonts w:ascii="Times New Roman" w:eastAsia="Times New Roman" w:hAnsi="Times New Roman" w:cs="Times New Roman"/>
          <w:kern w:val="0"/>
          <w:sz w:val="24"/>
          <w:szCs w:val="24"/>
          <w:lang w:eastAsia="en-ZW"/>
          <w14:ligatures w14:val="none"/>
        </w:rPr>
        <w:t>”</w:t>
      </w:r>
    </w:p>
    <w:p w14:paraId="5A6AD81E" w14:textId="77777777" w:rsidR="00E54A1D" w:rsidRDefault="00E54A1D" w:rsidP="00D62D0F">
      <w:pPr>
        <w:spacing w:after="0" w:line="360" w:lineRule="auto"/>
        <w:ind w:left="851"/>
        <w:jc w:val="both"/>
        <w:rPr>
          <w:rFonts w:ascii="Times New Roman" w:hAnsi="Times New Roman" w:cs="Times New Roman"/>
          <w:sz w:val="24"/>
          <w:szCs w:val="24"/>
        </w:rPr>
      </w:pPr>
    </w:p>
    <w:p w14:paraId="5A135DD1" w14:textId="7B6CA56E" w:rsidR="009D6890" w:rsidRPr="009D6890" w:rsidRDefault="00E54A1D" w:rsidP="00D62D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9D6890" w:rsidRPr="009D6890">
        <w:rPr>
          <w:rFonts w:ascii="Times New Roman" w:hAnsi="Times New Roman" w:cs="Times New Roman"/>
          <w:sz w:val="24"/>
          <w:szCs w:val="24"/>
        </w:rPr>
        <w:t xml:space="preserve">In the written submissions filed in support of this legal point, defendant raised two further issues on the causa as well as validity of the plaintiff`s claim. I agree with the defendant that the real issue to be determined relates to the effect of defendant`s citation. </w:t>
      </w:r>
      <w:r w:rsidR="008A2999">
        <w:rPr>
          <w:rFonts w:ascii="Times New Roman" w:hAnsi="Times New Roman" w:cs="Times New Roman"/>
          <w:sz w:val="24"/>
          <w:szCs w:val="24"/>
        </w:rPr>
        <w:t>It is dispositive of the dispute and obviates the other two matters raised by defendant.</w:t>
      </w:r>
      <w:r w:rsidR="008A2999">
        <w:rPr>
          <w:rStyle w:val="FootnoteReference"/>
          <w:rFonts w:ascii="Times New Roman" w:hAnsi="Times New Roman" w:cs="Times New Roman"/>
          <w:sz w:val="24"/>
          <w:szCs w:val="24"/>
        </w:rPr>
        <w:footnoteReference w:id="1"/>
      </w:r>
    </w:p>
    <w:p w14:paraId="6A146D98" w14:textId="13E1A9AF" w:rsidR="00672B74" w:rsidRDefault="00677D1A" w:rsidP="00D62D0F">
      <w:pPr>
        <w:spacing w:line="360" w:lineRule="auto"/>
        <w:jc w:val="both"/>
        <w:rPr>
          <w:rFonts w:ascii="Times New Roman" w:hAnsi="Times New Roman" w:cs="Times New Roman"/>
          <w:sz w:val="24"/>
          <w:szCs w:val="24"/>
        </w:rPr>
      </w:pPr>
      <w:r>
        <w:rPr>
          <w:rFonts w:ascii="Times New Roman" w:hAnsi="Times New Roman" w:cs="Times New Roman"/>
          <w:sz w:val="24"/>
          <w:szCs w:val="24"/>
        </w:rPr>
        <w:t>THE DISPUTE BETWEEN THE PARTIES</w:t>
      </w:r>
    </w:p>
    <w:p w14:paraId="02B31F69" w14:textId="7126BCE1" w:rsidR="006D363B" w:rsidRDefault="00677D1A" w:rsidP="00D62D0F">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8A2999">
        <w:rPr>
          <w:rFonts w:ascii="Times New Roman" w:hAnsi="Times New Roman" w:cs="Times New Roman"/>
          <w:sz w:val="24"/>
          <w:szCs w:val="24"/>
        </w:rPr>
        <w:t xml:space="preserve">] Before me is a </w:t>
      </w:r>
      <w:r w:rsidR="00984C31">
        <w:rPr>
          <w:rFonts w:ascii="Times New Roman" w:hAnsi="Times New Roman" w:cs="Times New Roman"/>
          <w:sz w:val="24"/>
          <w:szCs w:val="24"/>
        </w:rPr>
        <w:t xml:space="preserve">landlord and tenant </w:t>
      </w:r>
      <w:r w:rsidR="00984C31" w:rsidRPr="00C52201">
        <w:rPr>
          <w:rFonts w:ascii="Times New Roman" w:hAnsi="Times New Roman" w:cs="Times New Roman"/>
          <w:sz w:val="24"/>
          <w:szCs w:val="24"/>
        </w:rPr>
        <w:t xml:space="preserve">dispute. </w:t>
      </w:r>
      <w:r w:rsidR="006D363B" w:rsidRPr="00C52201">
        <w:rPr>
          <w:rFonts w:ascii="Times New Roman" w:hAnsi="Times New Roman" w:cs="Times New Roman"/>
          <w:sz w:val="24"/>
          <w:szCs w:val="24"/>
        </w:rPr>
        <w:t>Plaintiff</w:t>
      </w:r>
      <w:r w:rsidR="00184C7F" w:rsidRPr="00C52201">
        <w:rPr>
          <w:rFonts w:ascii="Times New Roman" w:hAnsi="Times New Roman" w:cs="Times New Roman"/>
          <w:sz w:val="24"/>
          <w:szCs w:val="24"/>
        </w:rPr>
        <w:t xml:space="preserve"> </w:t>
      </w:r>
      <w:r w:rsidR="00984C31" w:rsidRPr="00C52201">
        <w:rPr>
          <w:rFonts w:ascii="Times New Roman" w:hAnsi="Times New Roman" w:cs="Times New Roman"/>
          <w:sz w:val="24"/>
          <w:szCs w:val="24"/>
        </w:rPr>
        <w:t xml:space="preserve">entered into a </w:t>
      </w:r>
      <w:r w:rsidR="00184C7F" w:rsidRPr="00C52201">
        <w:rPr>
          <w:rFonts w:ascii="Times New Roman" w:hAnsi="Times New Roman" w:cs="Times New Roman"/>
          <w:sz w:val="24"/>
          <w:szCs w:val="24"/>
        </w:rPr>
        <w:t xml:space="preserve">written </w:t>
      </w:r>
      <w:r w:rsidR="00984C31" w:rsidRPr="00C52201">
        <w:rPr>
          <w:rFonts w:ascii="Times New Roman" w:hAnsi="Times New Roman" w:cs="Times New Roman"/>
          <w:sz w:val="24"/>
          <w:szCs w:val="24"/>
        </w:rPr>
        <w:t>lease agreement</w:t>
      </w:r>
      <w:r w:rsidR="00984C31">
        <w:rPr>
          <w:rFonts w:ascii="Times New Roman" w:hAnsi="Times New Roman" w:cs="Times New Roman"/>
          <w:sz w:val="24"/>
          <w:szCs w:val="24"/>
        </w:rPr>
        <w:t xml:space="preserve"> with an entity </w:t>
      </w:r>
      <w:r w:rsidR="008A2999">
        <w:rPr>
          <w:rFonts w:ascii="Times New Roman" w:hAnsi="Times New Roman" w:cs="Times New Roman"/>
          <w:sz w:val="24"/>
          <w:szCs w:val="24"/>
        </w:rPr>
        <w:t xml:space="preserve">identified therein </w:t>
      </w:r>
      <w:r w:rsidR="00984C31">
        <w:rPr>
          <w:rFonts w:ascii="Times New Roman" w:hAnsi="Times New Roman" w:cs="Times New Roman"/>
          <w:sz w:val="24"/>
          <w:szCs w:val="24"/>
        </w:rPr>
        <w:t xml:space="preserve">as </w:t>
      </w:r>
      <w:r w:rsidR="00C52201">
        <w:rPr>
          <w:rFonts w:ascii="Times New Roman" w:hAnsi="Times New Roman" w:cs="Times New Roman"/>
          <w:sz w:val="24"/>
          <w:szCs w:val="24"/>
        </w:rPr>
        <w:t>“</w:t>
      </w:r>
      <w:r w:rsidR="00984C31">
        <w:rPr>
          <w:rFonts w:ascii="Times New Roman" w:hAnsi="Times New Roman" w:cs="Times New Roman"/>
          <w:sz w:val="24"/>
          <w:szCs w:val="24"/>
        </w:rPr>
        <w:t>Treat and Company</w:t>
      </w:r>
      <w:r w:rsidR="00C52201">
        <w:rPr>
          <w:rFonts w:ascii="Times New Roman" w:hAnsi="Times New Roman" w:cs="Times New Roman"/>
          <w:sz w:val="24"/>
          <w:szCs w:val="24"/>
        </w:rPr>
        <w:t>”,</w:t>
      </w:r>
      <w:r w:rsidR="006D363B">
        <w:rPr>
          <w:rFonts w:ascii="Times New Roman" w:hAnsi="Times New Roman" w:cs="Times New Roman"/>
          <w:sz w:val="24"/>
          <w:szCs w:val="24"/>
        </w:rPr>
        <w:t xml:space="preserve"> on 1 November 2020</w:t>
      </w:r>
      <w:r w:rsidR="00984C31">
        <w:rPr>
          <w:rFonts w:ascii="Times New Roman" w:hAnsi="Times New Roman" w:cs="Times New Roman"/>
          <w:sz w:val="24"/>
          <w:szCs w:val="24"/>
        </w:rPr>
        <w:t xml:space="preserve">. It is not in dispute that an entity </w:t>
      </w:r>
      <w:r w:rsidR="006D363B">
        <w:rPr>
          <w:rFonts w:ascii="Times New Roman" w:hAnsi="Times New Roman" w:cs="Times New Roman"/>
          <w:sz w:val="24"/>
          <w:szCs w:val="24"/>
        </w:rPr>
        <w:t>named Treat</w:t>
      </w:r>
      <w:r w:rsidR="00184C7F">
        <w:rPr>
          <w:rFonts w:ascii="Times New Roman" w:hAnsi="Times New Roman" w:cs="Times New Roman"/>
          <w:sz w:val="24"/>
          <w:szCs w:val="24"/>
        </w:rPr>
        <w:t xml:space="preserve"> and Company (Pvt) </w:t>
      </w:r>
      <w:r w:rsidR="006D363B">
        <w:rPr>
          <w:rFonts w:ascii="Times New Roman" w:hAnsi="Times New Roman" w:cs="Times New Roman"/>
          <w:sz w:val="24"/>
          <w:szCs w:val="24"/>
        </w:rPr>
        <w:t xml:space="preserve">Ltd, </w:t>
      </w:r>
      <w:r w:rsidR="006D363B" w:rsidRPr="00C52201">
        <w:rPr>
          <w:rFonts w:ascii="Times New Roman" w:hAnsi="Times New Roman" w:cs="Times New Roman"/>
          <w:sz w:val="24"/>
          <w:szCs w:val="24"/>
        </w:rPr>
        <w:t>the</w:t>
      </w:r>
      <w:r w:rsidR="00184C7F" w:rsidRPr="00C52201">
        <w:rPr>
          <w:rFonts w:ascii="Times New Roman" w:hAnsi="Times New Roman" w:cs="Times New Roman"/>
          <w:sz w:val="24"/>
          <w:szCs w:val="24"/>
        </w:rPr>
        <w:t xml:space="preserve"> present objector, took</w:t>
      </w:r>
      <w:r w:rsidR="00184C7F">
        <w:rPr>
          <w:rFonts w:ascii="Times New Roman" w:hAnsi="Times New Roman" w:cs="Times New Roman"/>
          <w:sz w:val="24"/>
          <w:szCs w:val="24"/>
        </w:rPr>
        <w:t xml:space="preserve"> occupation of the premises known as </w:t>
      </w:r>
      <w:r w:rsidR="006D363B">
        <w:rPr>
          <w:rFonts w:ascii="Times New Roman" w:hAnsi="Times New Roman" w:cs="Times New Roman"/>
          <w:sz w:val="24"/>
          <w:szCs w:val="24"/>
        </w:rPr>
        <w:t>Shop Number 5, Rolf Valley Shopping Centre, in Rolf Valley, Harare at a monthly rental of US$2,600.</w:t>
      </w:r>
    </w:p>
    <w:p w14:paraId="7D52E683" w14:textId="56C164D7" w:rsidR="0036275A" w:rsidRDefault="006D363B" w:rsidP="00D62D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[7] Plaintiff avers that </w:t>
      </w:r>
      <w:r w:rsidR="009A3F9A">
        <w:rPr>
          <w:rFonts w:ascii="Times New Roman" w:hAnsi="Times New Roman" w:cs="Times New Roman"/>
          <w:sz w:val="24"/>
          <w:szCs w:val="24"/>
        </w:rPr>
        <w:t>defendant defaulted in</w:t>
      </w:r>
      <w:r>
        <w:rPr>
          <w:rFonts w:ascii="Times New Roman" w:hAnsi="Times New Roman" w:cs="Times New Roman"/>
          <w:sz w:val="24"/>
          <w:szCs w:val="24"/>
        </w:rPr>
        <w:t xml:space="preserve"> rental payments for the period </w:t>
      </w:r>
      <w:r w:rsidR="009A3F9A">
        <w:rPr>
          <w:rFonts w:ascii="Times New Roman" w:hAnsi="Times New Roman" w:cs="Times New Roman"/>
          <w:sz w:val="24"/>
          <w:szCs w:val="24"/>
        </w:rPr>
        <w:t>April to December 2021 accumulating arrears in the sum of US$</w:t>
      </w:r>
      <w:r w:rsidR="0036275A">
        <w:rPr>
          <w:rFonts w:ascii="Times New Roman" w:hAnsi="Times New Roman" w:cs="Times New Roman"/>
          <w:sz w:val="24"/>
          <w:szCs w:val="24"/>
        </w:rPr>
        <w:t>18,360. Plaintiff</w:t>
      </w:r>
      <w:r w:rsidR="009A3F9A">
        <w:rPr>
          <w:rFonts w:ascii="Times New Roman" w:hAnsi="Times New Roman" w:cs="Times New Roman"/>
          <w:sz w:val="24"/>
          <w:szCs w:val="24"/>
        </w:rPr>
        <w:t xml:space="preserve"> instituted present proceedings seeking a recovery of that amount as capital debt. Defendant resisted the claim.</w:t>
      </w:r>
    </w:p>
    <w:p w14:paraId="7E5F482A" w14:textId="5EF854AC" w:rsidR="0036275A" w:rsidRDefault="0036275A" w:rsidP="00D62D0F">
      <w:pPr>
        <w:spacing w:line="360" w:lineRule="auto"/>
        <w:jc w:val="both"/>
        <w:rPr>
          <w:rFonts w:ascii="Times New Roman" w:hAnsi="Times New Roman" w:cs="Times New Roman"/>
          <w:sz w:val="24"/>
          <w:szCs w:val="24"/>
        </w:rPr>
      </w:pPr>
      <w:r>
        <w:rPr>
          <w:rFonts w:ascii="Times New Roman" w:hAnsi="Times New Roman" w:cs="Times New Roman"/>
          <w:sz w:val="24"/>
          <w:szCs w:val="24"/>
        </w:rPr>
        <w:t>THE CITATION OF DEFENDANT</w:t>
      </w:r>
    </w:p>
    <w:p w14:paraId="4888C2AF" w14:textId="1B36B7D6" w:rsidR="0036275A" w:rsidRDefault="0036275A" w:rsidP="00D62D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BC2116">
        <w:rPr>
          <w:rFonts w:ascii="Times New Roman" w:hAnsi="Times New Roman" w:cs="Times New Roman"/>
          <w:sz w:val="24"/>
          <w:szCs w:val="24"/>
        </w:rPr>
        <w:t xml:space="preserve">It is not in contention that defendant was incorrectly cited. </w:t>
      </w:r>
      <w:r w:rsidR="00C52201">
        <w:rPr>
          <w:rFonts w:ascii="Times New Roman" w:hAnsi="Times New Roman" w:cs="Times New Roman"/>
          <w:sz w:val="24"/>
          <w:szCs w:val="24"/>
        </w:rPr>
        <w:t>That incorrect reference founded the preliminary point. Mr</w:t>
      </w:r>
      <w:r w:rsidR="002F46B1">
        <w:rPr>
          <w:rFonts w:ascii="Times New Roman" w:hAnsi="Times New Roman" w:cs="Times New Roman"/>
          <w:sz w:val="24"/>
          <w:szCs w:val="24"/>
        </w:rPr>
        <w:t xml:space="preserve">. </w:t>
      </w:r>
      <w:r w:rsidR="002F46B1" w:rsidRPr="00BC2116">
        <w:rPr>
          <w:rFonts w:ascii="Times New Roman" w:hAnsi="Times New Roman" w:cs="Times New Roman"/>
          <w:i/>
          <w:iCs/>
          <w:sz w:val="24"/>
          <w:szCs w:val="24"/>
        </w:rPr>
        <w:t>Nyahuma</w:t>
      </w:r>
      <w:r w:rsidR="002F46B1">
        <w:rPr>
          <w:rFonts w:ascii="Times New Roman" w:hAnsi="Times New Roman" w:cs="Times New Roman"/>
          <w:sz w:val="24"/>
          <w:szCs w:val="24"/>
        </w:rPr>
        <w:t xml:space="preserve"> for defendant </w:t>
      </w:r>
      <w:r w:rsidR="00BC2116">
        <w:rPr>
          <w:rFonts w:ascii="Times New Roman" w:hAnsi="Times New Roman" w:cs="Times New Roman"/>
          <w:sz w:val="24"/>
          <w:szCs w:val="24"/>
        </w:rPr>
        <w:t>raise</w:t>
      </w:r>
      <w:r w:rsidR="00C52201">
        <w:rPr>
          <w:rFonts w:ascii="Times New Roman" w:hAnsi="Times New Roman" w:cs="Times New Roman"/>
          <w:sz w:val="24"/>
          <w:szCs w:val="24"/>
        </w:rPr>
        <w:t>d</w:t>
      </w:r>
      <w:r w:rsidR="00BC2116">
        <w:rPr>
          <w:rFonts w:ascii="Times New Roman" w:hAnsi="Times New Roman" w:cs="Times New Roman"/>
          <w:sz w:val="24"/>
          <w:szCs w:val="24"/>
        </w:rPr>
        <w:t xml:space="preserve"> </w:t>
      </w:r>
      <w:r w:rsidR="002F46B1">
        <w:rPr>
          <w:rFonts w:ascii="Times New Roman" w:hAnsi="Times New Roman" w:cs="Times New Roman"/>
          <w:sz w:val="24"/>
          <w:szCs w:val="24"/>
        </w:rPr>
        <w:t xml:space="preserve">a two-pronged argument. Firstly, he </w:t>
      </w:r>
      <w:r w:rsidR="002F46B1">
        <w:rPr>
          <w:rFonts w:ascii="Times New Roman" w:hAnsi="Times New Roman" w:cs="Times New Roman"/>
          <w:sz w:val="24"/>
          <w:szCs w:val="24"/>
        </w:rPr>
        <w:lastRenderedPageBreak/>
        <w:t xml:space="preserve">argued that plaintiff had cited a non-existent party which rendered the proceedings a nullity. Secondly, </w:t>
      </w:r>
      <w:r w:rsidR="00C52201">
        <w:rPr>
          <w:rFonts w:ascii="Times New Roman" w:hAnsi="Times New Roman" w:cs="Times New Roman"/>
          <w:sz w:val="24"/>
          <w:szCs w:val="24"/>
        </w:rPr>
        <w:t xml:space="preserve">counsel submitted that </w:t>
      </w:r>
      <w:r w:rsidR="002F46B1">
        <w:rPr>
          <w:rFonts w:ascii="Times New Roman" w:hAnsi="Times New Roman" w:cs="Times New Roman"/>
          <w:sz w:val="24"/>
          <w:szCs w:val="24"/>
        </w:rPr>
        <w:t>plaintiff`s contention that its default amounted to a mere mis-citation was defeated by its failure to file an application for amendment of party.</w:t>
      </w:r>
    </w:p>
    <w:p w14:paraId="2131E5E2" w14:textId="43321447" w:rsidR="002F46B1" w:rsidRPr="00BC2116" w:rsidRDefault="002F46B1" w:rsidP="00B13041">
      <w:pPr>
        <w:pStyle w:val="FootnoteText"/>
        <w:spacing w:line="360" w:lineRule="auto"/>
        <w:jc w:val="both"/>
        <w:rPr>
          <w:rFonts w:ascii="Times New Roman" w:eastAsia="Calibri" w:hAnsi="Times New Roman" w:cs="Times New Roman"/>
          <w:sz w:val="24"/>
          <w:szCs w:val="24"/>
        </w:rPr>
      </w:pPr>
      <w:r w:rsidRPr="00BC2116">
        <w:rPr>
          <w:rFonts w:ascii="Times New Roman" w:hAnsi="Times New Roman" w:cs="Times New Roman"/>
          <w:sz w:val="24"/>
          <w:szCs w:val="24"/>
        </w:rPr>
        <w:t xml:space="preserve">[9] </w:t>
      </w:r>
      <w:r w:rsidR="00C52201">
        <w:rPr>
          <w:rFonts w:ascii="Times New Roman" w:hAnsi="Times New Roman" w:cs="Times New Roman"/>
          <w:sz w:val="24"/>
          <w:szCs w:val="24"/>
        </w:rPr>
        <w:t xml:space="preserve">Mr. </w:t>
      </w:r>
      <w:r w:rsidR="00C52201" w:rsidRPr="00C52201">
        <w:rPr>
          <w:rFonts w:ascii="Times New Roman" w:hAnsi="Times New Roman" w:cs="Times New Roman"/>
          <w:i/>
          <w:iCs/>
          <w:sz w:val="24"/>
          <w:szCs w:val="24"/>
        </w:rPr>
        <w:t>Nyahuma</w:t>
      </w:r>
      <w:r w:rsidR="00C52201">
        <w:rPr>
          <w:rFonts w:ascii="Times New Roman" w:hAnsi="Times New Roman" w:cs="Times New Roman"/>
          <w:sz w:val="24"/>
          <w:szCs w:val="24"/>
        </w:rPr>
        <w:t xml:space="preserve"> </w:t>
      </w:r>
      <w:r w:rsidRPr="00BC2116">
        <w:rPr>
          <w:rFonts w:ascii="Times New Roman" w:hAnsi="Times New Roman" w:cs="Times New Roman"/>
          <w:sz w:val="24"/>
          <w:szCs w:val="24"/>
        </w:rPr>
        <w:t xml:space="preserve">relied on a number of authorities </w:t>
      </w:r>
      <w:r w:rsidR="00B13041" w:rsidRPr="00BC2116">
        <w:rPr>
          <w:rFonts w:ascii="Times New Roman" w:hAnsi="Times New Roman" w:cs="Times New Roman"/>
          <w:sz w:val="24"/>
          <w:szCs w:val="24"/>
        </w:rPr>
        <w:t xml:space="preserve">including </w:t>
      </w:r>
      <w:r w:rsidR="00B13041" w:rsidRPr="00B13041">
        <w:rPr>
          <w:rFonts w:ascii="Times New Roman" w:hAnsi="Times New Roman" w:cs="Times New Roman"/>
          <w:i/>
          <w:iCs/>
          <w:sz w:val="24"/>
          <w:szCs w:val="24"/>
        </w:rPr>
        <w:t>Edmore Mapondera &amp; 55 Ors v Freda Rebecca Gold Mine Holdings</w:t>
      </w:r>
      <w:r w:rsidR="00B13041">
        <w:rPr>
          <w:rFonts w:ascii="Times New Roman" w:hAnsi="Times New Roman" w:cs="Times New Roman"/>
          <w:sz w:val="24"/>
          <w:szCs w:val="24"/>
        </w:rPr>
        <w:t xml:space="preserve"> SC 81-22</w:t>
      </w:r>
      <w:r w:rsidR="00C60E75">
        <w:rPr>
          <w:rFonts w:ascii="Times New Roman" w:hAnsi="Times New Roman" w:cs="Times New Roman"/>
          <w:sz w:val="24"/>
          <w:szCs w:val="24"/>
        </w:rPr>
        <w:t>,</w:t>
      </w:r>
      <w:r w:rsidR="00B13041">
        <w:rPr>
          <w:rFonts w:ascii="Times New Roman" w:hAnsi="Times New Roman" w:cs="Times New Roman"/>
          <w:sz w:val="24"/>
          <w:szCs w:val="24"/>
        </w:rPr>
        <w:t xml:space="preserve"> </w:t>
      </w:r>
      <w:r w:rsidR="00C52201" w:rsidRPr="009B2C0D">
        <w:rPr>
          <w:rFonts w:ascii="Times New Roman" w:hAnsi="Times New Roman" w:cs="Times New Roman"/>
          <w:i/>
          <w:iCs/>
          <w:sz w:val="24"/>
          <w:szCs w:val="24"/>
        </w:rPr>
        <w:t>Tinashe M. Zenda v Emirates Airlines &amp; 2 Ors</w:t>
      </w:r>
      <w:r w:rsidR="00C52201">
        <w:rPr>
          <w:rFonts w:ascii="Times New Roman" w:hAnsi="Times New Roman" w:cs="Times New Roman"/>
          <w:sz w:val="24"/>
          <w:szCs w:val="24"/>
        </w:rPr>
        <w:t xml:space="preserve"> HH 775-15, and</w:t>
      </w:r>
      <w:r w:rsidR="00B13041">
        <w:rPr>
          <w:rFonts w:ascii="Times New Roman" w:hAnsi="Times New Roman" w:cs="Times New Roman"/>
          <w:sz w:val="24"/>
          <w:szCs w:val="24"/>
        </w:rPr>
        <w:t xml:space="preserve"> </w:t>
      </w:r>
      <w:r w:rsidR="00B13041" w:rsidRPr="00B13041">
        <w:rPr>
          <w:rFonts w:ascii="Times New Roman" w:hAnsi="Times New Roman" w:cs="Times New Roman"/>
          <w:i/>
          <w:iCs/>
          <w:sz w:val="24"/>
          <w:szCs w:val="24"/>
        </w:rPr>
        <w:t>Fadzai</w:t>
      </w:r>
      <w:r w:rsidRPr="00B13041">
        <w:rPr>
          <w:rFonts w:ascii="Times New Roman" w:eastAsia="Calibri" w:hAnsi="Times New Roman" w:cs="Times New Roman"/>
          <w:i/>
          <w:iCs/>
          <w:sz w:val="24"/>
          <w:szCs w:val="24"/>
        </w:rPr>
        <w:t xml:space="preserve"> </w:t>
      </w:r>
      <w:r w:rsidRPr="00BC2116">
        <w:rPr>
          <w:rFonts w:ascii="Times New Roman" w:eastAsia="Calibri" w:hAnsi="Times New Roman" w:cs="Times New Roman"/>
          <w:i/>
          <w:sz w:val="24"/>
          <w:szCs w:val="24"/>
        </w:rPr>
        <w:t xml:space="preserve">John v Delta Beverages </w:t>
      </w:r>
      <w:r w:rsidR="00BC2116" w:rsidRPr="00BC2116">
        <w:rPr>
          <w:rFonts w:ascii="Times New Roman" w:eastAsia="Calibri" w:hAnsi="Times New Roman" w:cs="Times New Roman"/>
          <w:i/>
          <w:sz w:val="24"/>
          <w:szCs w:val="24"/>
        </w:rPr>
        <w:t xml:space="preserve">Limited SC </w:t>
      </w:r>
      <w:r w:rsidRPr="00BC2116">
        <w:rPr>
          <w:rFonts w:ascii="Times New Roman" w:eastAsia="Calibri" w:hAnsi="Times New Roman" w:cs="Times New Roman"/>
          <w:i/>
          <w:sz w:val="24"/>
          <w:szCs w:val="24"/>
        </w:rPr>
        <w:t xml:space="preserve"> </w:t>
      </w:r>
      <w:r w:rsidRPr="00B13041">
        <w:rPr>
          <w:rFonts w:ascii="Times New Roman" w:eastAsia="Calibri" w:hAnsi="Times New Roman" w:cs="Times New Roman"/>
          <w:iCs/>
          <w:sz w:val="24"/>
          <w:szCs w:val="24"/>
        </w:rPr>
        <w:t>40-17</w:t>
      </w:r>
      <w:r w:rsidRPr="00BC2116">
        <w:rPr>
          <w:rFonts w:ascii="Times New Roman" w:eastAsia="Calibri" w:hAnsi="Times New Roman" w:cs="Times New Roman"/>
          <w:i/>
          <w:sz w:val="24"/>
          <w:szCs w:val="24"/>
        </w:rPr>
        <w:t xml:space="preserve"> </w:t>
      </w:r>
      <w:r w:rsidRPr="00B13041">
        <w:rPr>
          <w:rFonts w:ascii="Times New Roman" w:eastAsia="Calibri" w:hAnsi="Times New Roman" w:cs="Times New Roman"/>
          <w:iCs/>
          <w:sz w:val="24"/>
          <w:szCs w:val="24"/>
        </w:rPr>
        <w:t xml:space="preserve">where </w:t>
      </w:r>
      <w:r w:rsidRPr="00B13041">
        <w:rPr>
          <w:rFonts w:ascii="Times New Roman" w:eastAsia="Calibri" w:hAnsi="Times New Roman" w:cs="Times New Roman"/>
          <w:iCs/>
          <w:smallCaps/>
          <w:sz w:val="24"/>
          <w:szCs w:val="24"/>
        </w:rPr>
        <w:t>guvava</w:t>
      </w:r>
      <w:r w:rsidRPr="00BC2116">
        <w:rPr>
          <w:rFonts w:ascii="Times New Roman" w:eastAsia="Calibri" w:hAnsi="Times New Roman" w:cs="Times New Roman"/>
          <w:sz w:val="24"/>
          <w:szCs w:val="24"/>
        </w:rPr>
        <w:t xml:space="preserve"> JA</w:t>
      </w:r>
      <w:r w:rsidRPr="00BC2116">
        <w:rPr>
          <w:rFonts w:ascii="Times New Roman" w:eastAsia="Calibri" w:hAnsi="Times New Roman" w:cs="Times New Roman"/>
          <w:i/>
          <w:sz w:val="24"/>
          <w:szCs w:val="24"/>
        </w:rPr>
        <w:t xml:space="preserve"> </w:t>
      </w:r>
      <w:r w:rsidRPr="00BC2116">
        <w:rPr>
          <w:rFonts w:ascii="Times New Roman" w:eastAsia="Calibri" w:hAnsi="Times New Roman" w:cs="Times New Roman"/>
          <w:sz w:val="24"/>
          <w:szCs w:val="24"/>
        </w:rPr>
        <w:t xml:space="preserve">said at </w:t>
      </w:r>
      <w:r w:rsidR="00BC2116" w:rsidRPr="00BC2116">
        <w:rPr>
          <w:rFonts w:ascii="Times New Roman" w:eastAsia="Calibri" w:hAnsi="Times New Roman" w:cs="Times New Roman"/>
          <w:sz w:val="24"/>
          <w:szCs w:val="24"/>
        </w:rPr>
        <w:t>page 5; -</w:t>
      </w:r>
    </w:p>
    <w:p w14:paraId="0CE45822" w14:textId="77777777" w:rsidR="002F46B1" w:rsidRPr="00BC2116" w:rsidRDefault="002F46B1" w:rsidP="00B13041">
      <w:pPr>
        <w:autoSpaceDE w:val="0"/>
        <w:autoSpaceDN w:val="0"/>
        <w:adjustRightInd w:val="0"/>
        <w:spacing w:after="0" w:line="360" w:lineRule="auto"/>
        <w:jc w:val="both"/>
        <w:rPr>
          <w:rFonts w:ascii="Times New Roman" w:eastAsia="Calibri" w:hAnsi="Times New Roman" w:cs="Times New Roman"/>
          <w:color w:val="000000"/>
          <w:kern w:val="0"/>
          <w:sz w:val="24"/>
          <w:szCs w:val="24"/>
          <w14:ligatures w14:val="none"/>
        </w:rPr>
      </w:pPr>
    </w:p>
    <w:p w14:paraId="50312688" w14:textId="5D912AF2" w:rsidR="002F46B1" w:rsidRDefault="002F46B1" w:rsidP="00B13041">
      <w:pPr>
        <w:autoSpaceDE w:val="0"/>
        <w:autoSpaceDN w:val="0"/>
        <w:adjustRightInd w:val="0"/>
        <w:spacing w:after="0" w:line="360" w:lineRule="auto"/>
        <w:ind w:left="851"/>
        <w:jc w:val="both"/>
        <w:rPr>
          <w:rFonts w:ascii="Times New Roman" w:eastAsia="Calibri" w:hAnsi="Times New Roman" w:cs="Times New Roman"/>
          <w:kern w:val="0"/>
          <w:sz w:val="24"/>
          <w:szCs w:val="24"/>
          <w14:ligatures w14:val="none"/>
        </w:rPr>
      </w:pPr>
      <w:r w:rsidRPr="002F46B1">
        <w:rPr>
          <w:rFonts w:ascii="Times New Roman" w:eastAsia="Calibri" w:hAnsi="Times New Roman" w:cs="Times New Roman"/>
          <w:color w:val="000000"/>
          <w:kern w:val="0"/>
          <w:sz w:val="24"/>
          <w:szCs w:val="24"/>
          <w14:ligatures w14:val="none"/>
        </w:rPr>
        <w:t xml:space="preserve">“The respondent highlighted that it has been cited as “Delta Beverages Limited” as opposed to Delta Beverages (Private) Limited. Applicant concedes this point in his answering papers. </w:t>
      </w:r>
      <w:r w:rsidRPr="002F46B1">
        <w:rPr>
          <w:rFonts w:ascii="Times New Roman" w:eastAsia="Calibri" w:hAnsi="Times New Roman" w:cs="Times New Roman"/>
          <w:kern w:val="0"/>
          <w:sz w:val="24"/>
          <w:szCs w:val="24"/>
          <w14:ligatures w14:val="none"/>
        </w:rPr>
        <w:t xml:space="preserve">In </w:t>
      </w:r>
      <w:r w:rsidRPr="002F46B1">
        <w:rPr>
          <w:rFonts w:ascii="Times New Roman" w:eastAsia="Calibri" w:hAnsi="Times New Roman" w:cs="Times New Roman"/>
          <w:i/>
          <w:iCs/>
          <w:kern w:val="0"/>
          <w:sz w:val="24"/>
          <w:szCs w:val="24"/>
          <w14:ligatures w14:val="none"/>
        </w:rPr>
        <w:t xml:space="preserve">Gariya Safaris (Pvt) Ltd </w:t>
      </w:r>
      <w:r w:rsidRPr="002F46B1">
        <w:rPr>
          <w:rFonts w:ascii="Times New Roman" w:eastAsia="Calibri" w:hAnsi="Times New Roman" w:cs="Times New Roman"/>
          <w:kern w:val="0"/>
          <w:sz w:val="24"/>
          <w:szCs w:val="24"/>
          <w14:ligatures w14:val="none"/>
        </w:rPr>
        <w:t>v</w:t>
      </w:r>
      <w:r w:rsidRPr="002F46B1">
        <w:rPr>
          <w:rFonts w:ascii="Times New Roman" w:eastAsia="Calibri" w:hAnsi="Times New Roman" w:cs="Times New Roman"/>
          <w:i/>
          <w:iCs/>
          <w:kern w:val="0"/>
          <w:sz w:val="24"/>
          <w:szCs w:val="24"/>
          <w14:ligatures w14:val="none"/>
        </w:rPr>
        <w:t xml:space="preserve"> van Wyk</w:t>
      </w:r>
      <w:r w:rsidRPr="002F46B1">
        <w:rPr>
          <w:rFonts w:ascii="Times New Roman" w:eastAsia="Calibri" w:hAnsi="Times New Roman" w:cs="Times New Roman"/>
          <w:kern w:val="0"/>
          <w:sz w:val="24"/>
          <w:szCs w:val="24"/>
          <w14:ligatures w14:val="none"/>
        </w:rPr>
        <w:t xml:space="preserve"> it was stated as follows: “A summons has legal force and effect when it is issued by the plaintiff against an existing legal or natural person. If there is no legal or natural person answering to the names written in the summons as being those of the defendant, the summons is null and void </w:t>
      </w:r>
      <w:r w:rsidRPr="002F46B1">
        <w:rPr>
          <w:rFonts w:ascii="Times New Roman" w:eastAsia="Calibri" w:hAnsi="Times New Roman" w:cs="Times New Roman"/>
          <w:i/>
          <w:iCs/>
          <w:kern w:val="0"/>
          <w:sz w:val="24"/>
          <w:szCs w:val="24"/>
          <w14:ligatures w14:val="none"/>
        </w:rPr>
        <w:t xml:space="preserve">ab initio.” </w:t>
      </w:r>
      <w:r w:rsidRPr="002F46B1">
        <w:rPr>
          <w:rFonts w:ascii="Times New Roman" w:eastAsia="Calibri" w:hAnsi="Times New Roman" w:cs="Times New Roman"/>
          <w:kern w:val="0"/>
          <w:sz w:val="24"/>
          <w:szCs w:val="24"/>
          <w14:ligatures w14:val="none"/>
        </w:rPr>
        <w:t>In this case the applicant cited a non-existent respondent. Thus in the same vein the application was a nullity”</w:t>
      </w:r>
      <w:r w:rsidR="00B13041">
        <w:rPr>
          <w:rFonts w:ascii="Times New Roman" w:eastAsia="Calibri" w:hAnsi="Times New Roman" w:cs="Times New Roman"/>
          <w:kern w:val="0"/>
          <w:sz w:val="24"/>
          <w:szCs w:val="24"/>
          <w14:ligatures w14:val="none"/>
        </w:rPr>
        <w:t>.</w:t>
      </w:r>
    </w:p>
    <w:p w14:paraId="0257BB12" w14:textId="77777777" w:rsidR="005726EE" w:rsidRPr="00BC2116" w:rsidRDefault="005726EE" w:rsidP="005726EE">
      <w:pPr>
        <w:autoSpaceDE w:val="0"/>
        <w:autoSpaceDN w:val="0"/>
        <w:adjustRightInd w:val="0"/>
        <w:spacing w:after="0" w:line="360" w:lineRule="auto"/>
        <w:jc w:val="both"/>
        <w:rPr>
          <w:rFonts w:ascii="Times New Roman" w:hAnsi="Times New Roman" w:cs="Times New Roman"/>
          <w:sz w:val="24"/>
          <w:szCs w:val="24"/>
        </w:rPr>
      </w:pPr>
    </w:p>
    <w:p w14:paraId="5317E502" w14:textId="68B7F1F7" w:rsidR="000B4186" w:rsidRDefault="00B13041" w:rsidP="00D62D0F">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sidR="005726EE">
        <w:rPr>
          <w:rFonts w:ascii="Times New Roman" w:hAnsi="Times New Roman" w:cs="Times New Roman"/>
          <w:sz w:val="24"/>
          <w:szCs w:val="24"/>
        </w:rPr>
        <w:t xml:space="preserve">] Ms </w:t>
      </w:r>
      <w:r w:rsidR="005726EE" w:rsidRPr="005726EE">
        <w:rPr>
          <w:rFonts w:ascii="Times New Roman" w:hAnsi="Times New Roman" w:cs="Times New Roman"/>
          <w:i/>
          <w:iCs/>
          <w:sz w:val="24"/>
          <w:szCs w:val="24"/>
        </w:rPr>
        <w:t xml:space="preserve">Muzorori </w:t>
      </w:r>
      <w:r w:rsidR="005726EE">
        <w:rPr>
          <w:rFonts w:ascii="Times New Roman" w:hAnsi="Times New Roman" w:cs="Times New Roman"/>
          <w:sz w:val="24"/>
          <w:szCs w:val="24"/>
        </w:rPr>
        <w:t xml:space="preserve">for the plaintiff took the position that the discrepancy in citing defendant was of minimal effect. According to counsel, </w:t>
      </w:r>
      <w:r w:rsidR="005726EE" w:rsidRPr="000B4186">
        <w:rPr>
          <w:rFonts w:ascii="Times New Roman" w:hAnsi="Times New Roman" w:cs="Times New Roman"/>
          <w:i/>
          <w:iCs/>
          <w:sz w:val="24"/>
          <w:szCs w:val="24"/>
        </w:rPr>
        <w:t>“Pleadings are not statutes that require purposive or teleological interpretation.</w:t>
      </w:r>
      <w:r w:rsidR="005726EE">
        <w:rPr>
          <w:rFonts w:ascii="Times New Roman" w:hAnsi="Times New Roman" w:cs="Times New Roman"/>
          <w:sz w:val="24"/>
          <w:szCs w:val="24"/>
        </w:rPr>
        <w:t xml:space="preserve">” In that regard, the error could be corrected to no significant prejudice to defendant.  </w:t>
      </w:r>
    </w:p>
    <w:p w14:paraId="22E4DEDF" w14:textId="4ED29F5B" w:rsidR="000B4186" w:rsidRDefault="000B4186" w:rsidP="00D62D0F">
      <w:pPr>
        <w:spacing w:line="360" w:lineRule="auto"/>
        <w:jc w:val="both"/>
        <w:rPr>
          <w:rFonts w:ascii="Times New Roman" w:hAnsi="Times New Roman" w:cs="Times New Roman"/>
          <w:sz w:val="24"/>
          <w:szCs w:val="24"/>
        </w:rPr>
      </w:pPr>
      <w:r>
        <w:rPr>
          <w:rFonts w:ascii="Times New Roman" w:hAnsi="Times New Roman" w:cs="Times New Roman"/>
          <w:sz w:val="24"/>
          <w:szCs w:val="24"/>
        </w:rPr>
        <w:t>THE L</w:t>
      </w:r>
      <w:r w:rsidR="004C3419">
        <w:rPr>
          <w:rFonts w:ascii="Times New Roman" w:hAnsi="Times New Roman" w:cs="Times New Roman"/>
          <w:sz w:val="24"/>
          <w:szCs w:val="24"/>
        </w:rPr>
        <w:t>AW</w:t>
      </w:r>
    </w:p>
    <w:p w14:paraId="0FE360BC" w14:textId="2A406AC6" w:rsidR="000B4186" w:rsidRPr="000B4186" w:rsidRDefault="000B4186" w:rsidP="00D62D0F">
      <w:pPr>
        <w:spacing w:line="360" w:lineRule="auto"/>
        <w:jc w:val="both"/>
        <w:rPr>
          <w:rFonts w:ascii="Times New Roman" w:hAnsi="Times New Roman" w:cs="Times New Roman"/>
          <w:sz w:val="24"/>
          <w:szCs w:val="24"/>
        </w:rPr>
      </w:pPr>
      <w:r w:rsidRPr="000B4186">
        <w:rPr>
          <w:rFonts w:ascii="Times New Roman" w:hAnsi="Times New Roman" w:cs="Times New Roman"/>
          <w:sz w:val="24"/>
          <w:szCs w:val="24"/>
        </w:rPr>
        <w:t xml:space="preserve">[11] The </w:t>
      </w:r>
      <w:r w:rsidR="006549AB">
        <w:rPr>
          <w:rFonts w:ascii="Times New Roman" w:hAnsi="Times New Roman" w:cs="Times New Roman"/>
          <w:sz w:val="24"/>
          <w:szCs w:val="24"/>
        </w:rPr>
        <w:t xml:space="preserve">legal </w:t>
      </w:r>
      <w:r w:rsidRPr="000B4186">
        <w:rPr>
          <w:rFonts w:ascii="Times New Roman" w:hAnsi="Times New Roman" w:cs="Times New Roman"/>
          <w:sz w:val="24"/>
          <w:szCs w:val="24"/>
        </w:rPr>
        <w:t xml:space="preserve">position regarding wrong citation of a party is well-settled. </w:t>
      </w:r>
      <w:r w:rsidR="00C60E75">
        <w:rPr>
          <w:rFonts w:ascii="Times New Roman" w:hAnsi="Times New Roman" w:cs="Times New Roman"/>
          <w:sz w:val="24"/>
          <w:szCs w:val="24"/>
        </w:rPr>
        <w:t xml:space="preserve">At the heart of it is a simple formula. Do the </w:t>
      </w:r>
      <w:r w:rsidRPr="000B4186">
        <w:rPr>
          <w:rFonts w:ascii="Times New Roman" w:hAnsi="Times New Roman" w:cs="Times New Roman"/>
          <w:sz w:val="24"/>
          <w:szCs w:val="24"/>
        </w:rPr>
        <w:t>summons identif</w:t>
      </w:r>
      <w:r w:rsidR="00C60E75">
        <w:rPr>
          <w:rFonts w:ascii="Times New Roman" w:hAnsi="Times New Roman" w:cs="Times New Roman"/>
          <w:sz w:val="24"/>
          <w:szCs w:val="24"/>
        </w:rPr>
        <w:t xml:space="preserve">y </w:t>
      </w:r>
      <w:r w:rsidRPr="000B4186">
        <w:rPr>
          <w:rFonts w:ascii="Times New Roman" w:hAnsi="Times New Roman" w:cs="Times New Roman"/>
          <w:sz w:val="24"/>
          <w:szCs w:val="24"/>
        </w:rPr>
        <w:t xml:space="preserve">the </w:t>
      </w:r>
      <w:r w:rsidR="00C60E75">
        <w:rPr>
          <w:rFonts w:ascii="Times New Roman" w:hAnsi="Times New Roman" w:cs="Times New Roman"/>
          <w:sz w:val="24"/>
          <w:szCs w:val="24"/>
        </w:rPr>
        <w:t xml:space="preserve">necessary </w:t>
      </w:r>
      <w:r w:rsidRPr="000B4186">
        <w:rPr>
          <w:rFonts w:ascii="Times New Roman" w:hAnsi="Times New Roman" w:cs="Times New Roman"/>
          <w:sz w:val="24"/>
          <w:szCs w:val="24"/>
        </w:rPr>
        <w:t>contestants whose conflicting interests constitute</w:t>
      </w:r>
      <w:r w:rsidR="00C60E75">
        <w:rPr>
          <w:rFonts w:ascii="Times New Roman" w:hAnsi="Times New Roman" w:cs="Times New Roman"/>
          <w:sz w:val="24"/>
          <w:szCs w:val="24"/>
        </w:rPr>
        <w:t xml:space="preserve"> the </w:t>
      </w:r>
      <w:r w:rsidRPr="000B4186">
        <w:rPr>
          <w:rFonts w:ascii="Times New Roman" w:hAnsi="Times New Roman" w:cs="Times New Roman"/>
          <w:sz w:val="24"/>
          <w:szCs w:val="24"/>
        </w:rPr>
        <w:t>controversy</w:t>
      </w:r>
      <w:r w:rsidR="00C60E75">
        <w:rPr>
          <w:rFonts w:ascii="Times New Roman" w:hAnsi="Times New Roman" w:cs="Times New Roman"/>
          <w:sz w:val="24"/>
          <w:szCs w:val="24"/>
        </w:rPr>
        <w:t xml:space="preserve"> born of a causa?</w:t>
      </w:r>
      <w:r w:rsidRPr="000B4186">
        <w:rPr>
          <w:rFonts w:ascii="Times New Roman" w:hAnsi="Times New Roman" w:cs="Times New Roman"/>
          <w:sz w:val="24"/>
          <w:szCs w:val="24"/>
        </w:rPr>
        <w:t xml:space="preserve"> This court articulated </w:t>
      </w:r>
      <w:r w:rsidR="00C60E75" w:rsidRPr="000B4186">
        <w:rPr>
          <w:rFonts w:ascii="Times New Roman" w:hAnsi="Times New Roman" w:cs="Times New Roman"/>
          <w:sz w:val="24"/>
          <w:szCs w:val="24"/>
        </w:rPr>
        <w:t>th</w:t>
      </w:r>
      <w:r w:rsidR="00C60E75">
        <w:rPr>
          <w:rFonts w:ascii="Times New Roman" w:hAnsi="Times New Roman" w:cs="Times New Roman"/>
          <w:sz w:val="24"/>
          <w:szCs w:val="24"/>
        </w:rPr>
        <w:t xml:space="preserve">at </w:t>
      </w:r>
      <w:r w:rsidR="00C60E75" w:rsidRPr="000B4186">
        <w:rPr>
          <w:rFonts w:ascii="Times New Roman" w:hAnsi="Times New Roman" w:cs="Times New Roman"/>
          <w:sz w:val="24"/>
          <w:szCs w:val="24"/>
        </w:rPr>
        <w:t>position</w:t>
      </w:r>
      <w:r w:rsidRPr="000B4186">
        <w:rPr>
          <w:rFonts w:ascii="Times New Roman" w:hAnsi="Times New Roman" w:cs="Times New Roman"/>
          <w:sz w:val="24"/>
          <w:szCs w:val="24"/>
        </w:rPr>
        <w:t xml:space="preserve"> </w:t>
      </w:r>
      <w:r w:rsidR="00C60E75">
        <w:rPr>
          <w:rFonts w:ascii="Times New Roman" w:hAnsi="Times New Roman" w:cs="Times New Roman"/>
          <w:sz w:val="24"/>
          <w:szCs w:val="24"/>
        </w:rPr>
        <w:t xml:space="preserve">with clarity </w:t>
      </w:r>
      <w:r w:rsidRPr="000B4186">
        <w:rPr>
          <w:rFonts w:ascii="Times New Roman" w:hAnsi="Times New Roman" w:cs="Times New Roman"/>
          <w:sz w:val="24"/>
          <w:szCs w:val="24"/>
        </w:rPr>
        <w:t xml:space="preserve">in </w:t>
      </w:r>
      <w:r w:rsidRPr="000B4186">
        <w:rPr>
          <w:rFonts w:ascii="Times New Roman" w:hAnsi="Times New Roman" w:cs="Times New Roman"/>
          <w:i/>
          <w:iCs/>
          <w:sz w:val="24"/>
          <w:szCs w:val="24"/>
        </w:rPr>
        <w:t>Gariya Safaris (Pvt) Ltd v Van Vyk</w:t>
      </w:r>
      <w:r w:rsidRPr="000B4186">
        <w:rPr>
          <w:rFonts w:ascii="Times New Roman" w:hAnsi="Times New Roman" w:cs="Times New Roman"/>
          <w:sz w:val="24"/>
          <w:szCs w:val="24"/>
        </w:rPr>
        <w:t xml:space="preserve"> 1996 (2) ZLR 246 (H), per MALABA J (as he then was), where he held that at page 252; -</w:t>
      </w:r>
    </w:p>
    <w:p w14:paraId="5EE52A6C" w14:textId="7DA5F277" w:rsidR="000B4186" w:rsidRDefault="000B4186" w:rsidP="000B4186">
      <w:pPr>
        <w:spacing w:line="360" w:lineRule="auto"/>
        <w:ind w:left="851"/>
        <w:jc w:val="both"/>
        <w:rPr>
          <w:rFonts w:ascii="Times New Roman" w:hAnsi="Times New Roman" w:cs="Times New Roman"/>
          <w:sz w:val="24"/>
          <w:szCs w:val="24"/>
        </w:rPr>
      </w:pPr>
      <w:r w:rsidRPr="000B4186">
        <w:rPr>
          <w:rFonts w:ascii="Times New Roman" w:hAnsi="Times New Roman" w:cs="Times New Roman"/>
          <w:sz w:val="24"/>
          <w:szCs w:val="24"/>
        </w:rPr>
        <w:t xml:space="preserve">“In cases where orders of substitution were granted, </w:t>
      </w:r>
      <w:r w:rsidRPr="00C60E75">
        <w:rPr>
          <w:rFonts w:ascii="Times New Roman" w:hAnsi="Times New Roman" w:cs="Times New Roman"/>
          <w:sz w:val="24"/>
          <w:szCs w:val="24"/>
          <w:u w:val="single"/>
        </w:rPr>
        <w:t>there were, at least, existing parties with causes between them. The court had parties before it whether one of them was the wrong person to be a party or not. In other words, there was in each of the cases a legal persona or a natural person to be substituted. The proceedings were valid.</w:t>
      </w:r>
      <w:r w:rsidRPr="000B4186">
        <w:rPr>
          <w:rFonts w:ascii="Times New Roman" w:hAnsi="Times New Roman" w:cs="Times New Roman"/>
          <w:sz w:val="24"/>
          <w:szCs w:val="24"/>
        </w:rPr>
        <w:t xml:space="preserve"> </w:t>
      </w:r>
      <w:r w:rsidRPr="000B4186">
        <w:rPr>
          <w:rFonts w:ascii="Times New Roman" w:hAnsi="Times New Roman" w:cs="Times New Roman"/>
          <w:sz w:val="24"/>
          <w:szCs w:val="24"/>
        </w:rPr>
        <w:lastRenderedPageBreak/>
        <w:t>The question was whether or not the court should exercise its discretion to order the substitution of one person for another as a party to the action”</w:t>
      </w:r>
      <w:r w:rsidR="00901B3B">
        <w:rPr>
          <w:rStyle w:val="FootnoteReference"/>
          <w:rFonts w:ascii="Times New Roman" w:hAnsi="Times New Roman" w:cs="Times New Roman"/>
          <w:sz w:val="24"/>
          <w:szCs w:val="24"/>
        </w:rPr>
        <w:footnoteReference w:id="2"/>
      </w:r>
      <w:r w:rsidR="00C60E75">
        <w:rPr>
          <w:rFonts w:ascii="Times New Roman" w:hAnsi="Times New Roman" w:cs="Times New Roman"/>
          <w:sz w:val="24"/>
          <w:szCs w:val="24"/>
        </w:rPr>
        <w:t>.</w:t>
      </w:r>
      <w:r w:rsidR="00901B3B">
        <w:rPr>
          <w:rFonts w:ascii="Times New Roman" w:hAnsi="Times New Roman" w:cs="Times New Roman"/>
          <w:sz w:val="24"/>
          <w:szCs w:val="24"/>
        </w:rPr>
        <w:t xml:space="preserve"> [ Underlined for emphasis].</w:t>
      </w:r>
    </w:p>
    <w:p w14:paraId="1BAA3852" w14:textId="1A947DB7" w:rsidR="009B2C0D" w:rsidRDefault="00C60E75" w:rsidP="00C60E75">
      <w:pPr>
        <w:spacing w:line="360" w:lineRule="auto"/>
        <w:jc w:val="both"/>
        <w:rPr>
          <w:rFonts w:ascii="Times New Roman" w:hAnsi="Times New Roman" w:cs="Times New Roman"/>
          <w:sz w:val="24"/>
          <w:szCs w:val="24"/>
        </w:rPr>
      </w:pPr>
      <w:r>
        <w:rPr>
          <w:rFonts w:ascii="Times New Roman" w:hAnsi="Times New Roman" w:cs="Times New Roman"/>
          <w:sz w:val="24"/>
          <w:szCs w:val="24"/>
        </w:rPr>
        <w:t>[12] This reasoning was followed in a number of decisions</w:t>
      </w:r>
      <w:r w:rsidR="00CB7357">
        <w:rPr>
          <w:rFonts w:ascii="Times New Roman" w:hAnsi="Times New Roman" w:cs="Times New Roman"/>
          <w:sz w:val="24"/>
          <w:szCs w:val="24"/>
        </w:rPr>
        <w:t xml:space="preserve"> including those referred to by Mr. </w:t>
      </w:r>
      <w:r w:rsidR="00CB7357" w:rsidRPr="00CB7357">
        <w:rPr>
          <w:rFonts w:ascii="Times New Roman" w:hAnsi="Times New Roman" w:cs="Times New Roman"/>
          <w:i/>
          <w:iCs/>
          <w:sz w:val="24"/>
          <w:szCs w:val="24"/>
        </w:rPr>
        <w:t>Nyahuma</w:t>
      </w:r>
      <w:r>
        <w:rPr>
          <w:rFonts w:ascii="Times New Roman" w:hAnsi="Times New Roman" w:cs="Times New Roman"/>
          <w:sz w:val="24"/>
          <w:szCs w:val="24"/>
        </w:rPr>
        <w:t xml:space="preserve">. </w:t>
      </w:r>
      <w:r w:rsidR="009B2C0D">
        <w:rPr>
          <w:rFonts w:ascii="Times New Roman" w:hAnsi="Times New Roman" w:cs="Times New Roman"/>
          <w:sz w:val="24"/>
          <w:szCs w:val="24"/>
        </w:rPr>
        <w:t xml:space="preserve">In </w:t>
      </w:r>
      <w:r w:rsidR="009B2C0D" w:rsidRPr="009B2C0D">
        <w:rPr>
          <w:rFonts w:ascii="Times New Roman" w:hAnsi="Times New Roman" w:cs="Times New Roman"/>
          <w:i/>
          <w:iCs/>
          <w:sz w:val="24"/>
          <w:szCs w:val="24"/>
        </w:rPr>
        <w:t>Tinashe M. Zenda v Emirates Airlines &amp; 2 Ors</w:t>
      </w:r>
      <w:r w:rsidR="009B2C0D">
        <w:rPr>
          <w:rFonts w:ascii="Times New Roman" w:hAnsi="Times New Roman" w:cs="Times New Roman"/>
          <w:sz w:val="24"/>
          <w:szCs w:val="24"/>
        </w:rPr>
        <w:t xml:space="preserve"> </w:t>
      </w:r>
      <w:r w:rsidR="00C52201">
        <w:rPr>
          <w:rFonts w:ascii="Times New Roman" w:hAnsi="Times New Roman" w:cs="Times New Roman"/>
          <w:sz w:val="24"/>
          <w:szCs w:val="24"/>
        </w:rPr>
        <w:t>(supra</w:t>
      </w:r>
      <w:r w:rsidR="006549AB">
        <w:rPr>
          <w:rFonts w:ascii="Times New Roman" w:hAnsi="Times New Roman" w:cs="Times New Roman"/>
          <w:sz w:val="24"/>
          <w:szCs w:val="24"/>
        </w:rPr>
        <w:t>),</w:t>
      </w:r>
      <w:r w:rsidR="009B2C0D">
        <w:rPr>
          <w:rFonts w:ascii="Times New Roman" w:hAnsi="Times New Roman" w:cs="Times New Roman"/>
          <w:sz w:val="24"/>
          <w:szCs w:val="24"/>
        </w:rPr>
        <w:t xml:space="preserve"> MATANDA-MOYO J held as follows at page 2; -</w:t>
      </w:r>
    </w:p>
    <w:p w14:paraId="2152DC65" w14:textId="45B56687" w:rsidR="009B2C0D" w:rsidRDefault="009B2C0D" w:rsidP="009B2C0D">
      <w:pPr>
        <w:spacing w:line="360" w:lineRule="auto"/>
        <w:ind w:left="851"/>
        <w:jc w:val="both"/>
        <w:rPr>
          <w:rFonts w:ascii="Times New Roman" w:hAnsi="Times New Roman" w:cs="Times New Roman"/>
          <w:sz w:val="24"/>
          <w:szCs w:val="24"/>
        </w:rPr>
      </w:pPr>
      <w:r>
        <w:rPr>
          <w:rFonts w:ascii="Times New Roman" w:eastAsia="Calibri" w:hAnsi="Times New Roman" w:cs="Times New Roman"/>
          <w:kern w:val="0"/>
          <w:sz w:val="24"/>
          <w:szCs w:val="24"/>
          <w14:ligatures w14:val="none"/>
        </w:rPr>
        <w:t>“</w:t>
      </w:r>
      <w:r w:rsidRPr="009B2C0D">
        <w:rPr>
          <w:rFonts w:ascii="Times New Roman" w:eastAsia="Calibri" w:hAnsi="Times New Roman" w:cs="Times New Roman"/>
          <w:kern w:val="0"/>
          <w:sz w:val="24"/>
          <w:szCs w:val="24"/>
          <w14:ligatures w14:val="none"/>
        </w:rPr>
        <w:t xml:space="preserve">The law with regards to proper citation of persons is trite. Where a misdescription involves the citation of a non-existent persona, such pleadings are a nullity </w:t>
      </w:r>
      <w:r w:rsidRPr="009B2C0D">
        <w:rPr>
          <w:rFonts w:ascii="Times New Roman" w:eastAsia="Calibri" w:hAnsi="Times New Roman" w:cs="Times New Roman"/>
          <w:i/>
          <w:kern w:val="0"/>
          <w:sz w:val="24"/>
          <w:szCs w:val="24"/>
          <w14:ligatures w14:val="none"/>
        </w:rPr>
        <w:t>abinitio</w:t>
      </w:r>
      <w:r w:rsidRPr="009B2C0D">
        <w:rPr>
          <w:rFonts w:ascii="Times New Roman" w:eastAsia="Calibri" w:hAnsi="Times New Roman" w:cs="Times New Roman"/>
          <w:kern w:val="0"/>
          <w:sz w:val="24"/>
          <w:szCs w:val="24"/>
          <w14:ligatures w14:val="none"/>
        </w:rPr>
        <w:t>. Such person lacks legal personality and cannot therefore sue or be sued</w:t>
      </w:r>
      <w:r>
        <w:rPr>
          <w:rFonts w:ascii="Times New Roman" w:eastAsia="Calibri" w:hAnsi="Times New Roman" w:cs="Times New Roman"/>
          <w:kern w:val="0"/>
          <w:sz w:val="24"/>
          <w:szCs w:val="24"/>
          <w14:ligatures w14:val="none"/>
        </w:rPr>
        <w:t>.”</w:t>
      </w:r>
    </w:p>
    <w:p w14:paraId="1B466070" w14:textId="605BB93A" w:rsidR="00CB7357" w:rsidRDefault="009B2C0D" w:rsidP="00C60E75">
      <w:pPr>
        <w:spacing w:line="360" w:lineRule="auto"/>
        <w:jc w:val="both"/>
        <w:rPr>
          <w:rFonts w:ascii="Times New Roman" w:hAnsi="Times New Roman" w:cs="Times New Roman"/>
          <w:sz w:val="24"/>
          <w:szCs w:val="24"/>
        </w:rPr>
      </w:pPr>
      <w:r>
        <w:rPr>
          <w:rFonts w:ascii="Times New Roman" w:hAnsi="Times New Roman" w:cs="Times New Roman"/>
          <w:sz w:val="24"/>
          <w:szCs w:val="24"/>
        </w:rPr>
        <w:t>[13] Similarly, in</w:t>
      </w:r>
      <w:r w:rsidR="00C60E75">
        <w:rPr>
          <w:rFonts w:ascii="Times New Roman" w:hAnsi="Times New Roman" w:cs="Times New Roman"/>
          <w:sz w:val="24"/>
          <w:szCs w:val="24"/>
        </w:rPr>
        <w:t xml:space="preserve"> </w:t>
      </w:r>
      <w:r w:rsidR="00901B3B" w:rsidRPr="00C60E75">
        <w:rPr>
          <w:rFonts w:ascii="Times New Roman" w:hAnsi="Times New Roman" w:cs="Times New Roman"/>
          <w:i/>
          <w:iCs/>
          <w:sz w:val="24"/>
          <w:szCs w:val="24"/>
        </w:rPr>
        <w:t>Amos Makono &amp; 32 Ors v Freda Rebecca Gold Mine</w:t>
      </w:r>
      <w:r w:rsidR="00901B3B">
        <w:rPr>
          <w:rFonts w:ascii="Times New Roman" w:hAnsi="Times New Roman" w:cs="Times New Roman"/>
          <w:i/>
          <w:iCs/>
          <w:sz w:val="24"/>
          <w:szCs w:val="24"/>
        </w:rPr>
        <w:t xml:space="preserve"> </w:t>
      </w:r>
      <w:r w:rsidR="00901B3B" w:rsidRPr="00901B3B">
        <w:rPr>
          <w:rFonts w:ascii="Times New Roman" w:hAnsi="Times New Roman" w:cs="Times New Roman"/>
          <w:sz w:val="24"/>
          <w:szCs w:val="24"/>
        </w:rPr>
        <w:t>(supra),</w:t>
      </w:r>
      <w:r w:rsidR="00901B3B">
        <w:rPr>
          <w:rFonts w:ascii="Times New Roman" w:hAnsi="Times New Roman" w:cs="Times New Roman"/>
          <w:sz w:val="24"/>
          <w:szCs w:val="24"/>
        </w:rPr>
        <w:t xml:space="preserve"> this court </w:t>
      </w:r>
      <w:r w:rsidR="00CB7357">
        <w:rPr>
          <w:rFonts w:ascii="Times New Roman" w:hAnsi="Times New Roman" w:cs="Times New Roman"/>
          <w:sz w:val="24"/>
          <w:szCs w:val="24"/>
        </w:rPr>
        <w:t>reviewed the abundancy of legal guidance</w:t>
      </w:r>
      <w:r w:rsidR="004C3419">
        <w:rPr>
          <w:rStyle w:val="FootnoteReference"/>
          <w:rFonts w:ascii="Times New Roman" w:hAnsi="Times New Roman" w:cs="Times New Roman"/>
          <w:sz w:val="24"/>
          <w:szCs w:val="24"/>
        </w:rPr>
        <w:footnoteReference w:id="3"/>
      </w:r>
      <w:r w:rsidR="00CB7357">
        <w:rPr>
          <w:rFonts w:ascii="Times New Roman" w:hAnsi="Times New Roman" w:cs="Times New Roman"/>
          <w:sz w:val="24"/>
          <w:szCs w:val="24"/>
        </w:rPr>
        <w:t xml:space="preserve"> on the </w:t>
      </w:r>
      <w:r>
        <w:rPr>
          <w:rFonts w:ascii="Times New Roman" w:hAnsi="Times New Roman" w:cs="Times New Roman"/>
          <w:sz w:val="24"/>
          <w:szCs w:val="24"/>
        </w:rPr>
        <w:t xml:space="preserve">consequences of </w:t>
      </w:r>
      <w:r w:rsidR="00CB7357">
        <w:rPr>
          <w:rFonts w:ascii="Times New Roman" w:hAnsi="Times New Roman" w:cs="Times New Roman"/>
          <w:sz w:val="24"/>
          <w:szCs w:val="24"/>
        </w:rPr>
        <w:t xml:space="preserve">defective citation of a party in a summons or other legal process.  </w:t>
      </w:r>
      <w:r>
        <w:rPr>
          <w:rFonts w:ascii="Times New Roman" w:hAnsi="Times New Roman" w:cs="Times New Roman"/>
          <w:sz w:val="24"/>
          <w:szCs w:val="24"/>
        </w:rPr>
        <w:t xml:space="preserve">CHATUKUTA </w:t>
      </w:r>
      <w:r w:rsidR="004E020D">
        <w:rPr>
          <w:rFonts w:ascii="Times New Roman" w:hAnsi="Times New Roman" w:cs="Times New Roman"/>
          <w:sz w:val="24"/>
          <w:szCs w:val="24"/>
        </w:rPr>
        <w:t>J after adopting</w:t>
      </w:r>
      <w:r>
        <w:rPr>
          <w:rFonts w:ascii="Times New Roman" w:hAnsi="Times New Roman" w:cs="Times New Roman"/>
          <w:sz w:val="24"/>
          <w:szCs w:val="24"/>
        </w:rPr>
        <w:t xml:space="preserve"> </w:t>
      </w:r>
      <w:r w:rsidR="00CB7357">
        <w:rPr>
          <w:rFonts w:ascii="Times New Roman" w:hAnsi="Times New Roman" w:cs="Times New Roman"/>
          <w:sz w:val="24"/>
          <w:szCs w:val="24"/>
        </w:rPr>
        <w:t xml:space="preserve">the same view taken in </w:t>
      </w:r>
      <w:r w:rsidR="00CB7357" w:rsidRPr="00CB7357">
        <w:rPr>
          <w:rFonts w:ascii="Times New Roman" w:hAnsi="Times New Roman" w:cs="Times New Roman"/>
          <w:i/>
          <w:iCs/>
          <w:sz w:val="24"/>
          <w:szCs w:val="24"/>
        </w:rPr>
        <w:t>Gariya Safaris</w:t>
      </w:r>
      <w:r w:rsidR="00CB7357">
        <w:rPr>
          <w:rFonts w:ascii="Times New Roman" w:hAnsi="Times New Roman" w:cs="Times New Roman"/>
          <w:sz w:val="24"/>
          <w:szCs w:val="24"/>
        </w:rPr>
        <w:t xml:space="preserve"> that the question ultimately devolved to whether an existing legal persona had been </w:t>
      </w:r>
      <w:r w:rsidR="004E020D">
        <w:rPr>
          <w:rFonts w:ascii="Times New Roman" w:hAnsi="Times New Roman" w:cs="Times New Roman"/>
          <w:sz w:val="24"/>
          <w:szCs w:val="24"/>
        </w:rPr>
        <w:t>cited, concluded by observing [at page</w:t>
      </w:r>
      <w:r>
        <w:rPr>
          <w:rFonts w:ascii="Times New Roman" w:hAnsi="Times New Roman" w:cs="Times New Roman"/>
          <w:sz w:val="24"/>
          <w:szCs w:val="24"/>
        </w:rPr>
        <w:t xml:space="preserve"> </w:t>
      </w:r>
      <w:r w:rsidR="004E020D">
        <w:rPr>
          <w:rFonts w:ascii="Times New Roman" w:hAnsi="Times New Roman" w:cs="Times New Roman"/>
          <w:sz w:val="24"/>
          <w:szCs w:val="24"/>
        </w:rPr>
        <w:t>4</w:t>
      </w:r>
      <w:r>
        <w:rPr>
          <w:rFonts w:ascii="Times New Roman" w:hAnsi="Times New Roman" w:cs="Times New Roman"/>
          <w:sz w:val="24"/>
          <w:szCs w:val="24"/>
        </w:rPr>
        <w:t>]</w:t>
      </w:r>
      <w:r w:rsidR="004E020D">
        <w:rPr>
          <w:rFonts w:ascii="Times New Roman" w:hAnsi="Times New Roman" w:cs="Times New Roman"/>
          <w:sz w:val="24"/>
          <w:szCs w:val="24"/>
        </w:rPr>
        <w:t xml:space="preserve">, </w:t>
      </w:r>
      <w:r w:rsidR="00C52201">
        <w:rPr>
          <w:rFonts w:ascii="Times New Roman" w:hAnsi="Times New Roman" w:cs="Times New Roman"/>
          <w:sz w:val="24"/>
          <w:szCs w:val="24"/>
        </w:rPr>
        <w:t>that; -</w:t>
      </w:r>
    </w:p>
    <w:p w14:paraId="7A917666" w14:textId="72DDD43E" w:rsidR="004C6D24" w:rsidRDefault="00CB7357" w:rsidP="004E020D">
      <w:pPr>
        <w:spacing w:after="0" w:line="360" w:lineRule="auto"/>
        <w:ind w:left="851"/>
        <w:jc w:val="both"/>
        <w:rPr>
          <w:rFonts w:ascii="Times New Roman" w:eastAsia="Times New Roman" w:hAnsi="Times New Roman" w:cs="Times New Roman"/>
          <w:kern w:val="0"/>
          <w:sz w:val="24"/>
          <w:szCs w:val="24"/>
          <w:lang w:eastAsia="en-ZW"/>
          <w14:ligatures w14:val="none"/>
        </w:rPr>
      </w:pPr>
      <w:r>
        <w:rPr>
          <w:rFonts w:ascii="Times New Roman" w:eastAsia="Times New Roman" w:hAnsi="Times New Roman" w:cs="Times New Roman"/>
          <w:kern w:val="0"/>
          <w:sz w:val="24"/>
          <w:szCs w:val="24"/>
          <w:lang w:eastAsia="en-ZW"/>
          <w14:ligatures w14:val="none"/>
        </w:rPr>
        <w:t>“</w:t>
      </w:r>
      <w:r w:rsidRPr="00CB7357">
        <w:rPr>
          <w:rFonts w:ascii="Times New Roman" w:eastAsia="Times New Roman" w:hAnsi="Times New Roman" w:cs="Times New Roman"/>
          <w:kern w:val="0"/>
          <w:sz w:val="24"/>
          <w:szCs w:val="24"/>
          <w:lang w:eastAsia="en-ZW"/>
          <w14:ligatures w14:val="none"/>
        </w:rPr>
        <w:t xml:space="preserve">By virtue of the </w:t>
      </w:r>
      <w:r w:rsidRPr="00CB7357">
        <w:rPr>
          <w:rFonts w:ascii="Times New Roman" w:eastAsia="Times New Roman" w:hAnsi="Times New Roman" w:cs="Times New Roman"/>
          <w:i/>
          <w:kern w:val="0"/>
          <w:sz w:val="24"/>
          <w:szCs w:val="24"/>
          <w:lang w:eastAsia="en-ZW"/>
          <w14:ligatures w14:val="none"/>
        </w:rPr>
        <w:t>stare decisis</w:t>
      </w:r>
      <w:r w:rsidRPr="00CB7357">
        <w:rPr>
          <w:rFonts w:ascii="Times New Roman" w:eastAsia="Times New Roman" w:hAnsi="Times New Roman" w:cs="Times New Roman"/>
          <w:kern w:val="0"/>
          <w:sz w:val="24"/>
          <w:szCs w:val="24"/>
          <w:lang w:eastAsia="en-ZW"/>
          <w14:ligatures w14:val="none"/>
        </w:rPr>
        <w:t xml:space="preserve"> doctrine, this court is bound by the plethora of Supreme Court cases on the issue including </w:t>
      </w:r>
      <w:r w:rsidRPr="00CB7357">
        <w:rPr>
          <w:rFonts w:ascii="Times New Roman" w:eastAsia="Times New Roman" w:hAnsi="Times New Roman" w:cs="Times New Roman"/>
          <w:i/>
          <w:kern w:val="0"/>
          <w:sz w:val="24"/>
          <w:szCs w:val="24"/>
          <w:lang w:eastAsia="en-ZW"/>
          <w14:ligatures w14:val="none"/>
        </w:rPr>
        <w:t>Fadzai John</w:t>
      </w:r>
      <w:r w:rsidRPr="00CB7357">
        <w:rPr>
          <w:rFonts w:ascii="Times New Roman" w:eastAsia="Times New Roman" w:hAnsi="Times New Roman" w:cs="Times New Roman"/>
          <w:kern w:val="0"/>
          <w:sz w:val="24"/>
          <w:szCs w:val="24"/>
          <w:lang w:eastAsia="en-ZW"/>
          <w14:ligatures w14:val="none"/>
        </w:rPr>
        <w:t xml:space="preserve"> v </w:t>
      </w:r>
      <w:r w:rsidRPr="00CB7357">
        <w:rPr>
          <w:rFonts w:ascii="Times New Roman" w:eastAsia="Times New Roman" w:hAnsi="Times New Roman" w:cs="Times New Roman"/>
          <w:i/>
          <w:kern w:val="0"/>
          <w:sz w:val="24"/>
          <w:szCs w:val="24"/>
          <w:lang w:eastAsia="en-ZW"/>
          <w14:ligatures w14:val="none"/>
        </w:rPr>
        <w:t>Delta Beverages</w:t>
      </w:r>
      <w:r w:rsidRPr="00CB7357">
        <w:rPr>
          <w:rFonts w:ascii="Times New Roman" w:eastAsia="Times New Roman" w:hAnsi="Times New Roman" w:cs="Times New Roman"/>
          <w:kern w:val="0"/>
          <w:sz w:val="24"/>
          <w:szCs w:val="24"/>
          <w:lang w:eastAsia="en-ZW"/>
          <w14:ligatures w14:val="none"/>
        </w:rPr>
        <w:t xml:space="preserve">. The present application therefore suffers the same fate as in those cases. In the result, the preliminary point is upheld. </w:t>
      </w:r>
    </w:p>
    <w:p w14:paraId="62ED0751" w14:textId="77777777" w:rsidR="004E020D" w:rsidRDefault="004E020D" w:rsidP="004E020D">
      <w:pPr>
        <w:spacing w:after="0" w:line="360" w:lineRule="auto"/>
        <w:ind w:left="851"/>
        <w:jc w:val="both"/>
        <w:rPr>
          <w:rFonts w:ascii="Times New Roman" w:hAnsi="Times New Roman" w:cs="Times New Roman"/>
          <w:sz w:val="24"/>
          <w:szCs w:val="24"/>
        </w:rPr>
      </w:pPr>
    </w:p>
    <w:p w14:paraId="3032D7D3" w14:textId="6D1A8E4F" w:rsidR="00573EDB" w:rsidRDefault="00CB7357" w:rsidP="00C60E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004C6D24">
        <w:rPr>
          <w:rFonts w:ascii="Times New Roman" w:hAnsi="Times New Roman" w:cs="Times New Roman"/>
          <w:sz w:val="24"/>
          <w:szCs w:val="24"/>
        </w:rPr>
        <w:t xml:space="preserve">Defendant argued that the entity cited by plaintiff was not a legal persona. The averment was not disputed by plaintiff. Had plaintiff </w:t>
      </w:r>
      <w:r w:rsidR="00573EDB">
        <w:rPr>
          <w:rFonts w:ascii="Times New Roman" w:hAnsi="Times New Roman" w:cs="Times New Roman"/>
          <w:sz w:val="24"/>
          <w:szCs w:val="24"/>
        </w:rPr>
        <w:t>argued that indeed, there existed somewhere out there, a legal entity named “Treat and Company”, the matter could have taken a different turn. But the fact that Treat and Company was a non-existent legal phenomenon renders the proceedings fatally defective on the basis that no party was cited as defendant.</w:t>
      </w:r>
      <w:r>
        <w:rPr>
          <w:rFonts w:ascii="Times New Roman" w:hAnsi="Times New Roman" w:cs="Times New Roman"/>
          <w:sz w:val="24"/>
          <w:szCs w:val="24"/>
        </w:rPr>
        <w:t xml:space="preserve"> </w:t>
      </w:r>
    </w:p>
    <w:p w14:paraId="5B8F7388" w14:textId="36B86383" w:rsidR="00573EDB" w:rsidRDefault="00573EDB" w:rsidP="00C60E75">
      <w:pPr>
        <w:spacing w:line="360" w:lineRule="auto"/>
        <w:jc w:val="both"/>
        <w:rPr>
          <w:rFonts w:ascii="Times New Roman" w:hAnsi="Times New Roman" w:cs="Times New Roman"/>
          <w:sz w:val="24"/>
          <w:szCs w:val="24"/>
        </w:rPr>
      </w:pPr>
      <w:r>
        <w:rPr>
          <w:rFonts w:ascii="Times New Roman" w:hAnsi="Times New Roman" w:cs="Times New Roman"/>
          <w:sz w:val="24"/>
          <w:szCs w:val="24"/>
        </w:rPr>
        <w:t>DISPOSITION</w:t>
      </w:r>
    </w:p>
    <w:p w14:paraId="7FCCD384" w14:textId="2CEA9098" w:rsidR="00573EDB" w:rsidRDefault="00573EDB" w:rsidP="00C60E7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[15] Having so concluded, the point of law raised disposes of the matter and defendant is entitled to the order sought. Accordingly, it is hereby ordered that; -</w:t>
      </w:r>
    </w:p>
    <w:p w14:paraId="6C15B138" w14:textId="3DB9DFD3" w:rsidR="00573EDB" w:rsidRPr="00C30AB3" w:rsidRDefault="00573EDB" w:rsidP="00C30AB3">
      <w:pPr>
        <w:pStyle w:val="ListParagraph"/>
        <w:numPr>
          <w:ilvl w:val="0"/>
          <w:numId w:val="4"/>
        </w:numPr>
        <w:spacing w:line="360" w:lineRule="auto"/>
        <w:jc w:val="both"/>
        <w:rPr>
          <w:rFonts w:ascii="Times New Roman" w:hAnsi="Times New Roman" w:cs="Times New Roman"/>
          <w:sz w:val="24"/>
          <w:szCs w:val="24"/>
        </w:rPr>
      </w:pPr>
      <w:r w:rsidRPr="00C30AB3">
        <w:rPr>
          <w:rFonts w:ascii="Times New Roman" w:hAnsi="Times New Roman" w:cs="Times New Roman"/>
          <w:sz w:val="24"/>
          <w:szCs w:val="24"/>
        </w:rPr>
        <w:t>The preliminary point raised by defendant challenging the validity of the proceedings on the basis of citation of a non-existent defendant be and is hereby upheld.</w:t>
      </w:r>
    </w:p>
    <w:p w14:paraId="0B9FBA33" w14:textId="7CC74E71" w:rsidR="00573EDB" w:rsidRPr="00C30AB3" w:rsidRDefault="00573EDB" w:rsidP="00C30AB3">
      <w:pPr>
        <w:pStyle w:val="ListParagraph"/>
        <w:numPr>
          <w:ilvl w:val="0"/>
          <w:numId w:val="4"/>
        </w:numPr>
        <w:spacing w:line="360" w:lineRule="auto"/>
        <w:jc w:val="both"/>
        <w:rPr>
          <w:rFonts w:ascii="Times New Roman" w:hAnsi="Times New Roman" w:cs="Times New Roman"/>
          <w:sz w:val="24"/>
          <w:szCs w:val="24"/>
        </w:rPr>
      </w:pPr>
      <w:r w:rsidRPr="00C30AB3">
        <w:rPr>
          <w:rFonts w:ascii="Times New Roman" w:hAnsi="Times New Roman" w:cs="Times New Roman"/>
          <w:sz w:val="24"/>
          <w:szCs w:val="24"/>
        </w:rPr>
        <w:t>The matter be and is hereby struck off with costs to be borne by plaintiff.</w:t>
      </w:r>
    </w:p>
    <w:p w14:paraId="1C8F291B" w14:textId="77777777" w:rsidR="00C30AB3" w:rsidRDefault="00C30AB3" w:rsidP="00C60E75">
      <w:pPr>
        <w:spacing w:line="360" w:lineRule="auto"/>
        <w:jc w:val="both"/>
        <w:rPr>
          <w:rFonts w:ascii="Times New Roman" w:hAnsi="Times New Roman" w:cs="Times New Roman"/>
          <w:sz w:val="24"/>
          <w:szCs w:val="24"/>
        </w:rPr>
      </w:pPr>
    </w:p>
    <w:p w14:paraId="514C9761" w14:textId="56D09FCC" w:rsidR="00573EDB" w:rsidRPr="00C30AB3" w:rsidRDefault="00573EDB" w:rsidP="00C30AB3">
      <w:pPr>
        <w:pStyle w:val="NoSpacing"/>
        <w:rPr>
          <w:rFonts w:ascii="Times New Roman" w:hAnsi="Times New Roman" w:cs="Times New Roman"/>
          <w:sz w:val="24"/>
          <w:szCs w:val="24"/>
        </w:rPr>
      </w:pPr>
      <w:r w:rsidRPr="00C30AB3">
        <w:rPr>
          <w:rFonts w:ascii="Times New Roman" w:hAnsi="Times New Roman" w:cs="Times New Roman"/>
          <w:i/>
          <w:iCs/>
          <w:sz w:val="24"/>
          <w:szCs w:val="24"/>
        </w:rPr>
        <w:t>Nenjy Nyamapfene Legal Practice</w:t>
      </w:r>
      <w:r w:rsidRPr="00C30AB3">
        <w:rPr>
          <w:rFonts w:ascii="Times New Roman" w:hAnsi="Times New Roman" w:cs="Times New Roman"/>
          <w:sz w:val="24"/>
          <w:szCs w:val="24"/>
        </w:rPr>
        <w:t>- plaintiff`s legal practitioners</w:t>
      </w:r>
    </w:p>
    <w:p w14:paraId="187F73F6" w14:textId="2F6ADD44" w:rsidR="00573EDB" w:rsidRDefault="00C30AB3" w:rsidP="00C30AB3">
      <w:pPr>
        <w:pStyle w:val="NoSpacing"/>
        <w:rPr>
          <w:rFonts w:ascii="Times New Roman" w:hAnsi="Times New Roman" w:cs="Times New Roman"/>
          <w:sz w:val="24"/>
          <w:szCs w:val="24"/>
        </w:rPr>
      </w:pPr>
      <w:r w:rsidRPr="00C30AB3">
        <w:rPr>
          <w:rFonts w:ascii="Times New Roman" w:hAnsi="Times New Roman" w:cs="Times New Roman"/>
          <w:i/>
          <w:iCs/>
          <w:sz w:val="24"/>
          <w:szCs w:val="24"/>
        </w:rPr>
        <w:t>Nyahuma`s Law Chambers</w:t>
      </w:r>
      <w:r w:rsidRPr="00C30AB3">
        <w:rPr>
          <w:rFonts w:ascii="Times New Roman" w:hAnsi="Times New Roman" w:cs="Times New Roman"/>
          <w:sz w:val="24"/>
          <w:szCs w:val="24"/>
        </w:rPr>
        <w:t>-defendant`s legal practitioners.</w:t>
      </w:r>
    </w:p>
    <w:p w14:paraId="3D5597EF" w14:textId="3C8C13E7" w:rsidR="00A70F23" w:rsidRDefault="00A70F23" w:rsidP="00C30AB3">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25C3E4CB" w14:textId="77777777" w:rsidR="00A70F23" w:rsidRDefault="00A70F23" w:rsidP="00C30AB3">
      <w:pPr>
        <w:pStyle w:val="NoSpacing"/>
        <w:rPr>
          <w:rFonts w:ascii="Times New Roman" w:hAnsi="Times New Roman" w:cs="Times New Roman"/>
          <w:sz w:val="24"/>
          <w:szCs w:val="24"/>
        </w:rPr>
      </w:pPr>
    </w:p>
    <w:p w14:paraId="43281B9F" w14:textId="150323CF" w:rsidR="00A70F23" w:rsidRPr="00A70F23" w:rsidRDefault="00A70F23" w:rsidP="00C30AB3">
      <w:pPr>
        <w:pStyle w:val="NoSpacing"/>
        <w:rPr>
          <w:rFonts w:ascii="Times New Roman" w:hAnsi="Times New Roman" w:cs="Times New Roman"/>
          <w:b/>
          <w:bCs/>
          <w:sz w:val="18"/>
          <w:szCs w:val="18"/>
        </w:rPr>
      </w:pPr>
      <w:r>
        <w:rPr>
          <w:rFonts w:ascii="Times New Roman" w:hAnsi="Times New Roman" w:cs="Times New Roman"/>
          <w:sz w:val="24"/>
          <w:szCs w:val="24"/>
        </w:rPr>
        <w:t xml:space="preserve">                                                                                                               </w:t>
      </w:r>
      <w:r w:rsidRPr="00A70F23">
        <w:rPr>
          <w:rFonts w:ascii="Times New Roman" w:hAnsi="Times New Roman" w:cs="Times New Roman"/>
          <w:b/>
          <w:bCs/>
          <w:sz w:val="18"/>
          <w:szCs w:val="18"/>
        </w:rPr>
        <w:t>[CHILIMBE J__19/8/24]</w:t>
      </w:r>
    </w:p>
    <w:p w14:paraId="76544349" w14:textId="77777777" w:rsidR="00573EDB" w:rsidRDefault="00573EDB" w:rsidP="00C60E75">
      <w:pPr>
        <w:spacing w:line="360" w:lineRule="auto"/>
        <w:jc w:val="both"/>
        <w:rPr>
          <w:rFonts w:ascii="Times New Roman" w:hAnsi="Times New Roman" w:cs="Times New Roman"/>
          <w:sz w:val="24"/>
          <w:szCs w:val="24"/>
        </w:rPr>
      </w:pPr>
    </w:p>
    <w:p w14:paraId="6BE4575B" w14:textId="77777777" w:rsidR="00573EDB" w:rsidRDefault="00573EDB" w:rsidP="00C60E75">
      <w:pPr>
        <w:spacing w:line="360" w:lineRule="auto"/>
        <w:jc w:val="both"/>
        <w:rPr>
          <w:rFonts w:ascii="Times New Roman" w:hAnsi="Times New Roman" w:cs="Times New Roman"/>
          <w:sz w:val="24"/>
          <w:szCs w:val="24"/>
        </w:rPr>
      </w:pPr>
    </w:p>
    <w:p w14:paraId="551E9FBF" w14:textId="77777777" w:rsidR="00CB7357" w:rsidRDefault="00CB7357" w:rsidP="00C60E75">
      <w:pPr>
        <w:spacing w:line="360" w:lineRule="auto"/>
        <w:jc w:val="both"/>
        <w:rPr>
          <w:rFonts w:ascii="Times New Roman" w:hAnsi="Times New Roman" w:cs="Times New Roman"/>
          <w:sz w:val="24"/>
          <w:szCs w:val="24"/>
        </w:rPr>
      </w:pPr>
    </w:p>
    <w:p w14:paraId="34A0F6B0" w14:textId="77777777" w:rsidR="00CB7357" w:rsidRDefault="00CB7357" w:rsidP="00C60E75">
      <w:pPr>
        <w:spacing w:line="360" w:lineRule="auto"/>
        <w:jc w:val="both"/>
        <w:rPr>
          <w:rFonts w:ascii="Times New Roman" w:hAnsi="Times New Roman" w:cs="Times New Roman"/>
          <w:sz w:val="24"/>
          <w:szCs w:val="24"/>
        </w:rPr>
      </w:pPr>
    </w:p>
    <w:p w14:paraId="7CEAFE72" w14:textId="77777777" w:rsidR="00CB7357" w:rsidRDefault="00CB7357" w:rsidP="00C60E75">
      <w:pPr>
        <w:spacing w:line="360" w:lineRule="auto"/>
        <w:jc w:val="both"/>
        <w:rPr>
          <w:rFonts w:ascii="Times New Roman" w:hAnsi="Times New Roman" w:cs="Times New Roman"/>
          <w:sz w:val="24"/>
          <w:szCs w:val="24"/>
        </w:rPr>
      </w:pPr>
    </w:p>
    <w:p w14:paraId="70E00217" w14:textId="77777777" w:rsidR="008C390E" w:rsidRPr="000B4186" w:rsidRDefault="008C390E" w:rsidP="000B4186">
      <w:pPr>
        <w:spacing w:line="360" w:lineRule="auto"/>
        <w:ind w:left="851"/>
        <w:jc w:val="both"/>
        <w:rPr>
          <w:rFonts w:ascii="Times New Roman" w:hAnsi="Times New Roman" w:cs="Times New Roman"/>
          <w:sz w:val="24"/>
          <w:szCs w:val="24"/>
        </w:rPr>
      </w:pPr>
    </w:p>
    <w:sectPr w:rsidR="008C390E" w:rsidRPr="000B418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F458D" w14:textId="77777777" w:rsidR="00133F4F" w:rsidRDefault="00133F4F" w:rsidP="00A7451A">
      <w:pPr>
        <w:spacing w:after="0" w:line="240" w:lineRule="auto"/>
      </w:pPr>
      <w:r>
        <w:separator/>
      </w:r>
    </w:p>
  </w:endnote>
  <w:endnote w:type="continuationSeparator" w:id="0">
    <w:p w14:paraId="466ED2C4" w14:textId="77777777" w:rsidR="00133F4F" w:rsidRDefault="00133F4F" w:rsidP="00A74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61F3F" w14:textId="77777777" w:rsidR="00133F4F" w:rsidRDefault="00133F4F" w:rsidP="00A7451A">
      <w:pPr>
        <w:spacing w:after="0" w:line="240" w:lineRule="auto"/>
      </w:pPr>
      <w:r>
        <w:separator/>
      </w:r>
    </w:p>
  </w:footnote>
  <w:footnote w:type="continuationSeparator" w:id="0">
    <w:p w14:paraId="183C3A36" w14:textId="77777777" w:rsidR="00133F4F" w:rsidRDefault="00133F4F" w:rsidP="00A7451A">
      <w:pPr>
        <w:spacing w:after="0" w:line="240" w:lineRule="auto"/>
      </w:pPr>
      <w:r>
        <w:continuationSeparator/>
      </w:r>
    </w:p>
  </w:footnote>
  <w:footnote w:id="1">
    <w:p w14:paraId="12136F1D" w14:textId="137BBC96" w:rsidR="008A2999" w:rsidRPr="008A2999" w:rsidRDefault="008A2999">
      <w:pPr>
        <w:pStyle w:val="FootnoteText"/>
        <w:rPr>
          <w:rFonts w:cstheme="minorHAnsi"/>
        </w:rPr>
      </w:pPr>
      <w:r w:rsidRPr="008A2999">
        <w:rPr>
          <w:rStyle w:val="FootnoteReference"/>
          <w:rFonts w:cstheme="minorHAnsi"/>
        </w:rPr>
        <w:footnoteRef/>
      </w:r>
      <w:r w:rsidRPr="008A2999">
        <w:rPr>
          <w:rFonts w:cstheme="minorHAnsi"/>
        </w:rPr>
        <w:t xml:space="preserve"> See </w:t>
      </w:r>
      <w:r w:rsidRPr="008A2999">
        <w:rPr>
          <w:rFonts w:cstheme="minorHAnsi"/>
          <w:i/>
          <w:iCs/>
        </w:rPr>
        <w:t>PG Industries (Zimbabwe) Ltd v Bvekerwa &amp; Ors</w:t>
      </w:r>
      <w:r w:rsidRPr="008A2999">
        <w:rPr>
          <w:rFonts w:cstheme="minorHAnsi"/>
        </w:rPr>
        <w:t xml:space="preserve"> 2016 (2) ZLR 14 (S)</w:t>
      </w:r>
    </w:p>
  </w:footnote>
  <w:footnote w:id="2">
    <w:p w14:paraId="6253AC2D" w14:textId="05039406" w:rsidR="00901B3B" w:rsidRPr="001608AE" w:rsidRDefault="00901B3B">
      <w:pPr>
        <w:pStyle w:val="FootnoteText"/>
        <w:rPr>
          <w:rFonts w:cstheme="minorHAnsi"/>
        </w:rPr>
      </w:pPr>
      <w:r>
        <w:rPr>
          <w:rStyle w:val="FootnoteReference"/>
        </w:rPr>
        <w:footnoteRef/>
      </w:r>
      <w:r>
        <w:t xml:space="preserve"> </w:t>
      </w:r>
      <w:r w:rsidRPr="001608AE">
        <w:rPr>
          <w:rFonts w:cstheme="minorHAnsi"/>
        </w:rPr>
        <w:t>Whilst the court was dealing with an application for substitution, the matters traversed in that decision are squarely applicable to the question to be determined herein.</w:t>
      </w:r>
    </w:p>
  </w:footnote>
  <w:footnote w:id="3">
    <w:p w14:paraId="39DDCB4D" w14:textId="0F192BC1" w:rsidR="004C3419" w:rsidRPr="001608AE" w:rsidRDefault="004C3419" w:rsidP="004C3419">
      <w:pPr>
        <w:pStyle w:val="FootnoteText"/>
        <w:jc w:val="both"/>
        <w:rPr>
          <w:rFonts w:cstheme="minorHAnsi"/>
          <w:sz w:val="18"/>
          <w:szCs w:val="18"/>
        </w:rPr>
      </w:pPr>
      <w:r w:rsidRPr="001608AE">
        <w:rPr>
          <w:rStyle w:val="FootnoteReference"/>
          <w:rFonts w:cstheme="minorHAnsi"/>
        </w:rPr>
        <w:footnoteRef/>
      </w:r>
      <w:r w:rsidRPr="001608AE">
        <w:rPr>
          <w:rFonts w:cstheme="minorHAnsi"/>
        </w:rPr>
        <w:t xml:space="preserve"> </w:t>
      </w:r>
      <w:r w:rsidRPr="001608AE">
        <w:rPr>
          <w:rFonts w:eastAsia="Times New Roman" w:cstheme="minorHAnsi"/>
          <w:i/>
          <w:sz w:val="18"/>
          <w:szCs w:val="18"/>
          <w:lang w:eastAsia="en-ZW"/>
        </w:rPr>
        <w:t>Masuka</w:t>
      </w:r>
      <w:r w:rsidRPr="001608AE">
        <w:rPr>
          <w:rFonts w:eastAsia="Times New Roman" w:cstheme="minorHAnsi"/>
          <w:sz w:val="18"/>
          <w:szCs w:val="18"/>
          <w:lang w:eastAsia="en-ZW"/>
        </w:rPr>
        <w:t xml:space="preserve"> v </w:t>
      </w:r>
      <w:r w:rsidRPr="001608AE">
        <w:rPr>
          <w:rFonts w:eastAsia="Times New Roman" w:cstheme="minorHAnsi"/>
          <w:i/>
          <w:sz w:val="18"/>
          <w:szCs w:val="18"/>
          <w:lang w:eastAsia="en-ZW"/>
        </w:rPr>
        <w:t>Delta Beverages</w:t>
      </w:r>
      <w:r w:rsidRPr="001608AE">
        <w:rPr>
          <w:rFonts w:eastAsia="Times New Roman" w:cstheme="minorHAnsi"/>
          <w:sz w:val="18"/>
          <w:szCs w:val="18"/>
          <w:lang w:eastAsia="en-ZW"/>
        </w:rPr>
        <w:t xml:space="preserve"> HB 2012 (1) ZLR 112, </w:t>
      </w:r>
      <w:r w:rsidRPr="001608AE">
        <w:rPr>
          <w:rFonts w:eastAsia="Times New Roman" w:cstheme="minorHAnsi"/>
          <w:i/>
          <w:sz w:val="18"/>
          <w:szCs w:val="18"/>
          <w:lang w:eastAsia="en-ZW"/>
        </w:rPr>
        <w:t>Masukume</w:t>
      </w:r>
      <w:r w:rsidRPr="001608AE">
        <w:rPr>
          <w:rFonts w:eastAsia="Times New Roman" w:cstheme="minorHAnsi"/>
          <w:sz w:val="18"/>
          <w:szCs w:val="18"/>
          <w:lang w:eastAsia="en-ZW"/>
        </w:rPr>
        <w:t xml:space="preserve"> v </w:t>
      </w:r>
      <w:r w:rsidRPr="001608AE">
        <w:rPr>
          <w:rFonts w:eastAsia="Times New Roman" w:cstheme="minorHAnsi"/>
          <w:i/>
          <w:sz w:val="18"/>
          <w:szCs w:val="18"/>
          <w:lang w:eastAsia="en-ZW"/>
        </w:rPr>
        <w:t>Treston Enterprise (Pvt) Ltd</w:t>
      </w:r>
      <w:r w:rsidRPr="001608AE">
        <w:rPr>
          <w:rFonts w:eastAsia="Times New Roman" w:cstheme="minorHAnsi"/>
          <w:sz w:val="18"/>
          <w:szCs w:val="18"/>
          <w:lang w:eastAsia="en-ZW"/>
        </w:rPr>
        <w:t xml:space="preserve"> HH 416/15, </w:t>
      </w:r>
      <w:r w:rsidRPr="001608AE">
        <w:rPr>
          <w:rFonts w:eastAsia="Times New Roman" w:cstheme="minorHAnsi"/>
          <w:i/>
          <w:sz w:val="18"/>
          <w:szCs w:val="18"/>
          <w:lang w:eastAsia="en-ZW"/>
        </w:rPr>
        <w:t>Nuvert Trading (Pvt) Ltd</w:t>
      </w:r>
      <w:r w:rsidRPr="001608AE">
        <w:rPr>
          <w:rFonts w:eastAsia="Times New Roman" w:cstheme="minorHAnsi"/>
          <w:sz w:val="18"/>
          <w:szCs w:val="18"/>
          <w:lang w:eastAsia="en-ZW"/>
        </w:rPr>
        <w:t xml:space="preserve"> v </w:t>
      </w:r>
      <w:r w:rsidRPr="001608AE">
        <w:rPr>
          <w:rFonts w:eastAsia="Times New Roman" w:cstheme="minorHAnsi"/>
          <w:i/>
          <w:sz w:val="18"/>
          <w:szCs w:val="18"/>
          <w:lang w:eastAsia="en-ZW"/>
        </w:rPr>
        <w:t>Hwange Colliery</w:t>
      </w:r>
      <w:r w:rsidRPr="001608AE">
        <w:rPr>
          <w:rFonts w:eastAsia="Times New Roman" w:cstheme="minorHAnsi"/>
          <w:sz w:val="18"/>
          <w:szCs w:val="18"/>
          <w:lang w:eastAsia="en-ZW"/>
        </w:rPr>
        <w:t xml:space="preserve"> HH 791/15, </w:t>
      </w:r>
      <w:r w:rsidRPr="001608AE">
        <w:rPr>
          <w:rFonts w:eastAsia="Times New Roman" w:cstheme="minorHAnsi"/>
          <w:i/>
          <w:sz w:val="18"/>
          <w:szCs w:val="18"/>
          <w:lang w:eastAsia="en-ZW"/>
        </w:rPr>
        <w:t>CT Bolts (Pvt) Ltd</w:t>
      </w:r>
      <w:r w:rsidRPr="001608AE">
        <w:rPr>
          <w:rFonts w:eastAsia="Times New Roman" w:cstheme="minorHAnsi"/>
          <w:sz w:val="18"/>
          <w:szCs w:val="18"/>
          <w:lang w:eastAsia="en-ZW"/>
        </w:rPr>
        <w:t xml:space="preserve"> v </w:t>
      </w:r>
      <w:r w:rsidRPr="001608AE">
        <w:rPr>
          <w:rFonts w:eastAsia="Times New Roman" w:cstheme="minorHAnsi"/>
          <w:i/>
          <w:sz w:val="18"/>
          <w:szCs w:val="18"/>
          <w:lang w:eastAsia="en-ZW"/>
        </w:rPr>
        <w:t>Workers’ Committee</w:t>
      </w:r>
      <w:r w:rsidRPr="001608AE">
        <w:rPr>
          <w:rFonts w:eastAsia="Times New Roman" w:cstheme="minorHAnsi"/>
          <w:sz w:val="18"/>
          <w:szCs w:val="18"/>
          <w:lang w:eastAsia="en-ZW"/>
        </w:rPr>
        <w:t xml:space="preserve"> 2012 (1) ZLR 363 (S), </w:t>
      </w:r>
      <w:r w:rsidRPr="001608AE">
        <w:rPr>
          <w:rFonts w:eastAsia="Calibri" w:cstheme="minorHAnsi"/>
          <w:i/>
          <w:sz w:val="18"/>
          <w:szCs w:val="18"/>
          <w:lang w:val="en-ZA" w:eastAsia="en-ZW"/>
        </w:rPr>
        <w:t>Marange Resources (Private) Limited</w:t>
      </w:r>
      <w:r w:rsidRPr="001608AE">
        <w:rPr>
          <w:rFonts w:eastAsia="Calibri" w:cstheme="minorHAnsi"/>
          <w:sz w:val="18"/>
          <w:szCs w:val="18"/>
          <w:lang w:val="en-ZA" w:eastAsia="en-ZW"/>
        </w:rPr>
        <w:t xml:space="preserve"> v </w:t>
      </w:r>
      <w:r w:rsidRPr="001608AE">
        <w:rPr>
          <w:rFonts w:eastAsia="Calibri" w:cstheme="minorHAnsi"/>
          <w:i/>
          <w:sz w:val="18"/>
          <w:szCs w:val="18"/>
          <w:lang w:val="en-ZA" w:eastAsia="en-ZW"/>
        </w:rPr>
        <w:t>Core Mining &amp; Minerals (Private) Limited (in liquidation) &amp; Ors</w:t>
      </w:r>
      <w:r w:rsidRPr="001608AE">
        <w:rPr>
          <w:rFonts w:eastAsia="Calibri" w:cstheme="minorHAnsi"/>
          <w:sz w:val="18"/>
          <w:szCs w:val="18"/>
          <w:lang w:val="en-ZA" w:eastAsia="en-ZW"/>
        </w:rPr>
        <w:t xml:space="preserve"> SC 37/16 and </w:t>
      </w:r>
      <w:r w:rsidRPr="001608AE">
        <w:rPr>
          <w:rFonts w:eastAsia="Times New Roman" w:cstheme="minorHAnsi"/>
          <w:i/>
          <w:sz w:val="18"/>
          <w:szCs w:val="18"/>
          <w:lang w:eastAsia="en-ZW"/>
        </w:rPr>
        <w:t>Stewart Scott Kennedy</w:t>
      </w:r>
      <w:r w:rsidRPr="001608AE">
        <w:rPr>
          <w:rFonts w:eastAsia="Times New Roman" w:cstheme="minorHAnsi"/>
          <w:sz w:val="18"/>
          <w:szCs w:val="18"/>
          <w:lang w:eastAsia="en-ZW"/>
        </w:rPr>
        <w:t xml:space="preserve"> v </w:t>
      </w:r>
      <w:r w:rsidRPr="001608AE">
        <w:rPr>
          <w:rFonts w:eastAsia="Times New Roman" w:cstheme="minorHAnsi"/>
          <w:i/>
          <w:sz w:val="18"/>
          <w:szCs w:val="18"/>
          <w:lang w:eastAsia="en-ZW"/>
        </w:rPr>
        <w:t>Mazongororo Syringes (Pvt) Ltd</w:t>
      </w:r>
      <w:r w:rsidRPr="001608AE">
        <w:rPr>
          <w:rFonts w:eastAsia="Times New Roman" w:cstheme="minorHAnsi"/>
          <w:sz w:val="18"/>
          <w:szCs w:val="18"/>
          <w:lang w:eastAsia="en-ZW"/>
        </w:rPr>
        <w:t xml:space="preserve"> 1996 (2) ZLR 565 (S).)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20"/>
        <w:szCs w:val="20"/>
      </w:rPr>
      <w:id w:val="1437413444"/>
      <w:docPartObj>
        <w:docPartGallery w:val="Page Numbers (Top of Page)"/>
        <w:docPartUnique/>
      </w:docPartObj>
    </w:sdtPr>
    <w:sdtEndPr>
      <w:rPr>
        <w:noProof/>
      </w:rPr>
    </w:sdtEndPr>
    <w:sdtContent>
      <w:p w14:paraId="0A5F49B3" w14:textId="4ADC761E" w:rsidR="00A7451A" w:rsidRPr="008A2999" w:rsidRDefault="00A7451A" w:rsidP="006E723A">
        <w:pPr>
          <w:pStyle w:val="Header"/>
          <w:jc w:val="right"/>
          <w:rPr>
            <w:b/>
            <w:bCs/>
            <w:noProof/>
            <w:sz w:val="20"/>
            <w:szCs w:val="20"/>
          </w:rPr>
        </w:pPr>
        <w:r w:rsidRPr="008A2999">
          <w:rPr>
            <w:b/>
            <w:bCs/>
            <w:sz w:val="20"/>
            <w:szCs w:val="20"/>
          </w:rPr>
          <w:fldChar w:fldCharType="begin"/>
        </w:r>
        <w:r w:rsidRPr="008A2999">
          <w:rPr>
            <w:b/>
            <w:bCs/>
            <w:sz w:val="20"/>
            <w:szCs w:val="20"/>
          </w:rPr>
          <w:instrText xml:space="preserve"> PAGE   \* MERGEFORMAT </w:instrText>
        </w:r>
        <w:r w:rsidRPr="008A2999">
          <w:rPr>
            <w:b/>
            <w:bCs/>
            <w:sz w:val="20"/>
            <w:szCs w:val="20"/>
          </w:rPr>
          <w:fldChar w:fldCharType="separate"/>
        </w:r>
        <w:r w:rsidR="006E723A">
          <w:rPr>
            <w:b/>
            <w:bCs/>
            <w:noProof/>
            <w:sz w:val="20"/>
            <w:szCs w:val="20"/>
          </w:rPr>
          <w:t>1</w:t>
        </w:r>
        <w:r w:rsidRPr="008A2999">
          <w:rPr>
            <w:b/>
            <w:bCs/>
            <w:noProof/>
            <w:sz w:val="20"/>
            <w:szCs w:val="20"/>
          </w:rPr>
          <w:fldChar w:fldCharType="end"/>
        </w:r>
      </w:p>
      <w:p w14:paraId="3CFF3B68" w14:textId="78DE9C60" w:rsidR="009D6890" w:rsidRPr="008A2999" w:rsidRDefault="009D6890" w:rsidP="006E723A">
        <w:pPr>
          <w:pStyle w:val="Header"/>
          <w:jc w:val="right"/>
          <w:rPr>
            <w:b/>
            <w:bCs/>
            <w:sz w:val="20"/>
            <w:szCs w:val="20"/>
          </w:rPr>
        </w:pPr>
        <w:r w:rsidRPr="008A2999">
          <w:rPr>
            <w:b/>
            <w:bCs/>
            <w:sz w:val="20"/>
            <w:szCs w:val="20"/>
          </w:rPr>
          <w:t>HH</w:t>
        </w:r>
        <w:r w:rsidR="008A2999" w:rsidRPr="008A2999">
          <w:rPr>
            <w:b/>
            <w:bCs/>
            <w:sz w:val="20"/>
            <w:szCs w:val="20"/>
          </w:rPr>
          <w:t xml:space="preserve"> 354-24</w:t>
        </w:r>
      </w:p>
      <w:p w14:paraId="0CE7A8D2" w14:textId="54257B7D" w:rsidR="00A7451A" w:rsidRPr="008A2999" w:rsidRDefault="00A7451A" w:rsidP="006E723A">
        <w:pPr>
          <w:pStyle w:val="Header"/>
          <w:jc w:val="right"/>
          <w:rPr>
            <w:b/>
            <w:bCs/>
            <w:sz w:val="20"/>
            <w:szCs w:val="20"/>
          </w:rPr>
        </w:pPr>
        <w:r w:rsidRPr="008A2999">
          <w:rPr>
            <w:b/>
            <w:bCs/>
            <w:sz w:val="20"/>
            <w:szCs w:val="20"/>
          </w:rPr>
          <w:t>HCHC73/22</w:t>
        </w:r>
      </w:p>
    </w:sdtContent>
  </w:sdt>
  <w:p w14:paraId="3EB4C7E4" w14:textId="77777777" w:rsidR="00A7451A" w:rsidRDefault="00A7451A" w:rsidP="006E723A">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3DA5"/>
    <w:multiLevelType w:val="hybridMultilevel"/>
    <w:tmpl w:val="3594D3E6"/>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8863D0E"/>
    <w:multiLevelType w:val="hybridMultilevel"/>
    <w:tmpl w:val="E5E2A4D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570657AF"/>
    <w:multiLevelType w:val="hybridMultilevel"/>
    <w:tmpl w:val="4DDA252C"/>
    <w:lvl w:ilvl="0" w:tplc="3009000F">
      <w:start w:val="1"/>
      <w:numFmt w:val="decimal"/>
      <w:lvlText w:val="%1."/>
      <w:lvlJc w:val="left"/>
      <w:pPr>
        <w:ind w:left="1928" w:hanging="360"/>
      </w:pPr>
    </w:lvl>
    <w:lvl w:ilvl="1" w:tplc="30090019" w:tentative="1">
      <w:start w:val="1"/>
      <w:numFmt w:val="lowerLetter"/>
      <w:lvlText w:val="%2."/>
      <w:lvlJc w:val="left"/>
      <w:pPr>
        <w:ind w:left="2648" w:hanging="360"/>
      </w:pPr>
    </w:lvl>
    <w:lvl w:ilvl="2" w:tplc="3009001B" w:tentative="1">
      <w:start w:val="1"/>
      <w:numFmt w:val="lowerRoman"/>
      <w:lvlText w:val="%3."/>
      <w:lvlJc w:val="right"/>
      <w:pPr>
        <w:ind w:left="3368" w:hanging="180"/>
      </w:pPr>
    </w:lvl>
    <w:lvl w:ilvl="3" w:tplc="3009000F" w:tentative="1">
      <w:start w:val="1"/>
      <w:numFmt w:val="decimal"/>
      <w:lvlText w:val="%4."/>
      <w:lvlJc w:val="left"/>
      <w:pPr>
        <w:ind w:left="4088" w:hanging="360"/>
      </w:pPr>
    </w:lvl>
    <w:lvl w:ilvl="4" w:tplc="30090019" w:tentative="1">
      <w:start w:val="1"/>
      <w:numFmt w:val="lowerLetter"/>
      <w:lvlText w:val="%5."/>
      <w:lvlJc w:val="left"/>
      <w:pPr>
        <w:ind w:left="4808" w:hanging="360"/>
      </w:pPr>
    </w:lvl>
    <w:lvl w:ilvl="5" w:tplc="3009001B" w:tentative="1">
      <w:start w:val="1"/>
      <w:numFmt w:val="lowerRoman"/>
      <w:lvlText w:val="%6."/>
      <w:lvlJc w:val="right"/>
      <w:pPr>
        <w:ind w:left="5528" w:hanging="180"/>
      </w:pPr>
    </w:lvl>
    <w:lvl w:ilvl="6" w:tplc="3009000F" w:tentative="1">
      <w:start w:val="1"/>
      <w:numFmt w:val="decimal"/>
      <w:lvlText w:val="%7."/>
      <w:lvlJc w:val="left"/>
      <w:pPr>
        <w:ind w:left="6248" w:hanging="360"/>
      </w:pPr>
    </w:lvl>
    <w:lvl w:ilvl="7" w:tplc="30090019" w:tentative="1">
      <w:start w:val="1"/>
      <w:numFmt w:val="lowerLetter"/>
      <w:lvlText w:val="%8."/>
      <w:lvlJc w:val="left"/>
      <w:pPr>
        <w:ind w:left="6968" w:hanging="360"/>
      </w:pPr>
    </w:lvl>
    <w:lvl w:ilvl="8" w:tplc="3009001B" w:tentative="1">
      <w:start w:val="1"/>
      <w:numFmt w:val="lowerRoman"/>
      <w:lvlText w:val="%9."/>
      <w:lvlJc w:val="right"/>
      <w:pPr>
        <w:ind w:left="7688" w:hanging="180"/>
      </w:pPr>
    </w:lvl>
  </w:abstractNum>
  <w:abstractNum w:abstractNumId="3" w15:restartNumberingAfterBreak="0">
    <w:nsid w:val="745D58C2"/>
    <w:multiLevelType w:val="hybridMultilevel"/>
    <w:tmpl w:val="C088D160"/>
    <w:lvl w:ilvl="0" w:tplc="30090017">
      <w:start w:val="1"/>
      <w:numFmt w:val="lowerLetter"/>
      <w:lvlText w:val="%1)"/>
      <w:lvlJc w:val="left"/>
      <w:pPr>
        <w:ind w:left="1928" w:hanging="360"/>
      </w:pPr>
    </w:lvl>
    <w:lvl w:ilvl="1" w:tplc="30090019" w:tentative="1">
      <w:start w:val="1"/>
      <w:numFmt w:val="lowerLetter"/>
      <w:lvlText w:val="%2."/>
      <w:lvlJc w:val="left"/>
      <w:pPr>
        <w:ind w:left="2648" w:hanging="360"/>
      </w:pPr>
    </w:lvl>
    <w:lvl w:ilvl="2" w:tplc="3009001B" w:tentative="1">
      <w:start w:val="1"/>
      <w:numFmt w:val="lowerRoman"/>
      <w:lvlText w:val="%3."/>
      <w:lvlJc w:val="right"/>
      <w:pPr>
        <w:ind w:left="3368" w:hanging="180"/>
      </w:pPr>
    </w:lvl>
    <w:lvl w:ilvl="3" w:tplc="3009000F" w:tentative="1">
      <w:start w:val="1"/>
      <w:numFmt w:val="decimal"/>
      <w:lvlText w:val="%4."/>
      <w:lvlJc w:val="left"/>
      <w:pPr>
        <w:ind w:left="4088" w:hanging="360"/>
      </w:pPr>
    </w:lvl>
    <w:lvl w:ilvl="4" w:tplc="30090019" w:tentative="1">
      <w:start w:val="1"/>
      <w:numFmt w:val="lowerLetter"/>
      <w:lvlText w:val="%5."/>
      <w:lvlJc w:val="left"/>
      <w:pPr>
        <w:ind w:left="4808" w:hanging="360"/>
      </w:pPr>
    </w:lvl>
    <w:lvl w:ilvl="5" w:tplc="3009001B" w:tentative="1">
      <w:start w:val="1"/>
      <w:numFmt w:val="lowerRoman"/>
      <w:lvlText w:val="%6."/>
      <w:lvlJc w:val="right"/>
      <w:pPr>
        <w:ind w:left="5528" w:hanging="180"/>
      </w:pPr>
    </w:lvl>
    <w:lvl w:ilvl="6" w:tplc="3009000F" w:tentative="1">
      <w:start w:val="1"/>
      <w:numFmt w:val="decimal"/>
      <w:lvlText w:val="%7."/>
      <w:lvlJc w:val="left"/>
      <w:pPr>
        <w:ind w:left="6248" w:hanging="360"/>
      </w:pPr>
    </w:lvl>
    <w:lvl w:ilvl="7" w:tplc="30090019" w:tentative="1">
      <w:start w:val="1"/>
      <w:numFmt w:val="lowerLetter"/>
      <w:lvlText w:val="%8."/>
      <w:lvlJc w:val="left"/>
      <w:pPr>
        <w:ind w:left="6968" w:hanging="360"/>
      </w:pPr>
    </w:lvl>
    <w:lvl w:ilvl="8" w:tplc="3009001B" w:tentative="1">
      <w:start w:val="1"/>
      <w:numFmt w:val="lowerRoman"/>
      <w:lvlText w:val="%9."/>
      <w:lvlJc w:val="right"/>
      <w:pPr>
        <w:ind w:left="7688"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51A"/>
    <w:rsid w:val="000452C7"/>
    <w:rsid w:val="000A2778"/>
    <w:rsid w:val="000B4186"/>
    <w:rsid w:val="00133F4F"/>
    <w:rsid w:val="001608AE"/>
    <w:rsid w:val="00184C7F"/>
    <w:rsid w:val="001C1443"/>
    <w:rsid w:val="001E0976"/>
    <w:rsid w:val="002F46B1"/>
    <w:rsid w:val="0036275A"/>
    <w:rsid w:val="004C3419"/>
    <w:rsid w:val="004C6D24"/>
    <w:rsid w:val="004E020D"/>
    <w:rsid w:val="005219FD"/>
    <w:rsid w:val="00546D40"/>
    <w:rsid w:val="005726EE"/>
    <w:rsid w:val="00572E42"/>
    <w:rsid w:val="00573EDB"/>
    <w:rsid w:val="006549AB"/>
    <w:rsid w:val="00672B74"/>
    <w:rsid w:val="00677D1A"/>
    <w:rsid w:val="006D363B"/>
    <w:rsid w:val="006E723A"/>
    <w:rsid w:val="00743640"/>
    <w:rsid w:val="00784F0A"/>
    <w:rsid w:val="00837A44"/>
    <w:rsid w:val="008548F1"/>
    <w:rsid w:val="008A2999"/>
    <w:rsid w:val="008C390E"/>
    <w:rsid w:val="00901B3B"/>
    <w:rsid w:val="00984C31"/>
    <w:rsid w:val="009A3F9A"/>
    <w:rsid w:val="009B2C0D"/>
    <w:rsid w:val="009D6890"/>
    <w:rsid w:val="009F3549"/>
    <w:rsid w:val="00A70F23"/>
    <w:rsid w:val="00A7282C"/>
    <w:rsid w:val="00A7451A"/>
    <w:rsid w:val="00B13041"/>
    <w:rsid w:val="00B16865"/>
    <w:rsid w:val="00BC2116"/>
    <w:rsid w:val="00C30AB3"/>
    <w:rsid w:val="00C52201"/>
    <w:rsid w:val="00C60E75"/>
    <w:rsid w:val="00CB7357"/>
    <w:rsid w:val="00D34BB6"/>
    <w:rsid w:val="00D62D0F"/>
    <w:rsid w:val="00DC1F2D"/>
    <w:rsid w:val="00E54A1D"/>
    <w:rsid w:val="00F52CFB"/>
    <w:rsid w:val="00F714E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AD72B"/>
  <w15:chartTrackingRefBased/>
  <w15:docId w15:val="{63C3EFE2-5775-4FA9-8A17-E5D494659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5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51A"/>
  </w:style>
  <w:style w:type="paragraph" w:styleId="Footer">
    <w:name w:val="footer"/>
    <w:basedOn w:val="Normal"/>
    <w:link w:val="FooterChar"/>
    <w:uiPriority w:val="99"/>
    <w:unhideWhenUsed/>
    <w:rsid w:val="00A745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51A"/>
  </w:style>
  <w:style w:type="paragraph" w:styleId="NoSpacing">
    <w:name w:val="No Spacing"/>
    <w:uiPriority w:val="1"/>
    <w:qFormat/>
    <w:rsid w:val="00A7282C"/>
    <w:pPr>
      <w:spacing w:after="0" w:line="240" w:lineRule="auto"/>
    </w:pPr>
  </w:style>
  <w:style w:type="paragraph" w:styleId="ListParagraph">
    <w:name w:val="List Paragraph"/>
    <w:basedOn w:val="Normal"/>
    <w:uiPriority w:val="34"/>
    <w:qFormat/>
    <w:rsid w:val="00837A44"/>
    <w:pPr>
      <w:ind w:left="720"/>
      <w:contextualSpacing/>
    </w:pPr>
  </w:style>
  <w:style w:type="paragraph" w:styleId="FootnoteText">
    <w:name w:val="footnote text"/>
    <w:basedOn w:val="Normal"/>
    <w:link w:val="FootnoteTextChar"/>
    <w:uiPriority w:val="99"/>
    <w:unhideWhenUsed/>
    <w:rsid w:val="002F46B1"/>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2F46B1"/>
    <w:rPr>
      <w:kern w:val="0"/>
      <w:sz w:val="20"/>
      <w:szCs w:val="20"/>
      <w14:ligatures w14:val="none"/>
    </w:rPr>
  </w:style>
  <w:style w:type="character" w:styleId="FootnoteReference">
    <w:name w:val="footnote reference"/>
    <w:basedOn w:val="DefaultParagraphFont"/>
    <w:uiPriority w:val="99"/>
    <w:semiHidden/>
    <w:unhideWhenUsed/>
    <w:rsid w:val="002F46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CHILIMBE</dc:creator>
  <cp:keywords/>
  <dc:description/>
  <cp:lastModifiedBy>JSC</cp:lastModifiedBy>
  <cp:revision>2</cp:revision>
  <cp:lastPrinted>2024-08-19T12:07:00Z</cp:lastPrinted>
  <dcterms:created xsi:type="dcterms:W3CDTF">2024-08-21T08:03:00Z</dcterms:created>
  <dcterms:modified xsi:type="dcterms:W3CDTF">2024-08-21T08:03:00Z</dcterms:modified>
</cp:coreProperties>
</file>