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CC3658" w:rsidP="00B43EF7">
      <w:pPr>
        <w:pStyle w:val="NoSpacing"/>
        <w:rPr>
          <w:b/>
        </w:rPr>
      </w:pPr>
      <w:r>
        <w:rPr>
          <w:b/>
        </w:rPr>
        <w:t xml:space="preserve">  </w:t>
      </w:r>
      <w:r w:rsidR="00B43EF7">
        <w:rPr>
          <w:b/>
        </w:rPr>
        <w:t>SITHOKOZILE NDLOVU</w:t>
      </w:r>
    </w:p>
    <w:p w:rsidR="00B43EF7" w:rsidRDefault="00B43EF7" w:rsidP="00B43EF7">
      <w:pPr>
        <w:pStyle w:val="NoSpacing"/>
        <w:rPr>
          <w:b/>
        </w:rPr>
      </w:pPr>
    </w:p>
    <w:p w:rsidR="00B43EF7" w:rsidRDefault="00B43EF7" w:rsidP="00B43EF7">
      <w:pPr>
        <w:pStyle w:val="NoSpacing"/>
        <w:rPr>
          <w:b/>
        </w:rPr>
      </w:pPr>
      <w:r>
        <w:rPr>
          <w:b/>
        </w:rPr>
        <w:t>Versus</w:t>
      </w:r>
    </w:p>
    <w:p w:rsidR="00B43EF7" w:rsidRDefault="00B43EF7" w:rsidP="00B43EF7">
      <w:pPr>
        <w:pStyle w:val="NoSpacing"/>
        <w:rPr>
          <w:b/>
        </w:rPr>
      </w:pPr>
    </w:p>
    <w:p w:rsidR="00B43EF7" w:rsidRDefault="00B43EF7" w:rsidP="00B43EF7">
      <w:pPr>
        <w:pStyle w:val="NoSpacing"/>
        <w:rPr>
          <w:b/>
        </w:rPr>
      </w:pPr>
      <w:r>
        <w:rPr>
          <w:b/>
        </w:rPr>
        <w:t>SHADRECK NDLOVU</w:t>
      </w:r>
    </w:p>
    <w:p w:rsidR="00B43EF7" w:rsidRDefault="00B43EF7" w:rsidP="00B43EF7">
      <w:pPr>
        <w:pStyle w:val="NoSpacing"/>
        <w:rPr>
          <w:b/>
        </w:rPr>
      </w:pPr>
    </w:p>
    <w:p w:rsidR="00B43EF7" w:rsidRDefault="00B43EF7" w:rsidP="00B43EF7">
      <w:pPr>
        <w:pStyle w:val="NoSpacing"/>
        <w:rPr>
          <w:b/>
        </w:rPr>
      </w:pPr>
      <w:r>
        <w:rPr>
          <w:b/>
        </w:rPr>
        <w:t>And</w:t>
      </w:r>
    </w:p>
    <w:p w:rsidR="00B43EF7" w:rsidRDefault="00B43EF7" w:rsidP="00B43EF7">
      <w:pPr>
        <w:pStyle w:val="NoSpacing"/>
        <w:rPr>
          <w:b/>
        </w:rPr>
      </w:pPr>
    </w:p>
    <w:p w:rsidR="00B43EF7" w:rsidRDefault="00B43EF7" w:rsidP="00B43EF7">
      <w:pPr>
        <w:pStyle w:val="NoSpacing"/>
        <w:rPr>
          <w:b/>
        </w:rPr>
      </w:pPr>
      <w:r>
        <w:rPr>
          <w:b/>
        </w:rPr>
        <w:t>MAION ALICE BHILA</w:t>
      </w:r>
    </w:p>
    <w:p w:rsidR="00B43EF7" w:rsidRDefault="00B43EF7" w:rsidP="00B43EF7">
      <w:pPr>
        <w:pStyle w:val="NoSpacing"/>
        <w:rPr>
          <w:b/>
        </w:rPr>
      </w:pPr>
    </w:p>
    <w:p w:rsidR="00B43EF7" w:rsidRDefault="00B43EF7" w:rsidP="00B43EF7">
      <w:pPr>
        <w:pStyle w:val="NoSpacing"/>
        <w:rPr>
          <w:b/>
        </w:rPr>
      </w:pPr>
      <w:r>
        <w:rPr>
          <w:b/>
        </w:rPr>
        <w:t>And</w:t>
      </w:r>
    </w:p>
    <w:p w:rsidR="00B43EF7" w:rsidRDefault="00B43EF7" w:rsidP="00B43EF7">
      <w:pPr>
        <w:pStyle w:val="NoSpacing"/>
        <w:rPr>
          <w:b/>
        </w:rPr>
      </w:pPr>
    </w:p>
    <w:p w:rsidR="00B43EF7" w:rsidRDefault="00B43EF7" w:rsidP="00B43EF7">
      <w:pPr>
        <w:pStyle w:val="NoSpacing"/>
        <w:rPr>
          <w:b/>
        </w:rPr>
      </w:pPr>
      <w:r>
        <w:rPr>
          <w:b/>
        </w:rPr>
        <w:t>ANGELINE BELINDA SUNGA</w:t>
      </w:r>
    </w:p>
    <w:p w:rsidR="00B43EF7" w:rsidRDefault="00B43EF7" w:rsidP="00B43EF7">
      <w:pPr>
        <w:pStyle w:val="NoSpacing"/>
        <w:rPr>
          <w:b/>
        </w:rPr>
      </w:pPr>
    </w:p>
    <w:p w:rsidR="00B43EF7" w:rsidRDefault="00B43EF7" w:rsidP="00B43EF7">
      <w:pPr>
        <w:pStyle w:val="NoSpacing"/>
        <w:rPr>
          <w:b/>
        </w:rPr>
      </w:pPr>
      <w:r>
        <w:rPr>
          <w:b/>
        </w:rPr>
        <w:t>And</w:t>
      </w:r>
    </w:p>
    <w:p w:rsidR="00B43EF7" w:rsidRDefault="00B43EF7" w:rsidP="00B43EF7">
      <w:pPr>
        <w:pStyle w:val="NoSpacing"/>
        <w:rPr>
          <w:b/>
        </w:rPr>
      </w:pPr>
    </w:p>
    <w:p w:rsidR="00B43EF7" w:rsidRDefault="00B43EF7" w:rsidP="00B43EF7">
      <w:pPr>
        <w:pStyle w:val="NoSpacing"/>
        <w:rPr>
          <w:b/>
        </w:rPr>
      </w:pPr>
      <w:r>
        <w:rPr>
          <w:b/>
        </w:rPr>
        <w:t>CITY OF BULAWAYO</w:t>
      </w:r>
    </w:p>
    <w:p w:rsidR="00B43EF7" w:rsidRDefault="00B43EF7" w:rsidP="00B43EF7">
      <w:pPr>
        <w:pStyle w:val="NoSpacing"/>
        <w:rPr>
          <w:b/>
        </w:rPr>
      </w:pPr>
    </w:p>
    <w:p w:rsidR="00B43EF7" w:rsidRDefault="00B43EF7" w:rsidP="00B43EF7">
      <w:pPr>
        <w:pStyle w:val="NoSpacing"/>
        <w:rPr>
          <w:b/>
        </w:rPr>
      </w:pPr>
      <w:r>
        <w:rPr>
          <w:b/>
        </w:rPr>
        <w:t>And</w:t>
      </w:r>
    </w:p>
    <w:p w:rsidR="00B43EF7" w:rsidRDefault="00B43EF7" w:rsidP="00B43EF7">
      <w:pPr>
        <w:pStyle w:val="NoSpacing"/>
        <w:rPr>
          <w:b/>
        </w:rPr>
      </w:pPr>
    </w:p>
    <w:p w:rsidR="00B43EF7" w:rsidRDefault="00B43EF7" w:rsidP="00B43EF7">
      <w:pPr>
        <w:pStyle w:val="NoSpacing"/>
        <w:rPr>
          <w:b/>
        </w:rPr>
      </w:pPr>
      <w:r>
        <w:rPr>
          <w:b/>
        </w:rPr>
        <w:t>THE SHERIFF OF THE HIGH COURT</w:t>
      </w:r>
    </w:p>
    <w:p w:rsidR="00B43EF7" w:rsidRDefault="00B43EF7" w:rsidP="00B43EF7">
      <w:pPr>
        <w:pStyle w:val="NoSpacing"/>
        <w:rPr>
          <w:b/>
        </w:rPr>
      </w:pPr>
      <w:r>
        <w:rPr>
          <w:b/>
        </w:rPr>
        <w:t>OF ZIMBABWE N.O.</w:t>
      </w:r>
    </w:p>
    <w:p w:rsidR="00B43EF7" w:rsidRDefault="00B43EF7" w:rsidP="00B43EF7">
      <w:pPr>
        <w:pStyle w:val="NoSpacing"/>
        <w:rPr>
          <w:b/>
        </w:rPr>
      </w:pPr>
    </w:p>
    <w:p w:rsidR="00B43EF7" w:rsidRDefault="00B43EF7" w:rsidP="00B43EF7">
      <w:pPr>
        <w:pStyle w:val="NoSpacing"/>
      </w:pPr>
      <w:r>
        <w:t>IN THE HIGH COURT OF ZIMBABWE</w:t>
      </w:r>
    </w:p>
    <w:p w:rsidR="00B43EF7" w:rsidRDefault="00B43EF7" w:rsidP="00B43EF7">
      <w:pPr>
        <w:pStyle w:val="NoSpacing"/>
      </w:pPr>
      <w:r>
        <w:t>MOYO J</w:t>
      </w:r>
    </w:p>
    <w:p w:rsidR="00B43EF7" w:rsidRDefault="00CC3658" w:rsidP="00B43EF7">
      <w:pPr>
        <w:pStyle w:val="NoSpacing"/>
      </w:pPr>
      <w:r>
        <w:t xml:space="preserve">BULAWAYO </w:t>
      </w:r>
      <w:r w:rsidR="00B43EF7">
        <w:t>11 &amp;</w:t>
      </w:r>
      <w:r>
        <w:t xml:space="preserve"> 24</w:t>
      </w:r>
      <w:r w:rsidR="00B43EF7">
        <w:t xml:space="preserve"> SEPTEMBER 2020</w:t>
      </w:r>
    </w:p>
    <w:p w:rsidR="00B43EF7" w:rsidRDefault="00B43EF7" w:rsidP="00B43EF7">
      <w:pPr>
        <w:pStyle w:val="NoSpacing"/>
      </w:pPr>
    </w:p>
    <w:p w:rsidR="00B43EF7" w:rsidRDefault="00B43EF7" w:rsidP="00B43EF7">
      <w:pPr>
        <w:pStyle w:val="NoSpacing"/>
        <w:rPr>
          <w:b/>
        </w:rPr>
      </w:pPr>
      <w:r>
        <w:rPr>
          <w:b/>
        </w:rPr>
        <w:t>Urgent Chamber Application</w:t>
      </w:r>
    </w:p>
    <w:p w:rsidR="00B43EF7" w:rsidRDefault="00B43EF7" w:rsidP="00B43EF7">
      <w:pPr>
        <w:pStyle w:val="NoSpacing"/>
        <w:rPr>
          <w:b/>
        </w:rPr>
      </w:pPr>
    </w:p>
    <w:p w:rsidR="00B43EF7" w:rsidRDefault="00B43EF7" w:rsidP="00B43EF7">
      <w:pPr>
        <w:pStyle w:val="NoSpacing"/>
      </w:pPr>
      <w:r w:rsidRPr="00DB2CBD">
        <w:rPr>
          <w:i/>
        </w:rPr>
        <w:t>N. Sibanda</w:t>
      </w:r>
      <w:r>
        <w:t xml:space="preserve"> for the applicant</w:t>
      </w:r>
    </w:p>
    <w:p w:rsidR="00B43EF7" w:rsidRDefault="00B43EF7" w:rsidP="00B43EF7">
      <w:pPr>
        <w:pStyle w:val="NoSpacing"/>
      </w:pPr>
      <w:r w:rsidRPr="00DB2CBD">
        <w:rPr>
          <w:i/>
        </w:rPr>
        <w:t>T. G</w:t>
      </w:r>
      <w:r w:rsidR="00172F4D">
        <w:rPr>
          <w:i/>
        </w:rPr>
        <w:t>amure`</w:t>
      </w:r>
      <w:r>
        <w:t>, for 2</w:t>
      </w:r>
      <w:r w:rsidRPr="00B43EF7">
        <w:rPr>
          <w:vertAlign w:val="superscript"/>
        </w:rPr>
        <w:t>nd</w:t>
      </w:r>
      <w:r>
        <w:t xml:space="preserve"> respondent</w:t>
      </w:r>
    </w:p>
    <w:p w:rsidR="00B43EF7" w:rsidRDefault="00B43EF7" w:rsidP="00B43EF7">
      <w:pPr>
        <w:pStyle w:val="NoSpacing"/>
      </w:pPr>
    </w:p>
    <w:p w:rsidR="00B43EF7" w:rsidRPr="00D97A83" w:rsidRDefault="00B43EF7" w:rsidP="00D97A83">
      <w:pPr>
        <w:jc w:val="both"/>
        <w:rPr>
          <w:szCs w:val="24"/>
        </w:rPr>
      </w:pPr>
      <w:r w:rsidRPr="00D97A83">
        <w:rPr>
          <w:szCs w:val="24"/>
        </w:rPr>
        <w:tab/>
      </w:r>
      <w:r w:rsidRPr="00D97A83">
        <w:rPr>
          <w:b/>
          <w:szCs w:val="24"/>
        </w:rPr>
        <w:t>MOYO J:</w:t>
      </w:r>
      <w:r w:rsidRPr="00D97A83">
        <w:rPr>
          <w:b/>
          <w:szCs w:val="24"/>
        </w:rPr>
        <w:tab/>
      </w:r>
      <w:r w:rsidRPr="00D97A83">
        <w:rPr>
          <w:szCs w:val="24"/>
        </w:rPr>
        <w:t>This is an application whereby the applicant seeks the following interim relief.</w:t>
      </w:r>
    </w:p>
    <w:p w:rsidR="00B43EF7" w:rsidRPr="00D97A83" w:rsidRDefault="00B43EF7" w:rsidP="00D97A83">
      <w:pPr>
        <w:pStyle w:val="NoSpacing"/>
        <w:ind w:left="720"/>
        <w:jc w:val="both"/>
        <w:rPr>
          <w:szCs w:val="24"/>
        </w:rPr>
      </w:pPr>
      <w:r w:rsidRPr="00D97A83">
        <w:rPr>
          <w:szCs w:val="24"/>
        </w:rPr>
        <w:t>“Pending finalisation of this matter, the applicant be and is hereby</w:t>
      </w:r>
      <w:r w:rsidR="00FD0E17" w:rsidRPr="00D97A83">
        <w:rPr>
          <w:szCs w:val="24"/>
        </w:rPr>
        <w:t xml:space="preserve"> granted the following relief:</w:t>
      </w:r>
    </w:p>
    <w:p w:rsidR="00FD0E17" w:rsidRPr="00D97A83" w:rsidRDefault="00FD0E17" w:rsidP="00D97A83">
      <w:pPr>
        <w:pStyle w:val="NoSpacing"/>
        <w:jc w:val="both"/>
        <w:rPr>
          <w:szCs w:val="24"/>
        </w:rPr>
      </w:pPr>
    </w:p>
    <w:p w:rsidR="00FD0E17" w:rsidRPr="00D97A83" w:rsidRDefault="00FD0E17" w:rsidP="00D97A83">
      <w:pPr>
        <w:pStyle w:val="NoSpacing"/>
        <w:ind w:left="720"/>
        <w:jc w:val="both"/>
        <w:rPr>
          <w:szCs w:val="24"/>
        </w:rPr>
      </w:pPr>
      <w:r w:rsidRPr="00D97A83">
        <w:rPr>
          <w:szCs w:val="24"/>
        </w:rPr>
        <w:t>The execution of the warrant issued by this court under cover of HC 1525/19 be and is hereby temporarily stayed pending the return date of this matter.”</w:t>
      </w:r>
    </w:p>
    <w:p w:rsidR="00FD0E17" w:rsidRPr="00D97A83" w:rsidRDefault="00FD0E17" w:rsidP="00D97A83">
      <w:pPr>
        <w:jc w:val="both"/>
        <w:rPr>
          <w:szCs w:val="24"/>
        </w:rPr>
      </w:pPr>
      <w:r w:rsidRPr="00D97A83">
        <w:rPr>
          <w:szCs w:val="24"/>
        </w:rPr>
        <w:lastRenderedPageBreak/>
        <w:tab/>
        <w:t>The facts of this matter are that applicant is married to 1</w:t>
      </w:r>
      <w:r w:rsidRPr="00D97A83">
        <w:rPr>
          <w:szCs w:val="24"/>
          <w:vertAlign w:val="superscript"/>
        </w:rPr>
        <w:t>st</w:t>
      </w:r>
      <w:r w:rsidRPr="00D97A83">
        <w:rPr>
          <w:szCs w:val="24"/>
        </w:rPr>
        <w:t xml:space="preserve"> respondent and the marriage still subsists.  Sometime in 2011, applicant sought and got a provisional order barring 1</w:t>
      </w:r>
      <w:r w:rsidRPr="00D97A83">
        <w:rPr>
          <w:szCs w:val="24"/>
          <w:vertAlign w:val="superscript"/>
        </w:rPr>
        <w:t>st</w:t>
      </w:r>
      <w:r w:rsidRPr="00D97A83">
        <w:rPr>
          <w:szCs w:val="24"/>
        </w:rPr>
        <w:t xml:space="preserve"> and 4</w:t>
      </w:r>
      <w:r w:rsidRPr="00D97A83">
        <w:rPr>
          <w:szCs w:val="24"/>
          <w:vertAlign w:val="superscript"/>
        </w:rPr>
        <w:t>th</w:t>
      </w:r>
      <w:r w:rsidRPr="00D97A83">
        <w:rPr>
          <w:szCs w:val="24"/>
        </w:rPr>
        <w:t xml:space="preserve"> respondents from selling the parties</w:t>
      </w:r>
      <w:r w:rsidR="00DB2CBD" w:rsidRPr="00D97A83">
        <w:rPr>
          <w:szCs w:val="24"/>
        </w:rPr>
        <w:t>’</w:t>
      </w:r>
      <w:r w:rsidRPr="00D97A83">
        <w:rPr>
          <w:szCs w:val="24"/>
        </w:rPr>
        <w:t xml:space="preserve"> matrimonial home namely stand C55 Njube Township in Bulawayo.  1</w:t>
      </w:r>
      <w:r w:rsidRPr="00D97A83">
        <w:rPr>
          <w:szCs w:val="24"/>
          <w:vertAlign w:val="superscript"/>
        </w:rPr>
        <w:t>st</w:t>
      </w:r>
      <w:r w:rsidRPr="00D97A83">
        <w:rPr>
          <w:szCs w:val="24"/>
        </w:rPr>
        <w:t xml:space="preserve"> respondent however, later got into debt resul</w:t>
      </w:r>
      <w:r w:rsidR="00DB2CBD" w:rsidRPr="00D97A83">
        <w:rPr>
          <w:szCs w:val="24"/>
        </w:rPr>
        <w:t>t</w:t>
      </w:r>
      <w:r w:rsidRPr="00D97A83">
        <w:rPr>
          <w:szCs w:val="24"/>
        </w:rPr>
        <w:t>ing in a judicial sale of the property wherein the property wa</w:t>
      </w:r>
      <w:r w:rsidR="00DB2CBD" w:rsidRPr="00D97A83">
        <w:rPr>
          <w:szCs w:val="24"/>
        </w:rPr>
        <w:t>s</w:t>
      </w:r>
      <w:r w:rsidRPr="00D97A83">
        <w:rPr>
          <w:szCs w:val="24"/>
        </w:rPr>
        <w:t xml:space="preserve"> sold resulting in it moving from 1</w:t>
      </w:r>
      <w:r w:rsidRPr="00D97A83">
        <w:rPr>
          <w:szCs w:val="24"/>
          <w:vertAlign w:val="superscript"/>
        </w:rPr>
        <w:t>st</w:t>
      </w:r>
      <w:r w:rsidRPr="00D97A83">
        <w:rPr>
          <w:szCs w:val="24"/>
        </w:rPr>
        <w:t xml:space="preserve"> respondent to </w:t>
      </w:r>
      <w:r w:rsidR="00DB2CBD" w:rsidRPr="00D97A83">
        <w:rPr>
          <w:szCs w:val="24"/>
        </w:rPr>
        <w:t xml:space="preserve">a </w:t>
      </w:r>
      <w:r w:rsidRPr="00D97A83">
        <w:rPr>
          <w:szCs w:val="24"/>
        </w:rPr>
        <w:t>3</w:t>
      </w:r>
      <w:r w:rsidRPr="00D97A83">
        <w:rPr>
          <w:szCs w:val="24"/>
          <w:vertAlign w:val="superscript"/>
        </w:rPr>
        <w:t>rd</w:t>
      </w:r>
      <w:r w:rsidRPr="00D97A83">
        <w:rPr>
          <w:szCs w:val="24"/>
        </w:rPr>
        <w:t xml:space="preserve"> party.  In paragraph 12 of the founding affidavit the applicant avers that in 2016</w:t>
      </w:r>
      <w:r w:rsidR="00DB2CBD" w:rsidRPr="00D97A83">
        <w:rPr>
          <w:szCs w:val="24"/>
        </w:rPr>
        <w:t>,</w:t>
      </w:r>
      <w:r w:rsidRPr="00D97A83">
        <w:rPr>
          <w:szCs w:val="24"/>
        </w:rPr>
        <w:t xml:space="preserve"> 2</w:t>
      </w:r>
      <w:r w:rsidRPr="00D97A83">
        <w:rPr>
          <w:szCs w:val="24"/>
          <w:vertAlign w:val="superscript"/>
        </w:rPr>
        <w:t>nd</w:t>
      </w:r>
      <w:r w:rsidR="00B3434C" w:rsidRPr="00D97A83">
        <w:rPr>
          <w:szCs w:val="24"/>
        </w:rPr>
        <w:t xml:space="preserve"> respondent tried to evict her via the Magistrates’ Court but failed.  In paragraphs 13 and 14 of the founding affidavit applicant avers that 4</w:t>
      </w:r>
      <w:r w:rsidR="00B3434C" w:rsidRPr="00D97A83">
        <w:rPr>
          <w:szCs w:val="24"/>
          <w:vertAlign w:val="superscript"/>
        </w:rPr>
        <w:t>th</w:t>
      </w:r>
      <w:r w:rsidR="00B3434C" w:rsidRPr="00D97A83">
        <w:rPr>
          <w:szCs w:val="24"/>
        </w:rPr>
        <w:t xml:space="preserve"> and 5</w:t>
      </w:r>
      <w:r w:rsidR="00B3434C" w:rsidRPr="00D97A83">
        <w:rPr>
          <w:szCs w:val="24"/>
          <w:vertAlign w:val="superscript"/>
        </w:rPr>
        <w:t>th</w:t>
      </w:r>
      <w:r w:rsidR="00B3434C" w:rsidRPr="00D97A83">
        <w:rPr>
          <w:szCs w:val="24"/>
        </w:rPr>
        <w:t xml:space="preserve"> respondents transferred the property d</w:t>
      </w:r>
      <w:r w:rsidR="00DB2CBD" w:rsidRPr="00D97A83">
        <w:rPr>
          <w:szCs w:val="24"/>
        </w:rPr>
        <w:t>e</w:t>
      </w:r>
      <w:r w:rsidR="00B3434C" w:rsidRPr="00D97A83">
        <w:rPr>
          <w:szCs w:val="24"/>
        </w:rPr>
        <w:t>sp</w:t>
      </w:r>
      <w:r w:rsidR="00DB2CBD" w:rsidRPr="00D97A83">
        <w:rPr>
          <w:szCs w:val="24"/>
        </w:rPr>
        <w:t>i</w:t>
      </w:r>
      <w:r w:rsidR="00B3434C" w:rsidRPr="00D97A83">
        <w:rPr>
          <w:szCs w:val="24"/>
        </w:rPr>
        <w:t>te the existence of a court order prohibiting transfer of the property.  She further avers that the agreement of sale between 2</w:t>
      </w:r>
      <w:r w:rsidR="00B3434C" w:rsidRPr="00D97A83">
        <w:rPr>
          <w:szCs w:val="24"/>
          <w:vertAlign w:val="superscript"/>
        </w:rPr>
        <w:t>nd</w:t>
      </w:r>
      <w:r w:rsidR="00B3434C" w:rsidRPr="00D97A83">
        <w:rPr>
          <w:szCs w:val="24"/>
        </w:rPr>
        <w:t xml:space="preserve"> and 3</w:t>
      </w:r>
      <w:r w:rsidR="00B3434C" w:rsidRPr="00D97A83">
        <w:rPr>
          <w:szCs w:val="24"/>
          <w:vertAlign w:val="superscript"/>
        </w:rPr>
        <w:t>rd</w:t>
      </w:r>
      <w:r w:rsidR="00B3434C" w:rsidRPr="00D97A83">
        <w:rPr>
          <w:szCs w:val="24"/>
        </w:rPr>
        <w:t xml:space="preserve"> respondents wa</w:t>
      </w:r>
      <w:r w:rsidR="00DB2CBD" w:rsidRPr="00D97A83">
        <w:rPr>
          <w:szCs w:val="24"/>
        </w:rPr>
        <w:t>s</w:t>
      </w:r>
      <w:r w:rsidR="00B3434C" w:rsidRPr="00D97A83">
        <w:rPr>
          <w:szCs w:val="24"/>
        </w:rPr>
        <w:t xml:space="preserve"> confirmed by the court under HC 1525/19 and that it is the execution of that order that now seeks to eject her from her home.</w:t>
      </w:r>
    </w:p>
    <w:p w:rsidR="00B3434C" w:rsidRPr="00D97A83" w:rsidRDefault="00B3434C" w:rsidP="00D97A83">
      <w:pPr>
        <w:jc w:val="both"/>
        <w:rPr>
          <w:szCs w:val="24"/>
        </w:rPr>
      </w:pPr>
      <w:r w:rsidRPr="00D97A83">
        <w:rPr>
          <w:szCs w:val="24"/>
        </w:rPr>
        <w:tab/>
        <w:t xml:space="preserve">Curiously though, the applicant does not tell this court a crucial point as to when she became aware of the transfer alleged in paragraph 13 of the founding affidavit.  She also does not tell the court when she became aware </w:t>
      </w:r>
      <w:r w:rsidR="00DB2CBD" w:rsidRPr="00D97A83">
        <w:rPr>
          <w:szCs w:val="24"/>
        </w:rPr>
        <w:t>o</w:t>
      </w:r>
      <w:r w:rsidRPr="00D97A83">
        <w:rPr>
          <w:szCs w:val="24"/>
        </w:rPr>
        <w:t>f the court order in HC 1525/19.  Such information was crucial because applicant is aware that 2</w:t>
      </w:r>
      <w:r w:rsidRPr="00D97A83">
        <w:rPr>
          <w:szCs w:val="24"/>
          <w:vertAlign w:val="superscript"/>
        </w:rPr>
        <w:t>nd</w:t>
      </w:r>
      <w:r w:rsidRPr="00D97A83">
        <w:rPr>
          <w:szCs w:val="24"/>
        </w:rPr>
        <w:t xml:space="preserve"> respondent has raised a point </w:t>
      </w:r>
      <w:r w:rsidRPr="00D97A83">
        <w:rPr>
          <w:i/>
          <w:szCs w:val="24"/>
        </w:rPr>
        <w:t>in limine</w:t>
      </w:r>
      <w:r w:rsidRPr="00D97A83">
        <w:rPr>
          <w:szCs w:val="24"/>
        </w:rPr>
        <w:t xml:space="preserve"> in regard to urgency claiming that this matter is not urgent at all.  The 2</w:t>
      </w:r>
      <w:r w:rsidRPr="00D97A83">
        <w:rPr>
          <w:szCs w:val="24"/>
          <w:vertAlign w:val="superscript"/>
        </w:rPr>
        <w:t>nd</w:t>
      </w:r>
      <w:r w:rsidRPr="00D97A83">
        <w:rPr>
          <w:szCs w:val="24"/>
        </w:rPr>
        <w:t xml:space="preserve"> respondent alleges that applicant was aware of the judici</w:t>
      </w:r>
      <w:r w:rsidR="00D97A83" w:rsidRPr="00D97A83">
        <w:rPr>
          <w:szCs w:val="24"/>
        </w:rPr>
        <w:t>al</w:t>
      </w:r>
      <w:r w:rsidRPr="00D97A83">
        <w:rPr>
          <w:szCs w:val="24"/>
        </w:rPr>
        <w:t xml:space="preserve"> sale in execution that was held way back in 2012 and she did nothing.  That applicant was aware of the change of name and title in the property since the rates account showed that.</w:t>
      </w:r>
    </w:p>
    <w:p w:rsidR="00B3434C" w:rsidRPr="00D97A83" w:rsidRDefault="00B3434C" w:rsidP="00D97A83">
      <w:pPr>
        <w:jc w:val="both"/>
        <w:rPr>
          <w:szCs w:val="24"/>
        </w:rPr>
      </w:pPr>
      <w:r w:rsidRPr="00D97A83">
        <w:rPr>
          <w:szCs w:val="24"/>
        </w:rPr>
        <w:tab/>
        <w:t>Applicant has not filed an answering affidavit to rebut the claims that she was aware of the public auction that was conducted disposing of the property way back in 2012 and she did nothing.  Applicant has not filed an answering affidavit to rebut the allegation that she was aware of the change of name of the property title through the City of Bulawayo rates account.  Applicant has not herself been specific as to how she got to know about the sale in execution, about the transfer of the property and about the court order in HC 1525/19.  She has decided to remain mum on</w:t>
      </w:r>
      <w:r w:rsidR="006122B1" w:rsidRPr="00D97A83">
        <w:rPr>
          <w:szCs w:val="24"/>
        </w:rPr>
        <w:t xml:space="preserve"> the dates relating to her knowledge of such issues and has chosen not to answer by way of an answering affidavit even after a challenge on urgency and her knowledge has been </w:t>
      </w:r>
      <w:r w:rsidR="00CC3658">
        <w:rPr>
          <w:szCs w:val="24"/>
        </w:rPr>
        <w:lastRenderedPageBreak/>
        <w:t>mo</w:t>
      </w:r>
      <w:r w:rsidR="006122B1" w:rsidRPr="00D97A83">
        <w:rPr>
          <w:szCs w:val="24"/>
        </w:rPr>
        <w:t>unted by the 2</w:t>
      </w:r>
      <w:r w:rsidR="006122B1" w:rsidRPr="00D97A83">
        <w:rPr>
          <w:szCs w:val="24"/>
          <w:vertAlign w:val="superscript"/>
        </w:rPr>
        <w:t>nd</w:t>
      </w:r>
      <w:r w:rsidR="006122B1" w:rsidRPr="00D97A83">
        <w:rPr>
          <w:szCs w:val="24"/>
        </w:rPr>
        <w:t xml:space="preserve"> respondent.  That which is not </w:t>
      </w:r>
      <w:r w:rsidR="00CC3658">
        <w:rPr>
          <w:szCs w:val="24"/>
        </w:rPr>
        <w:t>rebutt</w:t>
      </w:r>
      <w:r w:rsidR="006122B1" w:rsidRPr="00D97A83">
        <w:rPr>
          <w:szCs w:val="24"/>
        </w:rPr>
        <w:t>ed in litigation wherein one party alleges it, means that it is not contested.</w:t>
      </w:r>
    </w:p>
    <w:p w:rsidR="006122B1" w:rsidRPr="00D97A83" w:rsidRDefault="006122B1" w:rsidP="00D97A83">
      <w:pPr>
        <w:jc w:val="both"/>
        <w:rPr>
          <w:szCs w:val="24"/>
        </w:rPr>
      </w:pPr>
      <w:r w:rsidRPr="00D97A83">
        <w:rPr>
          <w:szCs w:val="24"/>
        </w:rPr>
        <w:tab/>
        <w:t>Accordingly, it is not contested that applicant has known of the judicial sale for 8 years now, and that she has known about the chan</w:t>
      </w:r>
      <w:r w:rsidR="00D97A83" w:rsidRPr="00D97A83">
        <w:rPr>
          <w:szCs w:val="24"/>
        </w:rPr>
        <w:t>g</w:t>
      </w:r>
      <w:r w:rsidRPr="00D97A83">
        <w:rPr>
          <w:szCs w:val="24"/>
        </w:rPr>
        <w:t>e of ownership all along and she sat back and did nothing.</w:t>
      </w:r>
    </w:p>
    <w:p w:rsidR="006122B1" w:rsidRPr="00D97A83" w:rsidRDefault="006122B1" w:rsidP="00D97A83">
      <w:pPr>
        <w:jc w:val="both"/>
        <w:rPr>
          <w:szCs w:val="24"/>
        </w:rPr>
      </w:pPr>
      <w:r w:rsidRPr="00D97A83">
        <w:rPr>
          <w:szCs w:val="24"/>
        </w:rPr>
        <w:tab/>
        <w:t xml:space="preserve">An urgent matter cannot wait unattended.  A matter is not only urgent when the day of reckoning arrives.  A matter is urgent when things start going wrong with an </w:t>
      </w:r>
      <w:r w:rsidR="00D97A83" w:rsidRPr="00D97A83">
        <w:rPr>
          <w:szCs w:val="24"/>
        </w:rPr>
        <w:t>un</w:t>
      </w:r>
      <w:r w:rsidRPr="00D97A83">
        <w:rPr>
          <w:szCs w:val="24"/>
        </w:rPr>
        <w:t>tenable outcome.  Like in this case, applicant was expected to act as a matt</w:t>
      </w:r>
      <w:r w:rsidR="00D97A83" w:rsidRPr="00D97A83">
        <w:rPr>
          <w:szCs w:val="24"/>
        </w:rPr>
        <w:t>er of urgency the day she learn</w:t>
      </w:r>
      <w:r w:rsidRPr="00D97A83">
        <w:rPr>
          <w:szCs w:val="24"/>
        </w:rPr>
        <w:t>t that an auction had been conducted disposing of the property against which she had a provisional order.  Applicant should also have acted when an attempt to evict her was made because then she became aware that behind her back, the property had since changed hands.  She became aware that 3</w:t>
      </w:r>
      <w:r w:rsidRPr="00D97A83">
        <w:rPr>
          <w:szCs w:val="24"/>
          <w:vertAlign w:val="superscript"/>
        </w:rPr>
        <w:t>rd</w:t>
      </w:r>
      <w:r w:rsidRPr="00D97A83">
        <w:rPr>
          <w:szCs w:val="24"/>
        </w:rPr>
        <w:t xml:space="preserve"> parties were laying claim on the property and that her eviction was inevitable.  An urgent </w:t>
      </w:r>
      <w:r w:rsidR="00D97A83" w:rsidRPr="00D97A83">
        <w:rPr>
          <w:szCs w:val="24"/>
        </w:rPr>
        <w:t>occurrence</w:t>
      </w:r>
      <w:r w:rsidRPr="00D97A83">
        <w:rPr>
          <w:szCs w:val="24"/>
        </w:rPr>
        <w:t xml:space="preserve"> is the realization that things are no longer flowing normally and that a</w:t>
      </w:r>
      <w:r w:rsidR="00CC3658">
        <w:rPr>
          <w:szCs w:val="24"/>
        </w:rPr>
        <w:t>n</w:t>
      </w:r>
      <w:r w:rsidRPr="00D97A83">
        <w:rPr>
          <w:szCs w:val="24"/>
        </w:rPr>
        <w:t xml:space="preserve"> applicant is facing an uncertain future, prompting them to act and protect their rights if any.  It cannot be urgent, that an eviction is looming yet the property was sold long back to applicant’s knowledge, eviction attempts made and change of title effected and yet applicant sat back for years and did not do anything to protect her rights.</w:t>
      </w:r>
    </w:p>
    <w:p w:rsidR="006122B1" w:rsidRPr="00D97A83" w:rsidRDefault="006122B1" w:rsidP="00D97A83">
      <w:pPr>
        <w:jc w:val="both"/>
        <w:rPr>
          <w:szCs w:val="24"/>
        </w:rPr>
      </w:pPr>
      <w:r w:rsidRPr="00D97A83">
        <w:rPr>
          <w:szCs w:val="24"/>
        </w:rPr>
        <w:tab/>
        <w:t xml:space="preserve">Having known about the sale and the resultant change of name, applicant should have been prompted to act as she ought </w:t>
      </w:r>
      <w:r w:rsidR="00CC3658">
        <w:rPr>
          <w:szCs w:val="24"/>
        </w:rPr>
        <w:t xml:space="preserve">to </w:t>
      </w:r>
      <w:r w:rsidRPr="00D97A83">
        <w:rPr>
          <w:szCs w:val="24"/>
        </w:rPr>
        <w:t>have appreciated that in that situation an eviction was inevitable.  She must have been propelled by such knowledge into action in a</w:t>
      </w:r>
      <w:r w:rsidR="00DB2CBD" w:rsidRPr="00D97A83">
        <w:rPr>
          <w:szCs w:val="24"/>
        </w:rPr>
        <w:t xml:space="preserve"> bid to protect her rights.  At this moment there is no urgency at all.  Applicant left obvious matters until too late and has thus failed to establish any basis for jumping the queue.</w:t>
      </w:r>
      <w:r w:rsidR="00CC3658">
        <w:rPr>
          <w:szCs w:val="24"/>
        </w:rPr>
        <w:t xml:space="preserve">  Applicant certainly no longer has the remedy of urgency in such circumstances, she left the situation until too late.  Refer to the case of </w:t>
      </w:r>
      <w:r w:rsidR="00CC3658" w:rsidRPr="00CC3658">
        <w:rPr>
          <w:i/>
          <w:szCs w:val="24"/>
        </w:rPr>
        <w:t>Kuvarega</w:t>
      </w:r>
      <w:r w:rsidR="00CC3658">
        <w:rPr>
          <w:szCs w:val="24"/>
        </w:rPr>
        <w:t xml:space="preserve"> v </w:t>
      </w:r>
      <w:r w:rsidR="00CC3658" w:rsidRPr="00CC3658">
        <w:rPr>
          <w:i/>
          <w:szCs w:val="24"/>
        </w:rPr>
        <w:t>Registrar General</w:t>
      </w:r>
      <w:r w:rsidR="00CC3658">
        <w:rPr>
          <w:szCs w:val="24"/>
        </w:rPr>
        <w:t xml:space="preserve"> 1998 (1) ZLR 188.</w:t>
      </w:r>
    </w:p>
    <w:p w:rsidR="00DB2CBD" w:rsidRPr="00D97A83" w:rsidRDefault="00DB2CBD" w:rsidP="00D97A83">
      <w:pPr>
        <w:jc w:val="both"/>
        <w:rPr>
          <w:szCs w:val="24"/>
        </w:rPr>
      </w:pPr>
      <w:r w:rsidRPr="00D97A83">
        <w:rPr>
          <w:szCs w:val="24"/>
        </w:rPr>
        <w:tab/>
        <w:t xml:space="preserve">I accordingly, uphold the point </w:t>
      </w:r>
      <w:r w:rsidRPr="00D97A83">
        <w:rPr>
          <w:i/>
          <w:szCs w:val="24"/>
        </w:rPr>
        <w:t>in limine</w:t>
      </w:r>
      <w:r w:rsidRPr="00D97A83">
        <w:rPr>
          <w:szCs w:val="24"/>
        </w:rPr>
        <w:t xml:space="preserve"> raised by 2</w:t>
      </w:r>
      <w:r w:rsidRPr="00D97A83">
        <w:rPr>
          <w:szCs w:val="24"/>
          <w:vertAlign w:val="superscript"/>
        </w:rPr>
        <w:t>nd</w:t>
      </w:r>
      <w:r w:rsidRPr="00D97A83">
        <w:rPr>
          <w:szCs w:val="24"/>
        </w:rPr>
        <w:t xml:space="preserve"> respondent on urgency.  It will not be necessary to deal with the issues raised by 2</w:t>
      </w:r>
      <w:r w:rsidRPr="00D97A83">
        <w:rPr>
          <w:szCs w:val="24"/>
          <w:vertAlign w:val="superscript"/>
        </w:rPr>
        <w:t>nd</w:t>
      </w:r>
      <w:r w:rsidRPr="00D97A83">
        <w:rPr>
          <w:szCs w:val="24"/>
        </w:rPr>
        <w:t xml:space="preserve"> respondent on the issue of the certificate of urgency as the lack of urgency itself is sufficient to dispose of the matter.</w:t>
      </w:r>
    </w:p>
    <w:p w:rsidR="00DB2CBD" w:rsidRPr="00D97A83" w:rsidRDefault="00DB2CBD" w:rsidP="00D97A83">
      <w:pPr>
        <w:jc w:val="both"/>
        <w:rPr>
          <w:szCs w:val="24"/>
        </w:rPr>
      </w:pPr>
      <w:r w:rsidRPr="00D97A83">
        <w:rPr>
          <w:szCs w:val="24"/>
        </w:rPr>
        <w:lastRenderedPageBreak/>
        <w:tab/>
        <w:t>I accordingly make the following order.</w:t>
      </w:r>
    </w:p>
    <w:p w:rsidR="00DB2CBD" w:rsidRPr="00D97A83" w:rsidRDefault="00DB2CBD" w:rsidP="00D97A83">
      <w:pPr>
        <w:jc w:val="both"/>
        <w:rPr>
          <w:szCs w:val="24"/>
        </w:rPr>
      </w:pPr>
      <w:r w:rsidRPr="00D97A83">
        <w:rPr>
          <w:szCs w:val="24"/>
        </w:rPr>
        <w:tab/>
        <w:t>The matter is struck off the roll of urgent matters with applicant paying the costs of suit.</w:t>
      </w:r>
    </w:p>
    <w:p w:rsidR="00DB2CBD" w:rsidRPr="00D97A83" w:rsidRDefault="00DB2CBD" w:rsidP="00D97A83">
      <w:pPr>
        <w:jc w:val="both"/>
        <w:rPr>
          <w:szCs w:val="24"/>
        </w:rPr>
      </w:pPr>
    </w:p>
    <w:p w:rsidR="00B43EF7" w:rsidRPr="00D97A83" w:rsidRDefault="00B43EF7" w:rsidP="00D97A83">
      <w:pPr>
        <w:pStyle w:val="NoSpacing"/>
        <w:jc w:val="both"/>
        <w:rPr>
          <w:b/>
          <w:szCs w:val="24"/>
        </w:rPr>
      </w:pPr>
    </w:p>
    <w:p w:rsidR="00FD0E17" w:rsidRPr="00D97A83" w:rsidRDefault="00DB2CBD" w:rsidP="00D97A83">
      <w:pPr>
        <w:pStyle w:val="NoSpacing"/>
        <w:jc w:val="both"/>
        <w:rPr>
          <w:szCs w:val="24"/>
        </w:rPr>
      </w:pPr>
      <w:r w:rsidRPr="00D97A83">
        <w:rPr>
          <w:i/>
          <w:szCs w:val="24"/>
        </w:rPr>
        <w:t>Mathonsi-Ncube Law Chambers</w:t>
      </w:r>
      <w:r w:rsidRPr="00D97A83">
        <w:rPr>
          <w:szCs w:val="24"/>
        </w:rPr>
        <w:t>, applicant’s legal practitioners</w:t>
      </w:r>
    </w:p>
    <w:p w:rsidR="00DB2CBD" w:rsidRPr="00D97A83" w:rsidRDefault="00DB2CBD" w:rsidP="00D97A83">
      <w:pPr>
        <w:pStyle w:val="NoSpacing"/>
        <w:jc w:val="both"/>
        <w:rPr>
          <w:szCs w:val="24"/>
        </w:rPr>
      </w:pPr>
      <w:r w:rsidRPr="00D97A83">
        <w:rPr>
          <w:i/>
          <w:szCs w:val="24"/>
        </w:rPr>
        <w:t>Mabundu &amp; Ndlovu Law Chambers</w:t>
      </w:r>
      <w:r w:rsidRPr="00D97A83">
        <w:rPr>
          <w:szCs w:val="24"/>
        </w:rPr>
        <w:t>, 2</w:t>
      </w:r>
      <w:r w:rsidRPr="00D97A83">
        <w:rPr>
          <w:szCs w:val="24"/>
          <w:vertAlign w:val="superscript"/>
        </w:rPr>
        <w:t>nd</w:t>
      </w:r>
      <w:r w:rsidRPr="00D97A83">
        <w:rPr>
          <w:szCs w:val="24"/>
        </w:rPr>
        <w:t xml:space="preserve"> respondent’s legal practitioners</w:t>
      </w:r>
    </w:p>
    <w:sectPr w:rsidR="00DB2CBD" w:rsidRPr="00D97A83"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7FD" w:rsidRDefault="003177FD" w:rsidP="00B43EF7">
      <w:pPr>
        <w:spacing w:before="0" w:after="0" w:line="240" w:lineRule="auto"/>
      </w:pPr>
      <w:r>
        <w:separator/>
      </w:r>
    </w:p>
  </w:endnote>
  <w:endnote w:type="continuationSeparator" w:id="1">
    <w:p w:rsidR="003177FD" w:rsidRDefault="003177FD" w:rsidP="00B43EF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7FD" w:rsidRDefault="003177FD" w:rsidP="00B43EF7">
      <w:pPr>
        <w:spacing w:before="0" w:after="0" w:line="240" w:lineRule="auto"/>
      </w:pPr>
      <w:r>
        <w:separator/>
      </w:r>
    </w:p>
  </w:footnote>
  <w:footnote w:type="continuationSeparator" w:id="1">
    <w:p w:rsidR="003177FD" w:rsidRDefault="003177FD" w:rsidP="00B43EF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5324"/>
      <w:docPartObj>
        <w:docPartGallery w:val="Page Numbers (Top of Page)"/>
        <w:docPartUnique/>
      </w:docPartObj>
    </w:sdtPr>
    <w:sdtContent>
      <w:p w:rsidR="00D97A83" w:rsidRDefault="001A0B1D">
        <w:pPr>
          <w:pStyle w:val="Header"/>
          <w:jc w:val="right"/>
        </w:pPr>
        <w:fldSimple w:instr=" PAGE   \* MERGEFORMAT ">
          <w:r w:rsidR="00172F4D">
            <w:rPr>
              <w:noProof/>
            </w:rPr>
            <w:t>1</w:t>
          </w:r>
        </w:fldSimple>
      </w:p>
      <w:p w:rsidR="00D97A83" w:rsidRDefault="00CC3658" w:rsidP="00CC3658">
        <w:pPr>
          <w:pStyle w:val="NoSpacing"/>
          <w:ind w:left="7920"/>
        </w:pPr>
        <w:r>
          <w:t xml:space="preserve">    </w:t>
        </w:r>
        <w:r w:rsidR="00D97A83">
          <w:t>HB .</w:t>
        </w:r>
        <w:r>
          <w:t>200</w:t>
        </w:r>
        <w:r w:rsidR="00D97A83">
          <w:t>/20</w:t>
        </w:r>
      </w:p>
      <w:p w:rsidR="00D97A83" w:rsidRDefault="00CC3658" w:rsidP="00CC3658">
        <w:pPr>
          <w:pStyle w:val="NoSpacing"/>
          <w:ind w:left="7920"/>
        </w:pPr>
        <w:r>
          <w:t xml:space="preserve">   </w:t>
        </w:r>
        <w:r w:rsidR="00D97A83">
          <w:t>HC 1515/20</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3EF7"/>
    <w:rsid w:val="00172F4D"/>
    <w:rsid w:val="001943D1"/>
    <w:rsid w:val="001A0B1D"/>
    <w:rsid w:val="001D126B"/>
    <w:rsid w:val="002C7F8A"/>
    <w:rsid w:val="003177FD"/>
    <w:rsid w:val="003A3365"/>
    <w:rsid w:val="003D37BB"/>
    <w:rsid w:val="003E5BAA"/>
    <w:rsid w:val="00477B02"/>
    <w:rsid w:val="0054317D"/>
    <w:rsid w:val="006122B1"/>
    <w:rsid w:val="0068662E"/>
    <w:rsid w:val="006A03C9"/>
    <w:rsid w:val="006B5EE2"/>
    <w:rsid w:val="00701C30"/>
    <w:rsid w:val="007B49A6"/>
    <w:rsid w:val="007D0B26"/>
    <w:rsid w:val="007D2790"/>
    <w:rsid w:val="00802C82"/>
    <w:rsid w:val="008079D0"/>
    <w:rsid w:val="008A7672"/>
    <w:rsid w:val="008C3209"/>
    <w:rsid w:val="009E5C1A"/>
    <w:rsid w:val="00A50BC8"/>
    <w:rsid w:val="00B25E1A"/>
    <w:rsid w:val="00B3434C"/>
    <w:rsid w:val="00B43EF7"/>
    <w:rsid w:val="00C61900"/>
    <w:rsid w:val="00CC3658"/>
    <w:rsid w:val="00D20B4C"/>
    <w:rsid w:val="00D97A83"/>
    <w:rsid w:val="00DB2CBD"/>
    <w:rsid w:val="00DC7832"/>
    <w:rsid w:val="00DE509F"/>
    <w:rsid w:val="00E10C27"/>
    <w:rsid w:val="00FD0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B43EF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43EF7"/>
    <w:rPr>
      <w:rFonts w:ascii="Times New Roman" w:hAnsi="Times New Roman"/>
      <w:sz w:val="24"/>
    </w:rPr>
  </w:style>
  <w:style w:type="paragraph" w:styleId="Footer">
    <w:name w:val="footer"/>
    <w:basedOn w:val="Normal"/>
    <w:link w:val="FooterChar"/>
    <w:uiPriority w:val="99"/>
    <w:semiHidden/>
    <w:unhideWhenUsed/>
    <w:rsid w:val="00B43EF7"/>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43EF7"/>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8</cp:revision>
  <cp:lastPrinted>2020-09-24T05:31:00Z</cp:lastPrinted>
  <dcterms:created xsi:type="dcterms:W3CDTF">2020-09-18T12:40:00Z</dcterms:created>
  <dcterms:modified xsi:type="dcterms:W3CDTF">2020-09-24T05:36:00Z</dcterms:modified>
</cp:coreProperties>
</file>