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19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SITHOKOZILE NDLOVU</w:t>
      </w:r>
      <w:bookmarkStart w:id="0" w:name="_GoBack"/>
      <w:bookmarkEnd w:id="0"/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Versus</w:t>
      </w: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MA</w:t>
      </w:r>
      <w:r w:rsidR="003A270B">
        <w:rPr>
          <w:b/>
          <w:sz w:val="24"/>
          <w:szCs w:val="24"/>
          <w:lang w:val="en-US"/>
        </w:rPr>
        <w:t>I</w:t>
      </w:r>
      <w:r w:rsidRPr="00042138">
        <w:rPr>
          <w:b/>
          <w:sz w:val="24"/>
          <w:szCs w:val="24"/>
          <w:lang w:val="en-US"/>
        </w:rPr>
        <w:t>ON ALICE BH</w:t>
      </w:r>
      <w:r w:rsidR="00926ADF">
        <w:rPr>
          <w:b/>
          <w:sz w:val="24"/>
          <w:szCs w:val="24"/>
          <w:lang w:val="en-US"/>
        </w:rPr>
        <w:t>I</w:t>
      </w:r>
      <w:r w:rsidRPr="00042138">
        <w:rPr>
          <w:b/>
          <w:sz w:val="24"/>
          <w:szCs w:val="24"/>
          <w:lang w:val="en-US"/>
        </w:rPr>
        <w:t>LA</w:t>
      </w: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And</w:t>
      </w: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THE CITY OF BULAWAYO</w:t>
      </w:r>
    </w:p>
    <w:p w:rsidR="007017BD" w:rsidRPr="00042138" w:rsidRDefault="007017BD" w:rsidP="007017BD">
      <w:pPr>
        <w:pStyle w:val="NoSpacing"/>
        <w:rPr>
          <w:b/>
          <w:sz w:val="24"/>
          <w:szCs w:val="24"/>
          <w:lang w:val="en-US"/>
        </w:rPr>
      </w:pP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>IN THE HIGH COURT OF ZIMBABWE</w:t>
      </w: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>KABASA &amp; NDLOVU JJ</w:t>
      </w: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>BULAWAYO 18 SEPTEMBER 2023</w:t>
      </w: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</w:p>
    <w:p w:rsidR="007017BD" w:rsidRPr="00042138" w:rsidRDefault="004F2B22" w:rsidP="007017BD">
      <w:pPr>
        <w:pStyle w:val="NoSpacing"/>
        <w:rPr>
          <w:sz w:val="24"/>
          <w:szCs w:val="24"/>
          <w:lang w:val="en-US"/>
        </w:rPr>
      </w:pPr>
      <w:r w:rsidRPr="00042138">
        <w:rPr>
          <w:i/>
          <w:sz w:val="24"/>
          <w:szCs w:val="24"/>
          <w:lang w:val="en-US"/>
        </w:rPr>
        <w:t>M</w:t>
      </w:r>
      <w:r w:rsidR="007017BD" w:rsidRPr="00042138">
        <w:rPr>
          <w:i/>
          <w:sz w:val="24"/>
          <w:szCs w:val="24"/>
          <w:lang w:val="en-US"/>
        </w:rPr>
        <w:t xml:space="preserve">. </w:t>
      </w:r>
      <w:proofErr w:type="spellStart"/>
      <w:r w:rsidR="007017BD" w:rsidRPr="00042138">
        <w:rPr>
          <w:i/>
          <w:sz w:val="24"/>
          <w:szCs w:val="24"/>
          <w:lang w:val="en-US"/>
        </w:rPr>
        <w:t>Moyo</w:t>
      </w:r>
      <w:proofErr w:type="spellEnd"/>
      <w:r w:rsidR="007017BD" w:rsidRPr="00042138">
        <w:rPr>
          <w:sz w:val="24"/>
          <w:szCs w:val="24"/>
          <w:lang w:val="en-US"/>
        </w:rPr>
        <w:t xml:space="preserve"> for the appellant</w:t>
      </w:r>
      <w:r w:rsidR="003A270B">
        <w:rPr>
          <w:sz w:val="24"/>
          <w:szCs w:val="24"/>
          <w:lang w:val="en-US"/>
        </w:rPr>
        <w:t>.</w:t>
      </w: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  <w:r w:rsidRPr="00042138">
        <w:rPr>
          <w:i/>
          <w:sz w:val="24"/>
          <w:szCs w:val="24"/>
          <w:lang w:val="en-US"/>
        </w:rPr>
        <w:t>B. Dube</w:t>
      </w:r>
      <w:r w:rsidRPr="00042138">
        <w:rPr>
          <w:sz w:val="24"/>
          <w:szCs w:val="24"/>
          <w:lang w:val="en-US"/>
        </w:rPr>
        <w:t xml:space="preserve"> for </w:t>
      </w:r>
      <w:r w:rsidR="003A270B">
        <w:rPr>
          <w:sz w:val="24"/>
          <w:szCs w:val="24"/>
          <w:lang w:val="en-US"/>
        </w:rPr>
        <w:t>the 1</w:t>
      </w:r>
      <w:r w:rsidR="003A270B" w:rsidRPr="003A270B">
        <w:rPr>
          <w:sz w:val="24"/>
          <w:szCs w:val="24"/>
          <w:vertAlign w:val="superscript"/>
          <w:lang w:val="en-US"/>
        </w:rPr>
        <w:t>st</w:t>
      </w:r>
      <w:r w:rsidR="003A270B">
        <w:rPr>
          <w:sz w:val="24"/>
          <w:szCs w:val="24"/>
          <w:lang w:val="en-US"/>
        </w:rPr>
        <w:t xml:space="preserve"> </w:t>
      </w:r>
      <w:r w:rsidRPr="00042138">
        <w:rPr>
          <w:sz w:val="24"/>
          <w:szCs w:val="24"/>
          <w:lang w:val="en-US"/>
        </w:rPr>
        <w:t>respondent</w:t>
      </w:r>
      <w:r w:rsidR="003A270B">
        <w:rPr>
          <w:sz w:val="24"/>
          <w:szCs w:val="24"/>
          <w:lang w:val="en-US"/>
        </w:rPr>
        <w:t>.</w:t>
      </w:r>
    </w:p>
    <w:p w:rsidR="007017BD" w:rsidRPr="00042138" w:rsidRDefault="007017BD" w:rsidP="007017BD">
      <w:pPr>
        <w:pStyle w:val="NoSpacing"/>
        <w:rPr>
          <w:sz w:val="24"/>
          <w:szCs w:val="24"/>
          <w:lang w:val="en-US"/>
        </w:rPr>
      </w:pPr>
    </w:p>
    <w:p w:rsidR="007017BD" w:rsidRPr="00042138" w:rsidRDefault="007017BD" w:rsidP="007017BD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</w:r>
      <w:r w:rsidRPr="00042138">
        <w:rPr>
          <w:b/>
          <w:sz w:val="24"/>
          <w:szCs w:val="24"/>
          <w:lang w:val="en-US"/>
        </w:rPr>
        <w:t>NDLOVU J:</w:t>
      </w:r>
      <w:r w:rsidRPr="00042138">
        <w:rPr>
          <w:b/>
          <w:sz w:val="24"/>
          <w:szCs w:val="24"/>
          <w:lang w:val="en-US"/>
        </w:rPr>
        <w:tab/>
      </w:r>
      <w:r w:rsidRPr="00042138">
        <w:rPr>
          <w:sz w:val="24"/>
          <w:szCs w:val="24"/>
          <w:lang w:val="en-US"/>
        </w:rPr>
        <w:t xml:space="preserve">On 18 September 2023 this court heard and determined an appeal by the appellant against the decision of the Magistrates’ Court given under case </w:t>
      </w:r>
      <w:r w:rsidR="003A270B">
        <w:rPr>
          <w:sz w:val="24"/>
          <w:szCs w:val="24"/>
          <w:lang w:val="en-US"/>
        </w:rPr>
        <w:t>n</w:t>
      </w:r>
      <w:r w:rsidRPr="00042138">
        <w:rPr>
          <w:sz w:val="24"/>
          <w:szCs w:val="24"/>
          <w:lang w:val="en-US"/>
        </w:rPr>
        <w:t>umber CC2472/21.  In the application before the Magistrates’ Court</w:t>
      </w:r>
      <w:r w:rsidR="003A270B">
        <w:rPr>
          <w:sz w:val="24"/>
          <w:szCs w:val="24"/>
          <w:lang w:val="en-US"/>
        </w:rPr>
        <w:t>,</w:t>
      </w:r>
      <w:r w:rsidRPr="00042138">
        <w:rPr>
          <w:sz w:val="24"/>
          <w:szCs w:val="24"/>
          <w:lang w:val="en-US"/>
        </w:rPr>
        <w:t xml:space="preserve">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 sought and was granted an eviction order against the appellant from a house </w:t>
      </w:r>
      <w:r w:rsidR="008410FA" w:rsidRPr="00042138">
        <w:rPr>
          <w:sz w:val="24"/>
          <w:szCs w:val="24"/>
          <w:lang w:val="en-US"/>
        </w:rPr>
        <w:t>i</w:t>
      </w:r>
      <w:r w:rsidRPr="00042138">
        <w:rPr>
          <w:sz w:val="24"/>
          <w:szCs w:val="24"/>
          <w:lang w:val="en-US"/>
        </w:rPr>
        <w:t xml:space="preserve">n one of the </w:t>
      </w:r>
      <w:r w:rsidR="003A270B">
        <w:rPr>
          <w:sz w:val="24"/>
          <w:szCs w:val="24"/>
          <w:lang w:val="en-US"/>
        </w:rPr>
        <w:t>high-density</w:t>
      </w:r>
      <w:r w:rsidR="008410FA" w:rsidRPr="00042138">
        <w:rPr>
          <w:sz w:val="24"/>
          <w:szCs w:val="24"/>
          <w:lang w:val="en-US"/>
        </w:rPr>
        <w:t xml:space="preserve"> suburbs in Bulawayo on the basis that the appellant has been occupying the property in question without the 1</w:t>
      </w:r>
      <w:r w:rsidR="008410FA" w:rsidRPr="00042138">
        <w:rPr>
          <w:sz w:val="24"/>
          <w:szCs w:val="24"/>
          <w:vertAlign w:val="superscript"/>
          <w:lang w:val="en-US"/>
        </w:rPr>
        <w:t>st</w:t>
      </w:r>
      <w:r w:rsidR="008410FA" w:rsidRPr="00042138">
        <w:rPr>
          <w:sz w:val="24"/>
          <w:szCs w:val="24"/>
          <w:lang w:val="en-US"/>
        </w:rPr>
        <w:t xml:space="preserve"> respondent’s consent</w:t>
      </w:r>
      <w:r w:rsidR="003A270B">
        <w:rPr>
          <w:sz w:val="24"/>
          <w:szCs w:val="24"/>
          <w:lang w:val="en-US"/>
        </w:rPr>
        <w:t>. Yet, the</w:t>
      </w:r>
      <w:r w:rsidR="008410FA" w:rsidRPr="00042138">
        <w:rPr>
          <w:sz w:val="24"/>
          <w:szCs w:val="24"/>
          <w:lang w:val="en-US"/>
        </w:rPr>
        <w:t xml:space="preserve"> 1</w:t>
      </w:r>
      <w:r w:rsidR="008410FA" w:rsidRPr="00042138">
        <w:rPr>
          <w:sz w:val="24"/>
          <w:szCs w:val="24"/>
          <w:vertAlign w:val="superscript"/>
          <w:lang w:val="en-US"/>
        </w:rPr>
        <w:t>st</w:t>
      </w:r>
      <w:r w:rsidR="008410FA" w:rsidRPr="00042138">
        <w:rPr>
          <w:sz w:val="24"/>
          <w:szCs w:val="24"/>
          <w:lang w:val="en-US"/>
        </w:rPr>
        <w:t xml:space="preserve"> respondent is the holder of all rights and interests in respect of the property </w:t>
      </w:r>
      <w:r w:rsidR="003A270B">
        <w:rPr>
          <w:sz w:val="24"/>
          <w:szCs w:val="24"/>
          <w:lang w:val="en-US"/>
        </w:rPr>
        <w:t>by</w:t>
      </w:r>
      <w:r w:rsidR="008410FA" w:rsidRPr="00042138">
        <w:rPr>
          <w:sz w:val="24"/>
          <w:szCs w:val="24"/>
          <w:lang w:val="en-US"/>
        </w:rPr>
        <w:t xml:space="preserve"> an agreement of sale that she has with the 2</w:t>
      </w:r>
      <w:r w:rsidR="008410FA" w:rsidRPr="00042138">
        <w:rPr>
          <w:sz w:val="24"/>
          <w:szCs w:val="24"/>
          <w:vertAlign w:val="superscript"/>
          <w:lang w:val="en-US"/>
        </w:rPr>
        <w:t>nd</w:t>
      </w:r>
      <w:r w:rsidR="008410FA" w:rsidRPr="00042138">
        <w:rPr>
          <w:sz w:val="24"/>
          <w:szCs w:val="24"/>
          <w:lang w:val="en-US"/>
        </w:rPr>
        <w:t xml:space="preserve"> r</w:t>
      </w:r>
      <w:r w:rsidR="003A270B">
        <w:rPr>
          <w:sz w:val="24"/>
          <w:szCs w:val="24"/>
          <w:lang w:val="en-US"/>
        </w:rPr>
        <w:t>espondent</w:t>
      </w:r>
      <w:r w:rsidR="008410FA" w:rsidRPr="00042138">
        <w:rPr>
          <w:sz w:val="24"/>
          <w:szCs w:val="24"/>
          <w:lang w:val="en-US"/>
        </w:rPr>
        <w:t>.</w:t>
      </w:r>
    </w:p>
    <w:p w:rsidR="008410FA" w:rsidRPr="00042138" w:rsidRDefault="008410FA" w:rsidP="007017BD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 xml:space="preserve">The High Court hearing was virtual.  We gave an </w:t>
      </w:r>
      <w:r w:rsidR="003A270B">
        <w:rPr>
          <w:i/>
          <w:sz w:val="24"/>
          <w:szCs w:val="24"/>
          <w:lang w:val="en-US"/>
        </w:rPr>
        <w:t>ex-tempore</w:t>
      </w:r>
      <w:r w:rsidR="003A270B">
        <w:rPr>
          <w:sz w:val="24"/>
          <w:szCs w:val="24"/>
          <w:lang w:val="en-US"/>
        </w:rPr>
        <w:t xml:space="preserve"> judgment and gave our</w:t>
      </w:r>
      <w:r w:rsidRPr="00042138">
        <w:rPr>
          <w:sz w:val="24"/>
          <w:szCs w:val="24"/>
          <w:lang w:val="en-US"/>
        </w:rPr>
        <w:t xml:space="preserve"> r</w:t>
      </w:r>
      <w:r w:rsidR="009B3102" w:rsidRPr="00042138">
        <w:rPr>
          <w:sz w:val="24"/>
          <w:szCs w:val="24"/>
          <w:lang w:val="en-US"/>
        </w:rPr>
        <w:t>e</w:t>
      </w:r>
      <w:r w:rsidRPr="00042138">
        <w:rPr>
          <w:sz w:val="24"/>
          <w:szCs w:val="24"/>
          <w:lang w:val="en-US"/>
        </w:rPr>
        <w:t>asons for</w:t>
      </w:r>
      <w:r w:rsidR="009B3102" w:rsidRPr="00042138">
        <w:rPr>
          <w:sz w:val="24"/>
          <w:szCs w:val="24"/>
          <w:lang w:val="en-US"/>
        </w:rPr>
        <w:t xml:space="preserve"> dismissing the appeal</w:t>
      </w:r>
      <w:r w:rsidR="003A270B">
        <w:rPr>
          <w:sz w:val="24"/>
          <w:szCs w:val="24"/>
          <w:lang w:val="en-US"/>
        </w:rPr>
        <w:t xml:space="preserve"> in</w:t>
      </w:r>
      <w:r w:rsidR="009B3102" w:rsidRPr="00042138">
        <w:rPr>
          <w:sz w:val="24"/>
          <w:szCs w:val="24"/>
          <w:lang w:val="en-US"/>
        </w:rPr>
        <w:t xml:space="preserve"> the knowledge that the IECMS records the proceedings in </w:t>
      </w:r>
      <w:r w:rsidR="003A270B">
        <w:rPr>
          <w:sz w:val="24"/>
          <w:szCs w:val="24"/>
          <w:lang w:val="en-US"/>
        </w:rPr>
        <w:t>real-time</w:t>
      </w:r>
      <w:r w:rsidR="009B3102" w:rsidRPr="00042138">
        <w:rPr>
          <w:sz w:val="24"/>
          <w:szCs w:val="24"/>
          <w:lang w:val="en-US"/>
        </w:rPr>
        <w:t xml:space="preserve">.  We believed that in the event of an appeal against the High </w:t>
      </w:r>
      <w:r w:rsidR="003A270B">
        <w:rPr>
          <w:sz w:val="24"/>
          <w:szCs w:val="24"/>
          <w:lang w:val="en-US"/>
        </w:rPr>
        <w:t>Court’s</w:t>
      </w:r>
      <w:r w:rsidR="009B3102" w:rsidRPr="00042138">
        <w:rPr>
          <w:sz w:val="24"/>
          <w:szCs w:val="24"/>
          <w:lang w:val="en-US"/>
        </w:rPr>
        <w:t xml:space="preserve"> decision</w:t>
      </w:r>
      <w:r w:rsidR="003A270B">
        <w:rPr>
          <w:sz w:val="24"/>
          <w:szCs w:val="24"/>
          <w:lang w:val="en-US"/>
        </w:rPr>
        <w:t>,</w:t>
      </w:r>
      <w:r w:rsidR="009B3102" w:rsidRPr="00042138">
        <w:rPr>
          <w:sz w:val="24"/>
          <w:szCs w:val="24"/>
          <w:lang w:val="en-US"/>
        </w:rPr>
        <w:t xml:space="preserve"> the</w:t>
      </w:r>
      <w:r w:rsidR="003A270B">
        <w:rPr>
          <w:sz w:val="24"/>
          <w:szCs w:val="24"/>
          <w:lang w:val="en-US"/>
        </w:rPr>
        <w:t xml:space="preserve"> </w:t>
      </w:r>
      <w:r w:rsidR="009B3102" w:rsidRPr="00042138">
        <w:rPr>
          <w:sz w:val="24"/>
          <w:szCs w:val="24"/>
          <w:lang w:val="en-US"/>
        </w:rPr>
        <w:t>aggrieved party would seek the transcription of the record of proceedings and p</w:t>
      </w:r>
      <w:r w:rsidR="003A270B">
        <w:rPr>
          <w:sz w:val="24"/>
          <w:szCs w:val="24"/>
          <w:lang w:val="en-US"/>
        </w:rPr>
        <w:t>rosecute their appeal. W</w:t>
      </w:r>
      <w:r w:rsidR="009B3102" w:rsidRPr="00042138">
        <w:rPr>
          <w:sz w:val="24"/>
          <w:szCs w:val="24"/>
          <w:lang w:val="en-US"/>
        </w:rPr>
        <w:t xml:space="preserve">e were however </w:t>
      </w:r>
      <w:r w:rsidR="003A270B">
        <w:rPr>
          <w:sz w:val="24"/>
          <w:szCs w:val="24"/>
          <w:lang w:val="en-US"/>
        </w:rPr>
        <w:t xml:space="preserve">later </w:t>
      </w:r>
      <w:r w:rsidR="009B3102" w:rsidRPr="00042138">
        <w:rPr>
          <w:sz w:val="24"/>
          <w:szCs w:val="24"/>
          <w:lang w:val="en-US"/>
        </w:rPr>
        <w:t xml:space="preserve">to learn that the appellant was seeking that we reduce our reasons to writing.  </w:t>
      </w:r>
      <w:r w:rsidR="003A270B">
        <w:rPr>
          <w:sz w:val="24"/>
          <w:szCs w:val="24"/>
          <w:lang w:val="en-US"/>
        </w:rPr>
        <w:t>For</w:t>
      </w:r>
      <w:r w:rsidR="009B3102" w:rsidRPr="00042138">
        <w:rPr>
          <w:sz w:val="24"/>
          <w:szCs w:val="24"/>
          <w:lang w:val="en-US"/>
        </w:rPr>
        <w:t xml:space="preserve"> the avoidance of doubt and delay we hereby do.</w:t>
      </w:r>
    </w:p>
    <w:p w:rsidR="009B3102" w:rsidRPr="00042138" w:rsidRDefault="009B3102" w:rsidP="007017BD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The controversy</w:t>
      </w:r>
      <w:r w:rsidR="006526CC" w:rsidRPr="00042138">
        <w:rPr>
          <w:sz w:val="24"/>
          <w:szCs w:val="24"/>
          <w:lang w:val="en-US"/>
        </w:rPr>
        <w:t xml:space="preserve"> between the parties has a long history.  The subject matter thereof has been in and out of both the High Court and the Magistrates’ Court over</w:t>
      </w:r>
      <w:r w:rsidR="003E38E6" w:rsidRPr="00042138">
        <w:rPr>
          <w:sz w:val="24"/>
          <w:szCs w:val="24"/>
          <w:lang w:val="en-US"/>
        </w:rPr>
        <w:t xml:space="preserve"> the past several years.</w:t>
      </w:r>
    </w:p>
    <w:p w:rsidR="00F506FD" w:rsidRDefault="00F506FD" w:rsidP="007017BD">
      <w:pPr>
        <w:rPr>
          <w:b/>
          <w:sz w:val="24"/>
          <w:szCs w:val="24"/>
          <w:lang w:val="en-US"/>
        </w:rPr>
      </w:pPr>
    </w:p>
    <w:p w:rsidR="00F506FD" w:rsidRDefault="00F506FD" w:rsidP="007017BD">
      <w:pPr>
        <w:rPr>
          <w:b/>
          <w:sz w:val="24"/>
          <w:szCs w:val="24"/>
          <w:lang w:val="en-US"/>
        </w:rPr>
      </w:pPr>
    </w:p>
    <w:p w:rsidR="00F506FD" w:rsidRDefault="003A270B" w:rsidP="00F506F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FACTS</w:t>
      </w:r>
    </w:p>
    <w:p w:rsidR="003E38E6" w:rsidRPr="00F506FD" w:rsidRDefault="003E38E6" w:rsidP="00F506FD">
      <w:pPr>
        <w:rPr>
          <w:b/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 xml:space="preserve">The litigation history </w:t>
      </w:r>
      <w:r w:rsidR="00B92BD5">
        <w:rPr>
          <w:sz w:val="24"/>
          <w:szCs w:val="24"/>
          <w:lang w:val="en-US"/>
        </w:rPr>
        <w:t xml:space="preserve">in this matter began with a </w:t>
      </w:r>
      <w:r w:rsidRPr="00042138">
        <w:rPr>
          <w:sz w:val="24"/>
          <w:szCs w:val="24"/>
          <w:lang w:val="en-US"/>
        </w:rPr>
        <w:t xml:space="preserve">High Court </w:t>
      </w:r>
      <w:r w:rsidR="00B92BD5">
        <w:rPr>
          <w:sz w:val="24"/>
          <w:szCs w:val="24"/>
          <w:lang w:val="en-US"/>
        </w:rPr>
        <w:t xml:space="preserve">application </w:t>
      </w:r>
      <w:r w:rsidRPr="00042138">
        <w:rPr>
          <w:sz w:val="24"/>
          <w:szCs w:val="24"/>
          <w:lang w:val="en-US"/>
        </w:rPr>
        <w:t>matter under cover of case number HC 2981/</w:t>
      </w:r>
      <w:r w:rsidR="00B92BD5">
        <w:rPr>
          <w:sz w:val="24"/>
          <w:szCs w:val="24"/>
          <w:lang w:val="en-US"/>
        </w:rPr>
        <w:t xml:space="preserve">11 </w:t>
      </w:r>
      <w:r w:rsidRPr="00042138">
        <w:rPr>
          <w:sz w:val="24"/>
          <w:szCs w:val="24"/>
          <w:lang w:val="en-US"/>
        </w:rPr>
        <w:t>pit</w:t>
      </w:r>
      <w:r w:rsidR="00926ADF">
        <w:rPr>
          <w:sz w:val="24"/>
          <w:szCs w:val="24"/>
          <w:lang w:val="en-US"/>
        </w:rPr>
        <w:t>t</w:t>
      </w:r>
      <w:r w:rsidRPr="00042138">
        <w:rPr>
          <w:sz w:val="24"/>
          <w:szCs w:val="24"/>
          <w:lang w:val="en-US"/>
        </w:rPr>
        <w:t>ing the appellant as the applicant and one Mr</w:t>
      </w:r>
      <w:r w:rsidR="00B92BD5">
        <w:rPr>
          <w:sz w:val="24"/>
          <w:szCs w:val="24"/>
          <w:lang w:val="en-US"/>
        </w:rPr>
        <w:t>.</w:t>
      </w:r>
      <w:r w:rsidRPr="00042138">
        <w:rPr>
          <w:sz w:val="24"/>
          <w:szCs w:val="24"/>
          <w:lang w:val="en-US"/>
        </w:rPr>
        <w:t xml:space="preserve"> </w:t>
      </w:r>
      <w:proofErr w:type="spellStart"/>
      <w:r w:rsidRPr="00042138">
        <w:rPr>
          <w:sz w:val="24"/>
          <w:szCs w:val="24"/>
          <w:lang w:val="en-US"/>
        </w:rPr>
        <w:t>Shadrec</w:t>
      </w:r>
      <w:r w:rsidR="00042138">
        <w:rPr>
          <w:sz w:val="24"/>
          <w:szCs w:val="24"/>
          <w:lang w:val="en-US"/>
        </w:rPr>
        <w:t>k</w:t>
      </w:r>
      <w:proofErr w:type="spellEnd"/>
      <w:r w:rsidR="00042138">
        <w:rPr>
          <w:sz w:val="24"/>
          <w:szCs w:val="24"/>
          <w:lang w:val="en-US"/>
        </w:rPr>
        <w:t xml:space="preserve"> </w:t>
      </w:r>
      <w:proofErr w:type="spellStart"/>
      <w:r w:rsidRPr="00042138">
        <w:rPr>
          <w:sz w:val="24"/>
          <w:szCs w:val="24"/>
          <w:lang w:val="en-US"/>
        </w:rPr>
        <w:t>Ndlovu</w:t>
      </w:r>
      <w:proofErr w:type="spellEnd"/>
      <w:r w:rsidRPr="00042138">
        <w:rPr>
          <w:sz w:val="24"/>
          <w:szCs w:val="24"/>
          <w:lang w:val="en-US"/>
        </w:rPr>
        <w:t xml:space="preserve"> her </w:t>
      </w:r>
      <w:r w:rsidR="00B92BD5">
        <w:rPr>
          <w:sz w:val="24"/>
          <w:szCs w:val="24"/>
          <w:lang w:val="en-US"/>
        </w:rPr>
        <w:t>then-husband</w:t>
      </w:r>
      <w:r w:rsidRPr="00042138">
        <w:rPr>
          <w:sz w:val="24"/>
          <w:szCs w:val="24"/>
          <w:lang w:val="en-US"/>
        </w:rPr>
        <w:t xml:space="preserve"> featuring as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respondent.</w:t>
      </w:r>
      <w:r w:rsidR="00B92BD5">
        <w:rPr>
          <w:sz w:val="24"/>
          <w:szCs w:val="24"/>
          <w:lang w:val="en-US"/>
        </w:rPr>
        <w:t xml:space="preserve"> The application in question resulted in a provisional order being granted in favor of the appellant. </w:t>
      </w:r>
      <w:r w:rsidRPr="00042138">
        <w:rPr>
          <w:sz w:val="24"/>
          <w:szCs w:val="24"/>
          <w:lang w:val="en-US"/>
        </w:rPr>
        <w:t>The pertinent terms of the provisional order in question by K</w:t>
      </w:r>
      <w:r w:rsidRPr="00042138">
        <w:rPr>
          <w:sz w:val="20"/>
          <w:szCs w:val="20"/>
          <w:lang w:val="en-US"/>
        </w:rPr>
        <w:t>AMOCHA</w:t>
      </w:r>
      <w:r w:rsidRPr="00042138">
        <w:rPr>
          <w:sz w:val="24"/>
          <w:szCs w:val="24"/>
          <w:lang w:val="en-US"/>
        </w:rPr>
        <w:t xml:space="preserve"> J state as follows:</w:t>
      </w:r>
    </w:p>
    <w:p w:rsidR="003E38E6" w:rsidRPr="00B92BD5" w:rsidRDefault="003E38E6" w:rsidP="00902BAD">
      <w:pPr>
        <w:pStyle w:val="NoSpacing"/>
        <w:ind w:left="720"/>
        <w:rPr>
          <w:b/>
          <w:i/>
          <w:sz w:val="24"/>
          <w:szCs w:val="24"/>
          <w:lang w:val="en-US"/>
        </w:rPr>
      </w:pPr>
      <w:r w:rsidRPr="00B92BD5">
        <w:rPr>
          <w:b/>
          <w:i/>
          <w:sz w:val="24"/>
          <w:szCs w:val="24"/>
          <w:lang w:val="en-US"/>
        </w:rPr>
        <w:t>“The 1</w:t>
      </w:r>
      <w:r w:rsidRPr="00B92BD5">
        <w:rPr>
          <w:b/>
          <w:i/>
          <w:sz w:val="24"/>
          <w:szCs w:val="24"/>
          <w:vertAlign w:val="superscript"/>
          <w:lang w:val="en-US"/>
        </w:rPr>
        <w:t>st</w:t>
      </w:r>
      <w:r w:rsidRPr="00B92BD5">
        <w:rPr>
          <w:b/>
          <w:i/>
          <w:sz w:val="24"/>
          <w:szCs w:val="24"/>
          <w:lang w:val="en-US"/>
        </w:rPr>
        <w:t xml:space="preserve"> respondent be and is hereby</w:t>
      </w:r>
      <w:r w:rsidR="004F2B22" w:rsidRPr="00B92BD5">
        <w:rPr>
          <w:b/>
          <w:i/>
          <w:sz w:val="24"/>
          <w:szCs w:val="24"/>
          <w:lang w:val="en-US"/>
        </w:rPr>
        <w:t xml:space="preserve"> barred from disposing or</w:t>
      </w:r>
      <w:r w:rsidR="000B4C7A" w:rsidRPr="00B92BD5">
        <w:rPr>
          <w:b/>
          <w:i/>
          <w:sz w:val="24"/>
          <w:szCs w:val="24"/>
          <w:lang w:val="en-US"/>
        </w:rPr>
        <w:t xml:space="preserve"> alienating or transferring the said property.”</w:t>
      </w:r>
    </w:p>
    <w:p w:rsidR="000B4C7A" w:rsidRPr="00B92BD5" w:rsidRDefault="000B4C7A" w:rsidP="003E38E6">
      <w:pPr>
        <w:pStyle w:val="NoSpacing"/>
        <w:rPr>
          <w:b/>
          <w:i/>
          <w:sz w:val="24"/>
          <w:szCs w:val="24"/>
          <w:lang w:val="en-US"/>
        </w:rPr>
      </w:pPr>
    </w:p>
    <w:p w:rsidR="000B4C7A" w:rsidRPr="00042138" w:rsidRDefault="000B4C7A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It is common cause tha</w:t>
      </w:r>
      <w:r w:rsidR="00B92BD5">
        <w:rPr>
          <w:sz w:val="24"/>
          <w:szCs w:val="24"/>
          <w:lang w:val="en-US"/>
        </w:rPr>
        <w:t>t the provisional order in HC 29</w:t>
      </w:r>
      <w:r w:rsidRPr="00042138">
        <w:rPr>
          <w:sz w:val="24"/>
          <w:szCs w:val="24"/>
          <w:lang w:val="en-US"/>
        </w:rPr>
        <w:t>81/11 was never confirmed.  It is also common cause that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respondent, the Sheriff of the High Court</w:t>
      </w:r>
      <w:r w:rsidR="00B92BD5">
        <w:rPr>
          <w:sz w:val="24"/>
          <w:szCs w:val="24"/>
          <w:lang w:val="en-US"/>
        </w:rPr>
        <w:t>,</w:t>
      </w:r>
      <w:r w:rsidRPr="00042138">
        <w:rPr>
          <w:sz w:val="24"/>
          <w:szCs w:val="24"/>
          <w:lang w:val="en-US"/>
        </w:rPr>
        <w:t xml:space="preserve"> and one Angelina Belinda Su</w:t>
      </w:r>
      <w:r w:rsidR="00902BAD" w:rsidRPr="00042138">
        <w:rPr>
          <w:sz w:val="24"/>
          <w:szCs w:val="24"/>
          <w:lang w:val="en-US"/>
        </w:rPr>
        <w:t>n</w:t>
      </w:r>
      <w:r w:rsidRPr="00042138">
        <w:rPr>
          <w:sz w:val="24"/>
          <w:szCs w:val="24"/>
          <w:lang w:val="en-US"/>
        </w:rPr>
        <w:t>ga were not parties in HC 2981/11.</w:t>
      </w:r>
    </w:p>
    <w:p w:rsidR="000B4C7A" w:rsidRPr="00042138" w:rsidRDefault="000B4C7A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It then happened that the property in question was sold in a judicial sale to</w:t>
      </w:r>
      <w:r w:rsidR="00B92BD5">
        <w:rPr>
          <w:sz w:val="24"/>
          <w:szCs w:val="24"/>
          <w:lang w:val="en-US"/>
        </w:rPr>
        <w:t xml:space="preserve"> one </w:t>
      </w:r>
      <w:r w:rsidRPr="00042138">
        <w:rPr>
          <w:sz w:val="24"/>
          <w:szCs w:val="24"/>
          <w:lang w:val="en-US"/>
        </w:rPr>
        <w:t>Angelina Belinda S</w:t>
      </w:r>
      <w:r w:rsidR="00B92BD5">
        <w:rPr>
          <w:sz w:val="24"/>
          <w:szCs w:val="24"/>
          <w:lang w:val="en-US"/>
        </w:rPr>
        <w:t xml:space="preserve">unga. It </w:t>
      </w:r>
      <w:r w:rsidRPr="00042138">
        <w:rPr>
          <w:sz w:val="24"/>
          <w:szCs w:val="24"/>
          <w:lang w:val="en-US"/>
        </w:rPr>
        <w:t>was further transferred to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 per this court’s order under cover of HC 1525/</w:t>
      </w:r>
      <w:r w:rsidR="00902BAD" w:rsidRPr="00042138">
        <w:rPr>
          <w:sz w:val="24"/>
          <w:szCs w:val="24"/>
          <w:lang w:val="en-US"/>
        </w:rPr>
        <w:t xml:space="preserve">19.  That sale and transfer is </w:t>
      </w:r>
      <w:r w:rsidRPr="00042138">
        <w:rPr>
          <w:sz w:val="24"/>
          <w:szCs w:val="24"/>
          <w:lang w:val="en-US"/>
        </w:rPr>
        <w:t>over 10 years old.  It is common cause</w:t>
      </w:r>
      <w:r w:rsidR="00B92BD5">
        <w:rPr>
          <w:sz w:val="24"/>
          <w:szCs w:val="24"/>
          <w:lang w:val="en-US"/>
        </w:rPr>
        <w:t xml:space="preserve"> that the High Court Order in H</w:t>
      </w:r>
      <w:r w:rsidRPr="00042138">
        <w:rPr>
          <w:sz w:val="24"/>
          <w:szCs w:val="24"/>
          <w:lang w:val="en-US"/>
        </w:rPr>
        <w:t>C 1525/19 was never appealed against nor set aside.  It is therefore extant</w:t>
      </w:r>
      <w:r w:rsidR="009604E0" w:rsidRPr="00042138">
        <w:rPr>
          <w:sz w:val="24"/>
          <w:szCs w:val="24"/>
          <w:lang w:val="en-US"/>
        </w:rPr>
        <w:t>.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It is that order in HC 1525/19 that birthed the facts and position that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 be and is the holder of all rights and interests in the house in question.</w:t>
      </w:r>
    </w:p>
    <w:p w:rsidR="009604E0" w:rsidRPr="00042138" w:rsidRDefault="00B92BD5" w:rsidP="000B4C7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ARGUMENTS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The app</w:t>
      </w:r>
      <w:r w:rsidR="00B92BD5">
        <w:rPr>
          <w:sz w:val="24"/>
          <w:szCs w:val="24"/>
          <w:lang w:val="en-US"/>
        </w:rPr>
        <w:t>ellant sought to argue that the</w:t>
      </w:r>
      <w:r w:rsidRPr="00042138">
        <w:rPr>
          <w:sz w:val="24"/>
          <w:szCs w:val="24"/>
          <w:lang w:val="en-US"/>
        </w:rPr>
        <w:t xml:space="preserve"> provisional order in HC 2981/11 is extant and </w:t>
      </w:r>
      <w:r w:rsidR="00B92BD5">
        <w:rPr>
          <w:sz w:val="24"/>
          <w:szCs w:val="24"/>
          <w:lang w:val="en-US"/>
        </w:rPr>
        <w:t xml:space="preserve">that it </w:t>
      </w:r>
      <w:r w:rsidRPr="00042138">
        <w:rPr>
          <w:sz w:val="24"/>
          <w:szCs w:val="24"/>
          <w:lang w:val="en-US"/>
        </w:rPr>
        <w:t>barred the later disposal of the property be it by judicial sale or however.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That the provisional order i</w:t>
      </w:r>
      <w:r w:rsidR="00C87106">
        <w:rPr>
          <w:sz w:val="24"/>
          <w:szCs w:val="24"/>
          <w:lang w:val="en-US"/>
        </w:rPr>
        <w:t xml:space="preserve">s extant is academic </w:t>
      </w:r>
      <w:r w:rsidRPr="00042138">
        <w:rPr>
          <w:sz w:val="24"/>
          <w:szCs w:val="24"/>
          <w:lang w:val="en-US"/>
        </w:rPr>
        <w:t xml:space="preserve">in the circumstances of </w:t>
      </w:r>
      <w:r w:rsidR="00C87106">
        <w:rPr>
          <w:sz w:val="24"/>
          <w:szCs w:val="24"/>
          <w:lang w:val="en-US"/>
        </w:rPr>
        <w:t>this case because</w:t>
      </w:r>
      <w:r w:rsidRPr="00042138">
        <w:rPr>
          <w:sz w:val="24"/>
          <w:szCs w:val="24"/>
          <w:lang w:val="en-US"/>
        </w:rPr>
        <w:t xml:space="preserve"> a judicial sale is a product of a court order and in any case</w:t>
      </w:r>
      <w:r w:rsidR="00C87106">
        <w:rPr>
          <w:sz w:val="24"/>
          <w:szCs w:val="24"/>
          <w:lang w:val="en-US"/>
        </w:rPr>
        <w:t>,</w:t>
      </w:r>
      <w:r w:rsidRPr="00042138">
        <w:rPr>
          <w:sz w:val="24"/>
          <w:szCs w:val="24"/>
          <w:lang w:val="en-US"/>
        </w:rPr>
        <w:t xml:space="preserve"> the sale in execution of a court </w:t>
      </w:r>
      <w:r w:rsidR="00926ADF">
        <w:rPr>
          <w:sz w:val="24"/>
          <w:szCs w:val="24"/>
          <w:lang w:val="en-US"/>
        </w:rPr>
        <w:t xml:space="preserve">order </w:t>
      </w:r>
      <w:r w:rsidRPr="00042138">
        <w:rPr>
          <w:sz w:val="24"/>
          <w:szCs w:val="24"/>
          <w:lang w:val="en-US"/>
        </w:rPr>
        <w:t xml:space="preserve">was not barred by the terms of </w:t>
      </w:r>
      <w:r w:rsidR="00C87106" w:rsidRPr="00926ADF">
        <w:rPr>
          <w:sz w:val="20"/>
          <w:szCs w:val="20"/>
          <w:lang w:val="en-US"/>
        </w:rPr>
        <w:t>K</w:t>
      </w:r>
      <w:r w:rsidR="00926ADF">
        <w:rPr>
          <w:sz w:val="20"/>
          <w:szCs w:val="20"/>
          <w:lang w:val="en-US"/>
        </w:rPr>
        <w:t>AMOCHA</w:t>
      </w:r>
      <w:r w:rsidR="00C87106">
        <w:rPr>
          <w:sz w:val="24"/>
          <w:szCs w:val="24"/>
          <w:lang w:val="en-US"/>
        </w:rPr>
        <w:t xml:space="preserve"> J’s </w:t>
      </w:r>
      <w:r w:rsidRPr="00042138">
        <w:rPr>
          <w:sz w:val="24"/>
          <w:szCs w:val="24"/>
          <w:lang w:val="en-US"/>
        </w:rPr>
        <w:t>provisional order.  In essence</w:t>
      </w:r>
      <w:r w:rsidR="00C87106">
        <w:rPr>
          <w:sz w:val="24"/>
          <w:szCs w:val="24"/>
          <w:lang w:val="en-US"/>
        </w:rPr>
        <w:t xml:space="preserve">, the provisional order was </w:t>
      </w:r>
      <w:r w:rsidRPr="00042138">
        <w:rPr>
          <w:sz w:val="24"/>
          <w:szCs w:val="24"/>
          <w:lang w:val="en-US"/>
        </w:rPr>
        <w:t>overtaken by events.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The appellant also sought to argue that the sale or transfer of the property to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 was not real and was a fraud.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There is no evidence that the sale or tra</w:t>
      </w:r>
      <w:r w:rsidR="00042138" w:rsidRPr="00042138">
        <w:rPr>
          <w:sz w:val="24"/>
          <w:szCs w:val="24"/>
          <w:lang w:val="en-US"/>
        </w:rPr>
        <w:t xml:space="preserve">nsfer was a fraud.  Fraud or </w:t>
      </w:r>
      <w:r w:rsidR="00C87106">
        <w:rPr>
          <w:sz w:val="24"/>
          <w:szCs w:val="24"/>
          <w:lang w:val="en-US"/>
        </w:rPr>
        <w:t>not,</w:t>
      </w:r>
      <w:r w:rsidRPr="00042138">
        <w:rPr>
          <w:sz w:val="24"/>
          <w:szCs w:val="24"/>
          <w:lang w:val="en-US"/>
        </w:rPr>
        <w:t xml:space="preserve"> this court has stated that the 1</w:t>
      </w:r>
      <w:r w:rsidRPr="00042138">
        <w:rPr>
          <w:sz w:val="24"/>
          <w:szCs w:val="24"/>
          <w:vertAlign w:val="superscript"/>
          <w:lang w:val="en-US"/>
        </w:rPr>
        <w:t>st</w:t>
      </w:r>
      <w:r w:rsidRPr="00042138">
        <w:rPr>
          <w:sz w:val="24"/>
          <w:szCs w:val="24"/>
          <w:lang w:val="en-US"/>
        </w:rPr>
        <w:t xml:space="preserve"> respondent is </w:t>
      </w:r>
      <w:r w:rsidR="00C87106">
        <w:rPr>
          <w:sz w:val="24"/>
          <w:szCs w:val="24"/>
          <w:lang w:val="en-US"/>
        </w:rPr>
        <w:t xml:space="preserve">the </w:t>
      </w:r>
      <w:r w:rsidRPr="00042138">
        <w:rPr>
          <w:sz w:val="24"/>
          <w:szCs w:val="24"/>
          <w:lang w:val="en-US"/>
        </w:rPr>
        <w:t xml:space="preserve">rightful holder of all the rights and interests in the house in </w:t>
      </w:r>
      <w:r w:rsidRPr="00042138">
        <w:rPr>
          <w:sz w:val="24"/>
          <w:szCs w:val="24"/>
          <w:lang w:val="en-US"/>
        </w:rPr>
        <w:lastRenderedPageBreak/>
        <w:t xml:space="preserve">question.  That order is extant.  There is only one High Court in Zimbabwe and different judges cannot and should not contradict each other on the same subject matter lest members of </w:t>
      </w:r>
      <w:r w:rsidR="00C87106">
        <w:rPr>
          <w:sz w:val="24"/>
          <w:szCs w:val="24"/>
          <w:lang w:val="en-US"/>
        </w:rPr>
        <w:t xml:space="preserve">the </w:t>
      </w:r>
      <w:r w:rsidRPr="00042138">
        <w:rPr>
          <w:sz w:val="24"/>
          <w:szCs w:val="24"/>
          <w:lang w:val="en-US"/>
        </w:rPr>
        <w:t>public lose tru</w:t>
      </w:r>
      <w:r w:rsidR="00042138" w:rsidRPr="00042138">
        <w:rPr>
          <w:sz w:val="24"/>
          <w:szCs w:val="24"/>
          <w:lang w:val="en-US"/>
        </w:rPr>
        <w:t>s</w:t>
      </w:r>
      <w:r w:rsidRPr="00042138">
        <w:rPr>
          <w:sz w:val="24"/>
          <w:szCs w:val="24"/>
          <w:lang w:val="en-US"/>
        </w:rPr>
        <w:t>t and reliance on court orders.</w:t>
      </w:r>
    </w:p>
    <w:p w:rsidR="009604E0" w:rsidRPr="00042138" w:rsidRDefault="009604E0" w:rsidP="000B4C7A">
      <w:pPr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Disposition</w:t>
      </w:r>
    </w:p>
    <w:p w:rsidR="009604E0" w:rsidRPr="00042138" w:rsidRDefault="009604E0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In the circumstances</w:t>
      </w:r>
      <w:r w:rsidR="00C87106">
        <w:rPr>
          <w:sz w:val="24"/>
          <w:szCs w:val="24"/>
          <w:lang w:val="en-US"/>
        </w:rPr>
        <w:t>,</w:t>
      </w:r>
      <w:r w:rsidRPr="00042138">
        <w:rPr>
          <w:sz w:val="24"/>
          <w:szCs w:val="24"/>
          <w:lang w:val="en-US"/>
        </w:rPr>
        <w:t xml:space="preserve"> it cannot be said that the magistrate misdirected h</w:t>
      </w:r>
      <w:r w:rsidR="00042138" w:rsidRPr="00042138">
        <w:rPr>
          <w:sz w:val="24"/>
          <w:szCs w:val="24"/>
          <w:lang w:val="en-US"/>
        </w:rPr>
        <w:t>e</w:t>
      </w:r>
      <w:r w:rsidRPr="00042138">
        <w:rPr>
          <w:sz w:val="24"/>
          <w:szCs w:val="24"/>
          <w:lang w:val="en-US"/>
        </w:rPr>
        <w:t>rself</w:t>
      </w:r>
      <w:r w:rsidR="0077007E" w:rsidRPr="00042138">
        <w:rPr>
          <w:sz w:val="24"/>
          <w:szCs w:val="24"/>
          <w:lang w:val="en-US"/>
        </w:rPr>
        <w:t xml:space="preserve"> in arriving at the decision</w:t>
      </w:r>
      <w:r w:rsidR="00C87106">
        <w:rPr>
          <w:sz w:val="24"/>
          <w:szCs w:val="24"/>
          <w:lang w:val="en-US"/>
        </w:rPr>
        <w:t xml:space="preserve"> and order</w:t>
      </w:r>
      <w:r w:rsidR="0077007E" w:rsidRPr="00042138">
        <w:rPr>
          <w:sz w:val="24"/>
          <w:szCs w:val="24"/>
          <w:lang w:val="en-US"/>
        </w:rPr>
        <w:t xml:space="preserve"> she </w:t>
      </w:r>
      <w:r w:rsidR="00C87106">
        <w:rPr>
          <w:sz w:val="24"/>
          <w:szCs w:val="24"/>
          <w:lang w:val="en-US"/>
        </w:rPr>
        <w:t>made</w:t>
      </w:r>
      <w:r w:rsidR="0077007E" w:rsidRPr="00042138">
        <w:rPr>
          <w:sz w:val="24"/>
          <w:szCs w:val="24"/>
          <w:lang w:val="en-US"/>
        </w:rPr>
        <w:t xml:space="preserve"> in the court </w:t>
      </w:r>
      <w:r w:rsidR="0077007E" w:rsidRPr="00042138">
        <w:rPr>
          <w:i/>
          <w:sz w:val="24"/>
          <w:szCs w:val="24"/>
          <w:lang w:val="en-US"/>
        </w:rPr>
        <w:t>a quo</w:t>
      </w:r>
      <w:r w:rsidR="0077007E" w:rsidRPr="00042138">
        <w:rPr>
          <w:sz w:val="24"/>
          <w:szCs w:val="24"/>
          <w:lang w:val="en-US"/>
        </w:rPr>
        <w:t>.</w:t>
      </w:r>
    </w:p>
    <w:p w:rsidR="0077007E" w:rsidRPr="00042138" w:rsidRDefault="0077007E" w:rsidP="000B4C7A">
      <w:pPr>
        <w:rPr>
          <w:b/>
          <w:sz w:val="24"/>
          <w:szCs w:val="24"/>
          <w:lang w:val="en-US"/>
        </w:rPr>
      </w:pPr>
      <w:r w:rsidRPr="00042138">
        <w:rPr>
          <w:b/>
          <w:sz w:val="24"/>
          <w:szCs w:val="24"/>
          <w:lang w:val="en-US"/>
        </w:rPr>
        <w:t>Order</w:t>
      </w:r>
    </w:p>
    <w:p w:rsidR="0077007E" w:rsidRPr="00042138" w:rsidRDefault="0077007E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  <w:t>The appeal be and is hereby dismissed with costs.</w:t>
      </w:r>
    </w:p>
    <w:p w:rsidR="0077007E" w:rsidRPr="00042138" w:rsidRDefault="0077007E" w:rsidP="000B4C7A">
      <w:pPr>
        <w:rPr>
          <w:sz w:val="24"/>
          <w:szCs w:val="24"/>
          <w:lang w:val="en-US"/>
        </w:rPr>
      </w:pPr>
    </w:p>
    <w:p w:rsidR="00042138" w:rsidRDefault="00042138" w:rsidP="000B4C7A">
      <w:pPr>
        <w:rPr>
          <w:sz w:val="24"/>
          <w:szCs w:val="24"/>
          <w:lang w:val="en-US"/>
        </w:rPr>
      </w:pPr>
    </w:p>
    <w:p w:rsidR="0077007E" w:rsidRPr="00042138" w:rsidRDefault="00042138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</w:r>
      <w:r w:rsidRPr="00042138">
        <w:rPr>
          <w:sz w:val="24"/>
          <w:szCs w:val="24"/>
          <w:lang w:val="en-US"/>
        </w:rPr>
        <w:tab/>
      </w:r>
      <w:proofErr w:type="spellStart"/>
      <w:r w:rsidRPr="00042138">
        <w:rPr>
          <w:sz w:val="24"/>
          <w:szCs w:val="24"/>
          <w:lang w:val="en-US"/>
        </w:rPr>
        <w:t>Ndlovu</w:t>
      </w:r>
      <w:proofErr w:type="spellEnd"/>
      <w:r w:rsidRPr="00042138">
        <w:rPr>
          <w:sz w:val="24"/>
          <w:szCs w:val="24"/>
          <w:lang w:val="en-US"/>
        </w:rPr>
        <w:t xml:space="preserve"> J ………………………………….</w:t>
      </w:r>
    </w:p>
    <w:p w:rsidR="00042138" w:rsidRDefault="00042138" w:rsidP="000B4C7A">
      <w:pPr>
        <w:rPr>
          <w:sz w:val="24"/>
          <w:szCs w:val="24"/>
          <w:lang w:val="en-US"/>
        </w:rPr>
      </w:pPr>
    </w:p>
    <w:p w:rsidR="0077007E" w:rsidRDefault="0077007E" w:rsidP="000B4C7A">
      <w:pPr>
        <w:rPr>
          <w:sz w:val="24"/>
          <w:szCs w:val="24"/>
          <w:lang w:val="en-US"/>
        </w:rPr>
      </w:pPr>
      <w:r w:rsidRPr="00042138">
        <w:rPr>
          <w:sz w:val="24"/>
          <w:szCs w:val="24"/>
          <w:lang w:val="en-US"/>
        </w:rPr>
        <w:tab/>
      </w:r>
      <w:r w:rsidRPr="00042138">
        <w:rPr>
          <w:sz w:val="24"/>
          <w:szCs w:val="24"/>
          <w:lang w:val="en-US"/>
        </w:rPr>
        <w:tab/>
      </w:r>
      <w:proofErr w:type="spellStart"/>
      <w:r w:rsidRPr="00042138">
        <w:rPr>
          <w:sz w:val="24"/>
          <w:szCs w:val="24"/>
          <w:lang w:val="en-US"/>
        </w:rPr>
        <w:t>Kabasa</w:t>
      </w:r>
      <w:proofErr w:type="spellEnd"/>
      <w:r w:rsidRPr="00042138">
        <w:rPr>
          <w:sz w:val="24"/>
          <w:szCs w:val="24"/>
          <w:lang w:val="en-US"/>
        </w:rPr>
        <w:t xml:space="preserve"> J ……………………………..agrees</w:t>
      </w:r>
    </w:p>
    <w:p w:rsidR="003E0107" w:rsidRDefault="003E0107" w:rsidP="000B4C7A">
      <w:pPr>
        <w:rPr>
          <w:sz w:val="24"/>
          <w:szCs w:val="24"/>
          <w:lang w:val="en-US"/>
        </w:rPr>
      </w:pPr>
    </w:p>
    <w:p w:rsidR="003E0107" w:rsidRDefault="003E0107" w:rsidP="000B4C7A">
      <w:pPr>
        <w:rPr>
          <w:sz w:val="24"/>
          <w:szCs w:val="24"/>
          <w:lang w:val="en-US"/>
        </w:rPr>
      </w:pPr>
    </w:p>
    <w:p w:rsidR="003E0107" w:rsidRDefault="003E0107" w:rsidP="003E0107">
      <w:pPr>
        <w:pStyle w:val="NoSpacing"/>
        <w:rPr>
          <w:lang w:val="en-US"/>
        </w:rPr>
      </w:pPr>
      <w:proofErr w:type="spellStart"/>
      <w:r w:rsidRPr="003E0107">
        <w:rPr>
          <w:i/>
          <w:lang w:val="en-US"/>
        </w:rPr>
        <w:t>Mathonsi-Ncube</w:t>
      </w:r>
      <w:proofErr w:type="spellEnd"/>
      <w:r w:rsidRPr="003E0107">
        <w:rPr>
          <w:i/>
          <w:lang w:val="en-US"/>
        </w:rPr>
        <w:t xml:space="preserve"> Law Chambers</w:t>
      </w:r>
      <w:r>
        <w:rPr>
          <w:lang w:val="en-US"/>
        </w:rPr>
        <w:t xml:space="preserve"> appellant’s legal practitioners</w:t>
      </w:r>
    </w:p>
    <w:p w:rsidR="00406F29" w:rsidRPr="00042138" w:rsidRDefault="00406F29" w:rsidP="003E0107">
      <w:pPr>
        <w:pStyle w:val="NoSpacing"/>
        <w:rPr>
          <w:lang w:val="en-US"/>
        </w:rPr>
      </w:pPr>
      <w:proofErr w:type="spellStart"/>
      <w:r w:rsidRPr="00406F29">
        <w:rPr>
          <w:i/>
          <w:lang w:val="en-US"/>
        </w:rPr>
        <w:t>Mabundu</w:t>
      </w:r>
      <w:proofErr w:type="spellEnd"/>
      <w:r w:rsidRPr="00406F29">
        <w:rPr>
          <w:i/>
          <w:lang w:val="en-US"/>
        </w:rPr>
        <w:t xml:space="preserve"> &amp; </w:t>
      </w:r>
      <w:proofErr w:type="spellStart"/>
      <w:r w:rsidRPr="00406F29">
        <w:rPr>
          <w:i/>
          <w:lang w:val="en-US"/>
        </w:rPr>
        <w:t>Ndlovu</w:t>
      </w:r>
      <w:proofErr w:type="spellEnd"/>
      <w:r w:rsidRPr="00406F29">
        <w:rPr>
          <w:i/>
          <w:lang w:val="en-US"/>
        </w:rPr>
        <w:t xml:space="preserve"> Law Chambers</w:t>
      </w:r>
      <w:r>
        <w:rPr>
          <w:lang w:val="en-US"/>
        </w:rPr>
        <w:t xml:space="preserve"> respondent’s legal practitioners</w:t>
      </w:r>
    </w:p>
    <w:sectPr w:rsidR="00406F29" w:rsidRPr="000421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5E" w:rsidRDefault="00487B5E" w:rsidP="004F2B22">
      <w:pPr>
        <w:spacing w:after="0" w:line="240" w:lineRule="auto"/>
      </w:pPr>
      <w:r>
        <w:separator/>
      </w:r>
    </w:p>
  </w:endnote>
  <w:endnote w:type="continuationSeparator" w:id="0">
    <w:p w:rsidR="00487B5E" w:rsidRDefault="00487B5E" w:rsidP="004F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5E" w:rsidRDefault="00487B5E" w:rsidP="004F2B22">
      <w:pPr>
        <w:spacing w:after="0" w:line="240" w:lineRule="auto"/>
      </w:pPr>
      <w:r>
        <w:separator/>
      </w:r>
    </w:p>
  </w:footnote>
  <w:footnote w:type="continuationSeparator" w:id="0">
    <w:p w:rsidR="00487B5E" w:rsidRDefault="00487B5E" w:rsidP="004F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78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2B22" w:rsidRDefault="004F2B2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7D5">
          <w:rPr>
            <w:noProof/>
          </w:rPr>
          <w:t>3</w:t>
        </w:r>
        <w:r>
          <w:rPr>
            <w:noProof/>
          </w:rPr>
          <w:fldChar w:fldCharType="end"/>
        </w:r>
      </w:p>
      <w:p w:rsidR="004F2B22" w:rsidRDefault="004F2B22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HB </w:t>
        </w:r>
        <w:r w:rsidR="006657D5">
          <w:rPr>
            <w:noProof/>
          </w:rPr>
          <w:t>217</w:t>
        </w:r>
        <w:r>
          <w:rPr>
            <w:noProof/>
          </w:rPr>
          <w:t>/23</w:t>
        </w:r>
      </w:p>
      <w:p w:rsidR="004F2B22" w:rsidRDefault="004F2B22">
        <w:pPr>
          <w:pStyle w:val="Header"/>
          <w:jc w:val="right"/>
        </w:pPr>
        <w:r>
          <w:rPr>
            <w:noProof/>
          </w:rPr>
          <w:t>HC CIV A 16/22</w:t>
        </w:r>
      </w:p>
    </w:sdtContent>
  </w:sdt>
  <w:p w:rsidR="004F2B22" w:rsidRDefault="004F2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BD"/>
    <w:rsid w:val="000340FA"/>
    <w:rsid w:val="00042138"/>
    <w:rsid w:val="000B4C7A"/>
    <w:rsid w:val="002C4FF3"/>
    <w:rsid w:val="003043FA"/>
    <w:rsid w:val="003A270B"/>
    <w:rsid w:val="003E0107"/>
    <w:rsid w:val="003E38E6"/>
    <w:rsid w:val="003F3FD3"/>
    <w:rsid w:val="00406F29"/>
    <w:rsid w:val="00487B5E"/>
    <w:rsid w:val="004F2B22"/>
    <w:rsid w:val="00500655"/>
    <w:rsid w:val="00506656"/>
    <w:rsid w:val="00576703"/>
    <w:rsid w:val="005A32CE"/>
    <w:rsid w:val="00622ABF"/>
    <w:rsid w:val="006526CC"/>
    <w:rsid w:val="00662EFE"/>
    <w:rsid w:val="006657D5"/>
    <w:rsid w:val="007017BD"/>
    <w:rsid w:val="0077007E"/>
    <w:rsid w:val="008410FA"/>
    <w:rsid w:val="00902BAD"/>
    <w:rsid w:val="00926ADF"/>
    <w:rsid w:val="009604E0"/>
    <w:rsid w:val="009B3102"/>
    <w:rsid w:val="00A05EED"/>
    <w:rsid w:val="00B467BB"/>
    <w:rsid w:val="00B55D5C"/>
    <w:rsid w:val="00B73C19"/>
    <w:rsid w:val="00B92BD5"/>
    <w:rsid w:val="00C87106"/>
    <w:rsid w:val="00DE31B7"/>
    <w:rsid w:val="00F506FD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4A217-E3EA-473E-8F1A-872966C0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BD"/>
    <w:pPr>
      <w:spacing w:line="36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7BD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4F2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2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F2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22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11</cp:revision>
  <cp:lastPrinted>2023-10-25T07:43:00Z</cp:lastPrinted>
  <dcterms:created xsi:type="dcterms:W3CDTF">2023-10-16T04:08:00Z</dcterms:created>
  <dcterms:modified xsi:type="dcterms:W3CDTF">2023-10-25T07:44:00Z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061ac158bdd382173f7240f72bc799130c690a13974449aa0520453771f9d592</vt:lpwstr>
  </property>
</Properties>
</file>