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B65" w:rsidRPr="005B788F" w:rsidRDefault="006C2119" w:rsidP="00F93B65">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w:t>
      </w:r>
      <w:r w:rsidR="00F93B65" w:rsidRPr="005B788F">
        <w:rPr>
          <w:rFonts w:ascii="Times New Roman" w:hAnsi="Times New Roman" w:cs="Times New Roman"/>
          <w:b/>
          <w:sz w:val="24"/>
          <w:szCs w:val="24"/>
          <w:u w:val="single"/>
        </w:rPr>
        <w:t>TABLE</w:t>
      </w:r>
      <w:r w:rsidR="00F93B65" w:rsidRPr="005B788F">
        <w:rPr>
          <w:rFonts w:ascii="Times New Roman" w:hAnsi="Times New Roman" w:cs="Times New Roman"/>
          <w:b/>
          <w:sz w:val="24"/>
          <w:szCs w:val="24"/>
        </w:rPr>
        <w:tab/>
      </w:r>
      <w:r>
        <w:rPr>
          <w:rFonts w:ascii="Times New Roman" w:hAnsi="Times New Roman" w:cs="Times New Roman"/>
          <w:b/>
          <w:sz w:val="24"/>
          <w:szCs w:val="24"/>
        </w:rPr>
        <w:tab/>
      </w:r>
      <w:r w:rsidR="00F93B65" w:rsidRPr="005B788F">
        <w:rPr>
          <w:rFonts w:ascii="Times New Roman" w:hAnsi="Times New Roman" w:cs="Times New Roman"/>
          <w:b/>
          <w:sz w:val="24"/>
          <w:szCs w:val="24"/>
        </w:rPr>
        <w:t>(</w:t>
      </w:r>
      <w:r w:rsidR="00F93B65">
        <w:rPr>
          <w:rFonts w:ascii="Times New Roman" w:hAnsi="Times New Roman" w:cs="Times New Roman"/>
          <w:b/>
          <w:sz w:val="24"/>
          <w:szCs w:val="24"/>
        </w:rPr>
        <w:t>12</w:t>
      </w:r>
      <w:r w:rsidR="00F93B65" w:rsidRPr="005B788F">
        <w:rPr>
          <w:rFonts w:ascii="Times New Roman" w:hAnsi="Times New Roman" w:cs="Times New Roman"/>
          <w:b/>
          <w:sz w:val="24"/>
          <w:szCs w:val="24"/>
        </w:rPr>
        <w:t>)</w:t>
      </w:r>
    </w:p>
    <w:p w:rsidR="008A26C9" w:rsidRPr="004668E1" w:rsidRDefault="008A26C9" w:rsidP="008A26C9">
      <w:pPr>
        <w:autoSpaceDE w:val="0"/>
        <w:autoSpaceDN w:val="0"/>
        <w:adjustRightInd w:val="0"/>
        <w:spacing w:after="0" w:line="480" w:lineRule="auto"/>
        <w:jc w:val="both"/>
        <w:rPr>
          <w:rFonts w:ascii="Times New Roman" w:hAnsi="Times New Roman" w:cs="Times New Roman"/>
          <w:b/>
          <w:sz w:val="24"/>
          <w:szCs w:val="24"/>
        </w:rPr>
      </w:pPr>
    </w:p>
    <w:p w:rsidR="00E42400" w:rsidRPr="004668E1" w:rsidRDefault="00E42400" w:rsidP="00D61092">
      <w:pPr>
        <w:spacing w:after="0"/>
        <w:rPr>
          <w:rFonts w:ascii="Times New Roman" w:hAnsi="Times New Roman" w:cs="Times New Roman"/>
          <w:sz w:val="24"/>
          <w:szCs w:val="24"/>
        </w:rPr>
      </w:pPr>
    </w:p>
    <w:p w:rsidR="00E42400" w:rsidRPr="004668E1" w:rsidRDefault="00E42400" w:rsidP="00D61092">
      <w:pPr>
        <w:spacing w:after="0"/>
        <w:jc w:val="both"/>
        <w:rPr>
          <w:rFonts w:ascii="Times New Roman" w:hAnsi="Times New Roman" w:cs="Times New Roman"/>
          <w:sz w:val="24"/>
          <w:szCs w:val="24"/>
        </w:rPr>
      </w:pPr>
    </w:p>
    <w:p w:rsidR="00E42400" w:rsidRPr="004668E1" w:rsidRDefault="00B8402C" w:rsidP="00E97632">
      <w:pPr>
        <w:spacing w:after="0" w:line="240" w:lineRule="auto"/>
        <w:jc w:val="center"/>
        <w:rPr>
          <w:rFonts w:ascii="Times New Roman" w:hAnsi="Times New Roman" w:cs="Times New Roman"/>
          <w:b/>
          <w:sz w:val="24"/>
          <w:szCs w:val="24"/>
        </w:rPr>
      </w:pPr>
      <w:r w:rsidRPr="004668E1">
        <w:rPr>
          <w:rFonts w:ascii="Times New Roman" w:hAnsi="Times New Roman" w:cs="Times New Roman"/>
          <w:b/>
          <w:sz w:val="24"/>
          <w:szCs w:val="24"/>
        </w:rPr>
        <w:t>SIPHIWE</w:t>
      </w:r>
      <w:r w:rsidR="00795DC4" w:rsidRPr="004668E1">
        <w:rPr>
          <w:rFonts w:ascii="Times New Roman" w:hAnsi="Times New Roman" w:cs="Times New Roman"/>
          <w:b/>
          <w:sz w:val="24"/>
          <w:szCs w:val="24"/>
        </w:rPr>
        <w:t xml:space="preserve">    </w:t>
      </w:r>
      <w:r w:rsidR="00A0534F" w:rsidRPr="004668E1">
        <w:rPr>
          <w:rFonts w:ascii="Times New Roman" w:hAnsi="Times New Roman" w:cs="Times New Roman"/>
          <w:b/>
          <w:sz w:val="24"/>
          <w:szCs w:val="24"/>
        </w:rPr>
        <w:t xml:space="preserve"> </w:t>
      </w:r>
      <w:r w:rsidRPr="004668E1">
        <w:rPr>
          <w:rFonts w:ascii="Times New Roman" w:hAnsi="Times New Roman" w:cs="Times New Roman"/>
          <w:b/>
          <w:sz w:val="24"/>
          <w:szCs w:val="24"/>
        </w:rPr>
        <w:t>DUBE</w:t>
      </w:r>
    </w:p>
    <w:p w:rsidR="00E42400" w:rsidRPr="004668E1" w:rsidRDefault="00E42400" w:rsidP="00E97632">
      <w:pPr>
        <w:spacing w:after="0" w:line="240" w:lineRule="auto"/>
        <w:jc w:val="center"/>
        <w:rPr>
          <w:rFonts w:ascii="Times New Roman" w:hAnsi="Times New Roman" w:cs="Times New Roman"/>
          <w:b/>
          <w:sz w:val="24"/>
          <w:szCs w:val="24"/>
        </w:rPr>
      </w:pPr>
      <w:r w:rsidRPr="004668E1">
        <w:rPr>
          <w:rFonts w:ascii="Times New Roman" w:hAnsi="Times New Roman" w:cs="Times New Roman"/>
          <w:b/>
          <w:sz w:val="24"/>
          <w:szCs w:val="24"/>
        </w:rPr>
        <w:t>v</w:t>
      </w:r>
    </w:p>
    <w:p w:rsidR="00010D8B" w:rsidRPr="004668E1" w:rsidRDefault="00010D8B" w:rsidP="00010D8B">
      <w:pPr>
        <w:pStyle w:val="ListParagraph"/>
        <w:numPr>
          <w:ilvl w:val="0"/>
          <w:numId w:val="6"/>
        </w:numPr>
        <w:spacing w:after="0" w:line="240" w:lineRule="auto"/>
        <w:ind w:left="0" w:firstLine="0"/>
        <w:jc w:val="center"/>
        <w:rPr>
          <w:rFonts w:ascii="Times New Roman" w:hAnsi="Times New Roman" w:cs="Times New Roman"/>
          <w:b/>
          <w:sz w:val="24"/>
          <w:szCs w:val="24"/>
        </w:rPr>
      </w:pPr>
      <w:r w:rsidRPr="004668E1">
        <w:rPr>
          <w:rFonts w:ascii="Times New Roman" w:hAnsi="Times New Roman" w:cs="Times New Roman"/>
          <w:b/>
          <w:sz w:val="24"/>
          <w:szCs w:val="24"/>
        </w:rPr>
        <w:t xml:space="preserve">TURFWALL     MINING     (PRIVATE)     LIMITED     t/a     BEENSET     INVESTMENTS     (2)     </w:t>
      </w:r>
      <w:r w:rsidR="00E1765F" w:rsidRPr="004668E1">
        <w:rPr>
          <w:rFonts w:ascii="Times New Roman" w:hAnsi="Times New Roman" w:cs="Times New Roman"/>
          <w:b/>
          <w:sz w:val="24"/>
          <w:szCs w:val="24"/>
        </w:rPr>
        <w:t>PROVINCIAL</w:t>
      </w:r>
      <w:r w:rsidRPr="004668E1">
        <w:rPr>
          <w:rFonts w:ascii="Times New Roman" w:hAnsi="Times New Roman" w:cs="Times New Roman"/>
          <w:b/>
          <w:sz w:val="24"/>
          <w:szCs w:val="24"/>
        </w:rPr>
        <w:t xml:space="preserve">     </w:t>
      </w:r>
      <w:r w:rsidR="00E1765F" w:rsidRPr="004668E1">
        <w:rPr>
          <w:rFonts w:ascii="Times New Roman" w:hAnsi="Times New Roman" w:cs="Times New Roman"/>
          <w:b/>
          <w:sz w:val="24"/>
          <w:szCs w:val="24"/>
        </w:rPr>
        <w:t>MINING     DIRECTOR</w:t>
      </w:r>
      <w:r w:rsidRPr="004668E1">
        <w:rPr>
          <w:rFonts w:ascii="Times New Roman" w:hAnsi="Times New Roman" w:cs="Times New Roman"/>
          <w:b/>
          <w:sz w:val="24"/>
          <w:szCs w:val="24"/>
        </w:rPr>
        <w:t xml:space="preserve">     </w:t>
      </w:r>
      <w:r w:rsidR="00E1765F" w:rsidRPr="004668E1">
        <w:rPr>
          <w:rFonts w:ascii="Times New Roman" w:hAnsi="Times New Roman" w:cs="Times New Roman"/>
          <w:b/>
          <w:sz w:val="24"/>
          <w:szCs w:val="24"/>
        </w:rPr>
        <w:t>MATABELELAND</w:t>
      </w:r>
      <w:r w:rsidRPr="004668E1">
        <w:rPr>
          <w:rFonts w:ascii="Times New Roman" w:hAnsi="Times New Roman" w:cs="Times New Roman"/>
          <w:b/>
          <w:sz w:val="24"/>
          <w:szCs w:val="24"/>
        </w:rPr>
        <w:t xml:space="preserve">     </w:t>
      </w:r>
      <w:r w:rsidR="00E1765F" w:rsidRPr="004668E1">
        <w:rPr>
          <w:rFonts w:ascii="Times New Roman" w:hAnsi="Times New Roman" w:cs="Times New Roman"/>
          <w:b/>
          <w:sz w:val="24"/>
          <w:szCs w:val="24"/>
        </w:rPr>
        <w:t>SOUTH     (NO)</w:t>
      </w:r>
      <w:r w:rsidRPr="004668E1">
        <w:rPr>
          <w:rFonts w:ascii="Times New Roman" w:hAnsi="Times New Roman" w:cs="Times New Roman"/>
          <w:b/>
          <w:sz w:val="24"/>
          <w:szCs w:val="24"/>
        </w:rPr>
        <w:t xml:space="preserve">     (3)     </w:t>
      </w:r>
      <w:r w:rsidR="007D720E" w:rsidRPr="004668E1">
        <w:rPr>
          <w:rFonts w:ascii="Times New Roman" w:hAnsi="Times New Roman" w:cs="Times New Roman"/>
          <w:b/>
          <w:sz w:val="24"/>
          <w:szCs w:val="24"/>
        </w:rPr>
        <w:t>THE</w:t>
      </w:r>
      <w:r w:rsidRPr="004668E1">
        <w:rPr>
          <w:rFonts w:ascii="Times New Roman" w:hAnsi="Times New Roman" w:cs="Times New Roman"/>
          <w:b/>
          <w:sz w:val="24"/>
          <w:szCs w:val="24"/>
        </w:rPr>
        <w:t xml:space="preserve">     </w:t>
      </w:r>
      <w:r w:rsidR="007D720E" w:rsidRPr="004668E1">
        <w:rPr>
          <w:rFonts w:ascii="Times New Roman" w:hAnsi="Times New Roman" w:cs="Times New Roman"/>
          <w:b/>
          <w:sz w:val="24"/>
          <w:szCs w:val="24"/>
        </w:rPr>
        <w:t>ZIMBABWE</w:t>
      </w:r>
      <w:r w:rsidRPr="004668E1">
        <w:rPr>
          <w:rFonts w:ascii="Times New Roman" w:hAnsi="Times New Roman" w:cs="Times New Roman"/>
          <w:b/>
          <w:sz w:val="24"/>
          <w:szCs w:val="24"/>
        </w:rPr>
        <w:t xml:space="preserve">     </w:t>
      </w:r>
      <w:r w:rsidR="007D720E" w:rsidRPr="004668E1">
        <w:rPr>
          <w:rFonts w:ascii="Times New Roman" w:hAnsi="Times New Roman" w:cs="Times New Roman"/>
          <w:b/>
          <w:sz w:val="24"/>
          <w:szCs w:val="24"/>
        </w:rPr>
        <w:t>REPUBLIC</w:t>
      </w:r>
      <w:r w:rsidRPr="004668E1">
        <w:rPr>
          <w:rFonts w:ascii="Times New Roman" w:hAnsi="Times New Roman" w:cs="Times New Roman"/>
          <w:b/>
          <w:sz w:val="24"/>
          <w:szCs w:val="24"/>
        </w:rPr>
        <w:t xml:space="preserve">     </w:t>
      </w:r>
      <w:r w:rsidR="007D720E" w:rsidRPr="004668E1">
        <w:rPr>
          <w:rFonts w:ascii="Times New Roman" w:hAnsi="Times New Roman" w:cs="Times New Roman"/>
          <w:b/>
          <w:sz w:val="24"/>
          <w:szCs w:val="24"/>
        </w:rPr>
        <w:t>POLICE     OFFICER     COMMANDING     MATABELELAND     SOUTH     (NO)</w:t>
      </w:r>
      <w:r w:rsidRPr="004668E1">
        <w:rPr>
          <w:rFonts w:ascii="Times New Roman" w:hAnsi="Times New Roman" w:cs="Times New Roman"/>
          <w:b/>
          <w:sz w:val="24"/>
          <w:szCs w:val="24"/>
        </w:rPr>
        <w:t xml:space="preserve">     (4)          </w:t>
      </w:r>
      <w:r w:rsidR="00C5257F" w:rsidRPr="004668E1">
        <w:rPr>
          <w:rFonts w:ascii="Times New Roman" w:hAnsi="Times New Roman" w:cs="Times New Roman"/>
          <w:b/>
          <w:sz w:val="24"/>
          <w:szCs w:val="24"/>
        </w:rPr>
        <w:t>THE</w:t>
      </w:r>
      <w:r w:rsidRPr="004668E1">
        <w:rPr>
          <w:rFonts w:ascii="Times New Roman" w:hAnsi="Times New Roman" w:cs="Times New Roman"/>
          <w:b/>
          <w:sz w:val="24"/>
          <w:szCs w:val="24"/>
        </w:rPr>
        <w:t xml:space="preserve">     CO</w:t>
      </w:r>
      <w:r w:rsidR="00C5257F" w:rsidRPr="004668E1">
        <w:rPr>
          <w:rFonts w:ascii="Times New Roman" w:hAnsi="Times New Roman" w:cs="Times New Roman"/>
          <w:b/>
          <w:sz w:val="24"/>
          <w:szCs w:val="24"/>
        </w:rPr>
        <w:t>ORDINATOR,</w:t>
      </w:r>
      <w:r w:rsidRPr="004668E1">
        <w:rPr>
          <w:rFonts w:ascii="Times New Roman" w:hAnsi="Times New Roman" w:cs="Times New Roman"/>
          <w:b/>
          <w:sz w:val="24"/>
          <w:szCs w:val="24"/>
        </w:rPr>
        <w:t xml:space="preserve">    </w:t>
      </w:r>
      <w:r w:rsidR="00C5257F" w:rsidRPr="004668E1">
        <w:rPr>
          <w:rFonts w:ascii="Times New Roman" w:hAnsi="Times New Roman" w:cs="Times New Roman"/>
          <w:b/>
          <w:sz w:val="24"/>
          <w:szCs w:val="24"/>
        </w:rPr>
        <w:t>MINERALS</w:t>
      </w:r>
      <w:r w:rsidRPr="004668E1">
        <w:rPr>
          <w:rFonts w:ascii="Times New Roman" w:hAnsi="Times New Roman" w:cs="Times New Roman"/>
          <w:b/>
          <w:sz w:val="24"/>
          <w:szCs w:val="24"/>
        </w:rPr>
        <w:t xml:space="preserve">     </w:t>
      </w:r>
      <w:r w:rsidR="00C5257F" w:rsidRPr="004668E1">
        <w:rPr>
          <w:rFonts w:ascii="Times New Roman" w:hAnsi="Times New Roman" w:cs="Times New Roman"/>
          <w:b/>
          <w:sz w:val="24"/>
          <w:szCs w:val="24"/>
        </w:rPr>
        <w:t>AND     BORDER     CONTROL     UNIT     MATABELELAND     SOUTH     PROVINCE     (NO)</w:t>
      </w:r>
      <w:r w:rsidR="00165836" w:rsidRPr="004668E1">
        <w:rPr>
          <w:rFonts w:ascii="Times New Roman" w:hAnsi="Times New Roman" w:cs="Times New Roman"/>
          <w:b/>
          <w:sz w:val="24"/>
          <w:szCs w:val="24"/>
        </w:rPr>
        <w:t xml:space="preserve">     (5)     OFFICER     IN     CHARGE     -     ZIMBABWE     REPUBLIC     POLICE     GWANDA     (NO)</w:t>
      </w:r>
      <w:r w:rsidR="009447C7" w:rsidRPr="004668E1">
        <w:rPr>
          <w:rFonts w:ascii="Times New Roman" w:hAnsi="Times New Roman" w:cs="Times New Roman"/>
          <w:b/>
          <w:sz w:val="24"/>
          <w:szCs w:val="24"/>
        </w:rPr>
        <w:t xml:space="preserve">     (6)     THE     MINISTER     OF     MINES     AND     MINING     DEVELOPMENT     (NO)</w:t>
      </w:r>
    </w:p>
    <w:p w:rsidR="00E42400" w:rsidRPr="004668E1" w:rsidRDefault="00E42400" w:rsidP="00A0534F">
      <w:pPr>
        <w:spacing w:after="0"/>
        <w:rPr>
          <w:rFonts w:ascii="Times New Roman" w:hAnsi="Times New Roman" w:cs="Times New Roman"/>
          <w:sz w:val="24"/>
          <w:szCs w:val="24"/>
        </w:rPr>
      </w:pPr>
    </w:p>
    <w:p w:rsidR="00E42400" w:rsidRPr="004668E1" w:rsidRDefault="00E42400" w:rsidP="00D61092">
      <w:pPr>
        <w:spacing w:after="0"/>
        <w:jc w:val="center"/>
        <w:rPr>
          <w:rFonts w:ascii="Times New Roman" w:hAnsi="Times New Roman" w:cs="Times New Roman"/>
          <w:sz w:val="24"/>
          <w:szCs w:val="24"/>
        </w:rPr>
      </w:pPr>
    </w:p>
    <w:p w:rsidR="00E97632" w:rsidRPr="004668E1" w:rsidRDefault="00E97632" w:rsidP="00D61092">
      <w:pPr>
        <w:spacing w:after="0"/>
        <w:jc w:val="center"/>
        <w:rPr>
          <w:rFonts w:ascii="Times New Roman" w:hAnsi="Times New Roman" w:cs="Times New Roman"/>
          <w:sz w:val="24"/>
          <w:szCs w:val="24"/>
        </w:rPr>
      </w:pPr>
    </w:p>
    <w:p w:rsidR="00E97632" w:rsidRPr="004668E1" w:rsidRDefault="00E97632" w:rsidP="00D61092">
      <w:pPr>
        <w:spacing w:after="0"/>
        <w:jc w:val="center"/>
        <w:rPr>
          <w:rFonts w:ascii="Times New Roman" w:hAnsi="Times New Roman" w:cs="Times New Roman"/>
          <w:sz w:val="24"/>
          <w:szCs w:val="24"/>
        </w:rPr>
      </w:pPr>
    </w:p>
    <w:p w:rsidR="00E42400" w:rsidRPr="004668E1" w:rsidRDefault="00E42400" w:rsidP="00D61092">
      <w:pPr>
        <w:spacing w:after="0"/>
        <w:jc w:val="both"/>
        <w:rPr>
          <w:rFonts w:ascii="Times New Roman" w:hAnsi="Times New Roman" w:cs="Times New Roman"/>
          <w:b/>
          <w:sz w:val="24"/>
          <w:szCs w:val="24"/>
        </w:rPr>
      </w:pPr>
      <w:r w:rsidRPr="004668E1">
        <w:rPr>
          <w:rFonts w:ascii="Times New Roman" w:hAnsi="Times New Roman" w:cs="Times New Roman"/>
          <w:b/>
          <w:sz w:val="24"/>
          <w:szCs w:val="24"/>
        </w:rPr>
        <w:t>SUPREME COURT OF ZIMBABWE</w:t>
      </w:r>
    </w:p>
    <w:p w:rsidR="00E42400" w:rsidRPr="004668E1" w:rsidRDefault="0029214C" w:rsidP="00D61092">
      <w:pPr>
        <w:spacing w:after="0"/>
        <w:jc w:val="both"/>
        <w:rPr>
          <w:rFonts w:ascii="Times New Roman" w:hAnsi="Times New Roman" w:cs="Times New Roman"/>
          <w:b/>
          <w:sz w:val="24"/>
          <w:szCs w:val="24"/>
        </w:rPr>
      </w:pPr>
      <w:r w:rsidRPr="004668E1">
        <w:rPr>
          <w:rFonts w:ascii="Times New Roman" w:hAnsi="Times New Roman" w:cs="Times New Roman"/>
          <w:b/>
          <w:sz w:val="24"/>
          <w:szCs w:val="24"/>
        </w:rPr>
        <w:t xml:space="preserve">GARWE JA, MAVANGIRA JA &amp; </w:t>
      </w:r>
      <w:r w:rsidR="005C7F74" w:rsidRPr="004668E1">
        <w:rPr>
          <w:rFonts w:ascii="Times New Roman" w:hAnsi="Times New Roman" w:cs="Times New Roman"/>
          <w:b/>
          <w:sz w:val="24"/>
          <w:szCs w:val="24"/>
        </w:rPr>
        <w:t>BHUNU JA</w:t>
      </w:r>
    </w:p>
    <w:p w:rsidR="00E42400" w:rsidRPr="004668E1" w:rsidRDefault="00F20EAD" w:rsidP="00D61092">
      <w:pPr>
        <w:spacing w:after="0"/>
        <w:jc w:val="both"/>
        <w:rPr>
          <w:rFonts w:ascii="Times New Roman" w:hAnsi="Times New Roman" w:cs="Times New Roman"/>
          <w:sz w:val="24"/>
          <w:szCs w:val="24"/>
        </w:rPr>
      </w:pPr>
      <w:r w:rsidRPr="004668E1">
        <w:rPr>
          <w:rFonts w:ascii="Times New Roman" w:hAnsi="Times New Roman" w:cs="Times New Roman"/>
          <w:b/>
          <w:sz w:val="24"/>
          <w:szCs w:val="24"/>
        </w:rPr>
        <w:t xml:space="preserve">HARARE: </w:t>
      </w:r>
      <w:r w:rsidR="0029214C" w:rsidRPr="004668E1">
        <w:rPr>
          <w:rFonts w:ascii="Times New Roman" w:hAnsi="Times New Roman" w:cs="Times New Roman"/>
          <w:b/>
          <w:sz w:val="24"/>
          <w:szCs w:val="24"/>
        </w:rPr>
        <w:t>NOVEMBER</w:t>
      </w:r>
      <w:r w:rsidRPr="004668E1">
        <w:rPr>
          <w:rFonts w:ascii="Times New Roman" w:hAnsi="Times New Roman" w:cs="Times New Roman"/>
          <w:b/>
          <w:sz w:val="24"/>
          <w:szCs w:val="24"/>
        </w:rPr>
        <w:t xml:space="preserve"> </w:t>
      </w:r>
      <w:r w:rsidR="0029214C" w:rsidRPr="004668E1">
        <w:rPr>
          <w:rFonts w:ascii="Times New Roman" w:hAnsi="Times New Roman" w:cs="Times New Roman"/>
          <w:b/>
          <w:sz w:val="24"/>
          <w:szCs w:val="24"/>
        </w:rPr>
        <w:t>27, 2017</w:t>
      </w:r>
      <w:r w:rsidR="00E42400" w:rsidRPr="004668E1">
        <w:rPr>
          <w:rFonts w:ascii="Times New Roman" w:hAnsi="Times New Roman" w:cs="Times New Roman"/>
          <w:b/>
          <w:sz w:val="24"/>
          <w:szCs w:val="24"/>
        </w:rPr>
        <w:t xml:space="preserve">, </w:t>
      </w:r>
      <w:r w:rsidR="00C36385" w:rsidRPr="004668E1">
        <w:rPr>
          <w:rFonts w:ascii="Times New Roman" w:hAnsi="Times New Roman" w:cs="Times New Roman"/>
          <w:b/>
          <w:sz w:val="24"/>
          <w:szCs w:val="24"/>
        </w:rPr>
        <w:t xml:space="preserve">&amp; </w:t>
      </w:r>
      <w:r w:rsidR="00C36385">
        <w:rPr>
          <w:rFonts w:ascii="Times New Roman" w:hAnsi="Times New Roman" w:cs="Times New Roman"/>
          <w:b/>
          <w:sz w:val="24"/>
          <w:szCs w:val="24"/>
        </w:rPr>
        <w:t xml:space="preserve">FEBRUARY </w:t>
      </w:r>
      <w:r w:rsidR="00C36385" w:rsidRPr="004668E1">
        <w:rPr>
          <w:rFonts w:ascii="Times New Roman" w:hAnsi="Times New Roman" w:cs="Times New Roman"/>
          <w:b/>
          <w:sz w:val="24"/>
          <w:szCs w:val="24"/>
        </w:rPr>
        <w:t>19</w:t>
      </w:r>
      <w:r w:rsidR="004E3A8C" w:rsidRPr="004668E1">
        <w:rPr>
          <w:rFonts w:ascii="Times New Roman" w:hAnsi="Times New Roman" w:cs="Times New Roman"/>
          <w:b/>
          <w:sz w:val="24"/>
          <w:szCs w:val="24"/>
        </w:rPr>
        <w:t>, 201</w:t>
      </w:r>
      <w:r w:rsidR="004668E1">
        <w:rPr>
          <w:rFonts w:ascii="Times New Roman" w:hAnsi="Times New Roman" w:cs="Times New Roman"/>
          <w:b/>
          <w:sz w:val="24"/>
          <w:szCs w:val="24"/>
        </w:rPr>
        <w:t>9</w:t>
      </w:r>
    </w:p>
    <w:p w:rsidR="00E42400" w:rsidRPr="004668E1" w:rsidRDefault="00E42400" w:rsidP="00D61092">
      <w:pPr>
        <w:spacing w:after="0"/>
        <w:jc w:val="both"/>
        <w:rPr>
          <w:rFonts w:ascii="Times New Roman" w:hAnsi="Times New Roman" w:cs="Times New Roman"/>
          <w:sz w:val="24"/>
          <w:szCs w:val="24"/>
        </w:rPr>
      </w:pPr>
    </w:p>
    <w:p w:rsidR="00E42400" w:rsidRPr="004668E1" w:rsidRDefault="00E42400" w:rsidP="00D61092">
      <w:pPr>
        <w:spacing w:after="0"/>
        <w:jc w:val="both"/>
        <w:rPr>
          <w:rFonts w:ascii="Times New Roman" w:hAnsi="Times New Roman" w:cs="Times New Roman"/>
          <w:sz w:val="24"/>
          <w:szCs w:val="24"/>
        </w:rPr>
      </w:pPr>
    </w:p>
    <w:p w:rsidR="00E97632" w:rsidRPr="004668E1" w:rsidRDefault="00E97632" w:rsidP="00D61092">
      <w:pPr>
        <w:spacing w:after="0"/>
        <w:jc w:val="both"/>
        <w:rPr>
          <w:rFonts w:ascii="Times New Roman" w:hAnsi="Times New Roman" w:cs="Times New Roman"/>
          <w:sz w:val="24"/>
          <w:szCs w:val="24"/>
        </w:rPr>
      </w:pPr>
    </w:p>
    <w:p w:rsidR="00E42400" w:rsidRPr="004668E1" w:rsidRDefault="009C4891" w:rsidP="00E97632">
      <w:pPr>
        <w:spacing w:after="0" w:line="480" w:lineRule="auto"/>
        <w:jc w:val="both"/>
        <w:rPr>
          <w:rFonts w:ascii="Times New Roman" w:hAnsi="Times New Roman" w:cs="Times New Roman"/>
          <w:sz w:val="24"/>
          <w:szCs w:val="24"/>
        </w:rPr>
      </w:pPr>
      <w:r w:rsidRPr="004668E1">
        <w:rPr>
          <w:rFonts w:ascii="Times New Roman" w:hAnsi="Times New Roman" w:cs="Times New Roman"/>
          <w:i/>
          <w:sz w:val="24"/>
          <w:szCs w:val="24"/>
        </w:rPr>
        <w:t>V</w:t>
      </w:r>
      <w:r w:rsidR="0023223A" w:rsidRPr="004668E1">
        <w:rPr>
          <w:rFonts w:ascii="Times New Roman" w:hAnsi="Times New Roman" w:cs="Times New Roman"/>
          <w:i/>
          <w:sz w:val="24"/>
          <w:szCs w:val="24"/>
        </w:rPr>
        <w:t xml:space="preserve">. </w:t>
      </w:r>
      <w:r w:rsidR="000B10E8" w:rsidRPr="004668E1">
        <w:rPr>
          <w:rFonts w:ascii="Times New Roman" w:hAnsi="Times New Roman" w:cs="Times New Roman"/>
          <w:i/>
          <w:sz w:val="24"/>
          <w:szCs w:val="24"/>
        </w:rPr>
        <w:t>Majoko</w:t>
      </w:r>
      <w:r w:rsidR="0023223A" w:rsidRPr="004668E1">
        <w:rPr>
          <w:rFonts w:ascii="Times New Roman" w:hAnsi="Times New Roman" w:cs="Times New Roman"/>
          <w:sz w:val="24"/>
          <w:szCs w:val="24"/>
        </w:rPr>
        <w:t>, for the app</w:t>
      </w:r>
      <w:r w:rsidR="000B10E8" w:rsidRPr="004668E1">
        <w:rPr>
          <w:rFonts w:ascii="Times New Roman" w:hAnsi="Times New Roman" w:cs="Times New Roman"/>
          <w:sz w:val="24"/>
          <w:szCs w:val="24"/>
        </w:rPr>
        <w:t>ellant</w:t>
      </w:r>
    </w:p>
    <w:p w:rsidR="00E42400" w:rsidRPr="004668E1" w:rsidRDefault="000B10E8" w:rsidP="00D61092">
      <w:pPr>
        <w:spacing w:after="0"/>
        <w:jc w:val="both"/>
        <w:rPr>
          <w:rFonts w:ascii="Times New Roman" w:hAnsi="Times New Roman" w:cs="Times New Roman"/>
          <w:sz w:val="24"/>
          <w:szCs w:val="24"/>
        </w:rPr>
      </w:pPr>
      <w:r w:rsidRPr="004668E1">
        <w:rPr>
          <w:rFonts w:ascii="Times New Roman" w:hAnsi="Times New Roman" w:cs="Times New Roman"/>
          <w:i/>
          <w:sz w:val="24"/>
          <w:szCs w:val="24"/>
        </w:rPr>
        <w:t>V</w:t>
      </w:r>
      <w:r w:rsidR="0023223A" w:rsidRPr="004668E1">
        <w:rPr>
          <w:rFonts w:ascii="Times New Roman" w:hAnsi="Times New Roman" w:cs="Times New Roman"/>
          <w:i/>
          <w:sz w:val="24"/>
          <w:szCs w:val="24"/>
        </w:rPr>
        <w:t xml:space="preserve">. </w:t>
      </w:r>
      <w:r w:rsidR="0060277E" w:rsidRPr="004668E1">
        <w:rPr>
          <w:rFonts w:ascii="Times New Roman" w:hAnsi="Times New Roman" w:cs="Times New Roman"/>
          <w:i/>
          <w:sz w:val="24"/>
          <w:szCs w:val="24"/>
        </w:rPr>
        <w:t>Chikomo</w:t>
      </w:r>
      <w:r w:rsidR="00E42400" w:rsidRPr="004668E1">
        <w:rPr>
          <w:rFonts w:ascii="Times New Roman" w:hAnsi="Times New Roman" w:cs="Times New Roman"/>
          <w:sz w:val="24"/>
          <w:szCs w:val="24"/>
        </w:rPr>
        <w:t>, for the respondent</w:t>
      </w:r>
    </w:p>
    <w:p w:rsidR="00E42400" w:rsidRPr="004668E1" w:rsidRDefault="00E42400" w:rsidP="00D61092">
      <w:pPr>
        <w:spacing w:after="0"/>
        <w:jc w:val="both"/>
        <w:rPr>
          <w:rFonts w:ascii="Times New Roman" w:hAnsi="Times New Roman" w:cs="Times New Roman"/>
          <w:sz w:val="24"/>
          <w:szCs w:val="24"/>
        </w:rPr>
      </w:pPr>
    </w:p>
    <w:p w:rsidR="00660ECD" w:rsidRPr="004668E1" w:rsidRDefault="00660ECD" w:rsidP="00D61092">
      <w:pPr>
        <w:spacing w:after="0"/>
        <w:jc w:val="both"/>
        <w:rPr>
          <w:rFonts w:ascii="Times New Roman" w:hAnsi="Times New Roman" w:cs="Times New Roman"/>
          <w:sz w:val="24"/>
          <w:szCs w:val="24"/>
        </w:rPr>
      </w:pPr>
    </w:p>
    <w:p w:rsidR="00660ECD" w:rsidRPr="004668E1" w:rsidRDefault="00660ECD" w:rsidP="00D61092">
      <w:pPr>
        <w:spacing w:after="0"/>
        <w:jc w:val="both"/>
        <w:rPr>
          <w:rFonts w:ascii="Times New Roman" w:hAnsi="Times New Roman" w:cs="Times New Roman"/>
          <w:sz w:val="24"/>
          <w:szCs w:val="24"/>
        </w:rPr>
      </w:pPr>
    </w:p>
    <w:p w:rsidR="00E42400" w:rsidRPr="004668E1" w:rsidRDefault="00E42400" w:rsidP="00D61092">
      <w:pPr>
        <w:spacing w:after="0"/>
        <w:jc w:val="both"/>
        <w:rPr>
          <w:rFonts w:ascii="Times New Roman" w:hAnsi="Times New Roman" w:cs="Times New Roman"/>
          <w:sz w:val="24"/>
          <w:szCs w:val="24"/>
        </w:rPr>
      </w:pPr>
    </w:p>
    <w:p w:rsidR="0057610A" w:rsidRPr="004668E1" w:rsidRDefault="003942FB" w:rsidP="00970CFF">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b/>
          <w:sz w:val="24"/>
          <w:szCs w:val="24"/>
        </w:rPr>
        <w:t xml:space="preserve">BHUNU JA: </w:t>
      </w:r>
      <w:r w:rsidR="0057610A" w:rsidRPr="004668E1">
        <w:rPr>
          <w:rFonts w:ascii="Times New Roman" w:hAnsi="Times New Roman" w:cs="Times New Roman"/>
          <w:b/>
          <w:sz w:val="24"/>
          <w:szCs w:val="24"/>
        </w:rPr>
        <w:tab/>
      </w:r>
      <w:r w:rsidR="0057610A" w:rsidRPr="004668E1">
        <w:rPr>
          <w:rFonts w:ascii="Times New Roman" w:hAnsi="Times New Roman" w:cs="Times New Roman"/>
          <w:sz w:val="24"/>
          <w:szCs w:val="24"/>
        </w:rPr>
        <w:t xml:space="preserve">This is an appeal against the High </w:t>
      </w:r>
      <w:r w:rsidR="00EE0CE7" w:rsidRPr="004668E1">
        <w:rPr>
          <w:rFonts w:ascii="Times New Roman" w:hAnsi="Times New Roman" w:cs="Times New Roman"/>
          <w:sz w:val="24"/>
          <w:szCs w:val="24"/>
        </w:rPr>
        <w:t>C</w:t>
      </w:r>
      <w:r w:rsidR="0057610A" w:rsidRPr="004668E1">
        <w:rPr>
          <w:rFonts w:ascii="Times New Roman" w:hAnsi="Times New Roman" w:cs="Times New Roman"/>
          <w:sz w:val="24"/>
          <w:szCs w:val="24"/>
        </w:rPr>
        <w:t xml:space="preserve">ourt’s judgment sitting at Bulawayo. The judgment granted the </w:t>
      </w:r>
      <w:r w:rsidR="0047206E" w:rsidRPr="004668E1">
        <w:rPr>
          <w:rFonts w:ascii="Times New Roman" w:hAnsi="Times New Roman" w:cs="Times New Roman"/>
          <w:sz w:val="24"/>
          <w:szCs w:val="24"/>
        </w:rPr>
        <w:t xml:space="preserve">first </w:t>
      </w:r>
      <w:r w:rsidR="0057610A" w:rsidRPr="004668E1">
        <w:rPr>
          <w:rFonts w:ascii="Times New Roman" w:hAnsi="Times New Roman" w:cs="Times New Roman"/>
          <w:sz w:val="24"/>
          <w:szCs w:val="24"/>
        </w:rPr>
        <w:t>respondent a provisional order interdicting the appellant and all her employees from conducting all forms of mining on the five disputed claims pending confirmation of the provisional order. The order dated 27 April 2017 is</w:t>
      </w:r>
      <w:r w:rsidR="00F42D78" w:rsidRPr="004668E1">
        <w:rPr>
          <w:rFonts w:ascii="Times New Roman" w:hAnsi="Times New Roman" w:cs="Times New Roman"/>
          <w:sz w:val="24"/>
          <w:szCs w:val="24"/>
        </w:rPr>
        <w:t xml:space="preserve"> couched in the following terms:</w:t>
      </w:r>
    </w:p>
    <w:p w:rsidR="0057610A" w:rsidRPr="004668E1" w:rsidRDefault="0057610A" w:rsidP="00970CFF">
      <w:pPr>
        <w:spacing w:after="0" w:line="240" w:lineRule="auto"/>
        <w:ind w:firstLine="1134"/>
        <w:jc w:val="both"/>
        <w:rPr>
          <w:rFonts w:ascii="Times New Roman" w:hAnsi="Times New Roman" w:cs="Times New Roman"/>
          <w:b/>
          <w:sz w:val="24"/>
          <w:szCs w:val="24"/>
        </w:rPr>
      </w:pPr>
      <w:r w:rsidRPr="004668E1">
        <w:rPr>
          <w:rFonts w:ascii="Times New Roman" w:hAnsi="Times New Roman" w:cs="Times New Roman"/>
          <w:sz w:val="24"/>
          <w:szCs w:val="24"/>
        </w:rPr>
        <w:t>“</w:t>
      </w:r>
      <w:r w:rsidRPr="004668E1">
        <w:rPr>
          <w:rFonts w:ascii="Times New Roman" w:hAnsi="Times New Roman" w:cs="Times New Roman"/>
          <w:b/>
          <w:sz w:val="24"/>
          <w:szCs w:val="24"/>
        </w:rPr>
        <w:t>Interim relief granted</w:t>
      </w:r>
    </w:p>
    <w:p w:rsidR="0057610A" w:rsidRPr="004668E1" w:rsidRDefault="0057610A" w:rsidP="00744D42">
      <w:pPr>
        <w:spacing w:after="0" w:line="240" w:lineRule="auto"/>
        <w:ind w:left="1134"/>
        <w:jc w:val="both"/>
        <w:rPr>
          <w:rFonts w:ascii="Times New Roman" w:hAnsi="Times New Roman" w:cs="Times New Roman"/>
          <w:sz w:val="24"/>
          <w:szCs w:val="24"/>
        </w:rPr>
      </w:pPr>
      <w:r w:rsidRPr="004668E1">
        <w:rPr>
          <w:rFonts w:ascii="Times New Roman" w:hAnsi="Times New Roman" w:cs="Times New Roman"/>
          <w:sz w:val="24"/>
          <w:szCs w:val="24"/>
        </w:rPr>
        <w:t>Pending the confirmation of the provisional order, the applicant be and is hereby granted the following relief:</w:t>
      </w:r>
    </w:p>
    <w:p w:rsidR="0057610A" w:rsidRPr="004668E1" w:rsidRDefault="0057610A" w:rsidP="00744D42">
      <w:pPr>
        <w:spacing w:after="0" w:line="240" w:lineRule="auto"/>
        <w:ind w:left="720"/>
        <w:jc w:val="both"/>
        <w:rPr>
          <w:rFonts w:ascii="Times New Roman" w:hAnsi="Times New Roman" w:cs="Times New Roman"/>
          <w:sz w:val="24"/>
          <w:szCs w:val="24"/>
        </w:rPr>
      </w:pPr>
    </w:p>
    <w:p w:rsidR="0057610A" w:rsidRPr="004668E1" w:rsidRDefault="0057610A" w:rsidP="005D28B2">
      <w:pPr>
        <w:spacing w:after="0" w:line="240" w:lineRule="auto"/>
        <w:ind w:left="1134"/>
        <w:jc w:val="both"/>
        <w:rPr>
          <w:rFonts w:ascii="Times New Roman" w:hAnsi="Times New Roman" w:cs="Times New Roman"/>
          <w:sz w:val="24"/>
          <w:szCs w:val="24"/>
        </w:rPr>
      </w:pPr>
      <w:r w:rsidRPr="004668E1">
        <w:rPr>
          <w:rFonts w:ascii="Times New Roman" w:hAnsi="Times New Roman" w:cs="Times New Roman"/>
          <w:sz w:val="24"/>
          <w:szCs w:val="24"/>
        </w:rPr>
        <w:t xml:space="preserve">that all forms of mining activities by the </w:t>
      </w:r>
      <w:r w:rsidR="00D22E7B" w:rsidRPr="004668E1">
        <w:rPr>
          <w:rFonts w:ascii="Times New Roman" w:hAnsi="Times New Roman" w:cs="Times New Roman"/>
          <w:sz w:val="24"/>
          <w:szCs w:val="24"/>
        </w:rPr>
        <w:t>first</w:t>
      </w:r>
      <w:r w:rsidRPr="004668E1">
        <w:rPr>
          <w:rFonts w:ascii="Times New Roman" w:hAnsi="Times New Roman" w:cs="Times New Roman"/>
          <w:sz w:val="24"/>
          <w:szCs w:val="24"/>
        </w:rPr>
        <w:t xml:space="preserve"> respondent (appellant) and anyone in her employ on the five disputed claims be and are hereby suspended</w:t>
      </w:r>
      <w:r w:rsidR="00970CFF" w:rsidRPr="004668E1">
        <w:rPr>
          <w:rFonts w:ascii="Times New Roman" w:hAnsi="Times New Roman" w:cs="Times New Roman"/>
          <w:sz w:val="24"/>
          <w:szCs w:val="24"/>
        </w:rPr>
        <w:t>.</w:t>
      </w:r>
      <w:r w:rsidRPr="004668E1">
        <w:rPr>
          <w:rFonts w:ascii="Times New Roman" w:hAnsi="Times New Roman" w:cs="Times New Roman"/>
          <w:sz w:val="24"/>
          <w:szCs w:val="24"/>
        </w:rPr>
        <w:t>”</w:t>
      </w:r>
    </w:p>
    <w:p w:rsidR="0057610A" w:rsidRPr="004668E1" w:rsidRDefault="0057610A" w:rsidP="0057610A">
      <w:pPr>
        <w:spacing w:after="0" w:line="480" w:lineRule="auto"/>
        <w:jc w:val="both"/>
        <w:rPr>
          <w:rFonts w:ascii="Times New Roman" w:hAnsi="Times New Roman" w:cs="Times New Roman"/>
          <w:sz w:val="24"/>
          <w:szCs w:val="24"/>
        </w:rPr>
      </w:pPr>
      <w:r w:rsidRPr="004668E1">
        <w:rPr>
          <w:rFonts w:ascii="Times New Roman" w:hAnsi="Times New Roman" w:cs="Times New Roman"/>
          <w:sz w:val="24"/>
          <w:szCs w:val="24"/>
        </w:rPr>
        <w:lastRenderedPageBreak/>
        <w:t>The disputed 5 claims are:</w:t>
      </w:r>
    </w:p>
    <w:p w:rsidR="0057610A" w:rsidRPr="004668E1" w:rsidRDefault="0057610A" w:rsidP="00BF3A23">
      <w:pPr>
        <w:pStyle w:val="ListParagraph"/>
        <w:numPr>
          <w:ilvl w:val="0"/>
          <w:numId w:val="3"/>
        </w:numPr>
        <w:spacing w:after="0" w:line="480" w:lineRule="auto"/>
        <w:ind w:left="1134" w:hanging="229"/>
        <w:jc w:val="both"/>
        <w:rPr>
          <w:rFonts w:ascii="Times New Roman" w:hAnsi="Times New Roman" w:cs="Times New Roman"/>
          <w:sz w:val="24"/>
          <w:szCs w:val="24"/>
        </w:rPr>
      </w:pPr>
      <w:r w:rsidRPr="004668E1">
        <w:rPr>
          <w:rFonts w:ascii="Times New Roman" w:hAnsi="Times New Roman" w:cs="Times New Roman"/>
          <w:sz w:val="24"/>
          <w:szCs w:val="24"/>
        </w:rPr>
        <w:t>Legion C under claim no. 10224BM</w:t>
      </w:r>
    </w:p>
    <w:p w:rsidR="0057610A" w:rsidRPr="004668E1" w:rsidRDefault="0057610A" w:rsidP="00BF3A23">
      <w:pPr>
        <w:pStyle w:val="ListParagraph"/>
        <w:numPr>
          <w:ilvl w:val="0"/>
          <w:numId w:val="3"/>
        </w:numPr>
        <w:spacing w:after="0" w:line="480" w:lineRule="auto"/>
        <w:ind w:hanging="229"/>
        <w:jc w:val="both"/>
        <w:rPr>
          <w:rFonts w:ascii="Times New Roman" w:hAnsi="Times New Roman" w:cs="Times New Roman"/>
          <w:sz w:val="24"/>
          <w:szCs w:val="24"/>
        </w:rPr>
      </w:pPr>
      <w:r w:rsidRPr="004668E1">
        <w:rPr>
          <w:rFonts w:ascii="Times New Roman" w:hAnsi="Times New Roman" w:cs="Times New Roman"/>
          <w:sz w:val="24"/>
          <w:szCs w:val="24"/>
        </w:rPr>
        <w:t>Legion D under claim No. 10225BM.</w:t>
      </w:r>
    </w:p>
    <w:p w:rsidR="0057610A" w:rsidRPr="004668E1" w:rsidRDefault="0057610A" w:rsidP="00BF3A23">
      <w:pPr>
        <w:pStyle w:val="ListParagraph"/>
        <w:numPr>
          <w:ilvl w:val="0"/>
          <w:numId w:val="3"/>
        </w:numPr>
        <w:spacing w:after="0" w:line="480" w:lineRule="auto"/>
        <w:ind w:hanging="229"/>
        <w:jc w:val="both"/>
        <w:rPr>
          <w:rFonts w:ascii="Times New Roman" w:hAnsi="Times New Roman" w:cs="Times New Roman"/>
          <w:sz w:val="24"/>
          <w:szCs w:val="24"/>
        </w:rPr>
      </w:pPr>
      <w:r w:rsidRPr="004668E1">
        <w:rPr>
          <w:rFonts w:ascii="Times New Roman" w:hAnsi="Times New Roman" w:cs="Times New Roman"/>
          <w:sz w:val="24"/>
          <w:szCs w:val="24"/>
        </w:rPr>
        <w:t>Legion F under claim no. 10226 BM.</w:t>
      </w:r>
    </w:p>
    <w:p w:rsidR="0057610A" w:rsidRPr="004668E1" w:rsidRDefault="0057610A" w:rsidP="00BF3A23">
      <w:pPr>
        <w:pStyle w:val="ListParagraph"/>
        <w:numPr>
          <w:ilvl w:val="0"/>
          <w:numId w:val="3"/>
        </w:numPr>
        <w:spacing w:after="0" w:line="480" w:lineRule="auto"/>
        <w:ind w:hanging="229"/>
        <w:jc w:val="both"/>
        <w:rPr>
          <w:rFonts w:ascii="Times New Roman" w:hAnsi="Times New Roman" w:cs="Times New Roman"/>
          <w:sz w:val="24"/>
          <w:szCs w:val="24"/>
        </w:rPr>
      </w:pPr>
      <w:r w:rsidRPr="004668E1">
        <w:rPr>
          <w:rFonts w:ascii="Times New Roman" w:hAnsi="Times New Roman" w:cs="Times New Roman"/>
          <w:sz w:val="24"/>
          <w:szCs w:val="24"/>
        </w:rPr>
        <w:t>Legion 13 under claim no.33216PM.</w:t>
      </w:r>
    </w:p>
    <w:p w:rsidR="0057610A" w:rsidRPr="004668E1" w:rsidRDefault="0057610A" w:rsidP="00BF3A23">
      <w:pPr>
        <w:pStyle w:val="ListParagraph"/>
        <w:numPr>
          <w:ilvl w:val="0"/>
          <w:numId w:val="3"/>
        </w:numPr>
        <w:spacing w:after="0" w:line="480" w:lineRule="auto"/>
        <w:ind w:hanging="229"/>
        <w:jc w:val="both"/>
        <w:rPr>
          <w:rFonts w:ascii="Times New Roman" w:hAnsi="Times New Roman" w:cs="Times New Roman"/>
          <w:sz w:val="24"/>
          <w:szCs w:val="24"/>
        </w:rPr>
      </w:pPr>
      <w:r w:rsidRPr="004668E1">
        <w:rPr>
          <w:rFonts w:ascii="Times New Roman" w:hAnsi="Times New Roman" w:cs="Times New Roman"/>
          <w:sz w:val="24"/>
          <w:szCs w:val="24"/>
        </w:rPr>
        <w:t>Legion 14 under claim no. 33217PM.</w:t>
      </w:r>
    </w:p>
    <w:p w:rsidR="00DE66C5" w:rsidRPr="004668E1" w:rsidRDefault="00DE66C5" w:rsidP="00DE66C5">
      <w:pPr>
        <w:spacing w:after="0" w:line="480" w:lineRule="auto"/>
        <w:jc w:val="both"/>
        <w:rPr>
          <w:rFonts w:ascii="Times New Roman" w:hAnsi="Times New Roman" w:cs="Times New Roman"/>
          <w:sz w:val="24"/>
          <w:szCs w:val="24"/>
        </w:rPr>
      </w:pPr>
    </w:p>
    <w:p w:rsidR="0057610A" w:rsidRPr="004668E1" w:rsidRDefault="0057610A" w:rsidP="00DE66C5">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 xml:space="preserve">All the 5 mining claims commonly known as Legion Mine are </w:t>
      </w:r>
      <w:r w:rsidR="00377587">
        <w:rPr>
          <w:rFonts w:ascii="Times New Roman" w:hAnsi="Times New Roman" w:cs="Times New Roman"/>
          <w:sz w:val="24"/>
          <w:szCs w:val="24"/>
        </w:rPr>
        <w:t>s</w:t>
      </w:r>
      <w:r w:rsidRPr="004668E1">
        <w:rPr>
          <w:rFonts w:ascii="Times New Roman" w:hAnsi="Times New Roman" w:cs="Times New Roman"/>
          <w:sz w:val="24"/>
          <w:szCs w:val="24"/>
        </w:rPr>
        <w:t>ituate</w:t>
      </w:r>
      <w:r w:rsidR="00377587">
        <w:rPr>
          <w:rFonts w:ascii="Times New Roman" w:hAnsi="Times New Roman" w:cs="Times New Roman"/>
          <w:sz w:val="24"/>
          <w:szCs w:val="24"/>
        </w:rPr>
        <w:t>d</w:t>
      </w:r>
      <w:r w:rsidRPr="004668E1">
        <w:rPr>
          <w:rFonts w:ascii="Times New Roman" w:hAnsi="Times New Roman" w:cs="Times New Roman"/>
          <w:sz w:val="24"/>
          <w:szCs w:val="24"/>
        </w:rPr>
        <w:t xml:space="preserve"> in the District of Gwanda. It is common cause that the </w:t>
      </w:r>
      <w:r w:rsidR="007B1E96" w:rsidRPr="004668E1">
        <w:rPr>
          <w:rFonts w:ascii="Times New Roman" w:hAnsi="Times New Roman" w:cs="Times New Roman"/>
          <w:sz w:val="24"/>
          <w:szCs w:val="24"/>
        </w:rPr>
        <w:t xml:space="preserve">first </w:t>
      </w:r>
      <w:r w:rsidRPr="004668E1">
        <w:rPr>
          <w:rFonts w:ascii="Times New Roman" w:hAnsi="Times New Roman" w:cs="Times New Roman"/>
          <w:sz w:val="24"/>
          <w:szCs w:val="24"/>
        </w:rPr>
        <w:t xml:space="preserve">respondent is the registered owner of all the 5 claims having obtained transfer of the claims from Falcon Gold Private Limited sometime in 2012. On 20 December 2012 the parties concluded a tribute agreement in which the respondent granted a tribute to the </w:t>
      </w:r>
      <w:r w:rsidR="007B1E96" w:rsidRPr="004668E1">
        <w:rPr>
          <w:rFonts w:ascii="Times New Roman" w:hAnsi="Times New Roman" w:cs="Times New Roman"/>
          <w:sz w:val="24"/>
          <w:szCs w:val="24"/>
        </w:rPr>
        <w:t>appelle</w:t>
      </w:r>
      <w:r w:rsidRPr="004668E1">
        <w:rPr>
          <w:rFonts w:ascii="Times New Roman" w:hAnsi="Times New Roman" w:cs="Times New Roman"/>
          <w:sz w:val="24"/>
          <w:szCs w:val="24"/>
        </w:rPr>
        <w:t>nt subject to agreed terms and conditions.</w:t>
      </w:r>
    </w:p>
    <w:p w:rsidR="0057610A" w:rsidRPr="004668E1" w:rsidRDefault="0057610A" w:rsidP="0057610A">
      <w:pPr>
        <w:spacing w:after="0" w:line="480" w:lineRule="auto"/>
        <w:ind w:firstLine="720"/>
        <w:jc w:val="both"/>
        <w:rPr>
          <w:rFonts w:ascii="Times New Roman" w:hAnsi="Times New Roman" w:cs="Times New Roman"/>
          <w:sz w:val="24"/>
          <w:szCs w:val="24"/>
        </w:rPr>
      </w:pPr>
    </w:p>
    <w:p w:rsidR="001E5E1B" w:rsidRPr="004668E1" w:rsidRDefault="0057610A" w:rsidP="0042402F">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 xml:space="preserve">The tribute agreement was to endure for a period of 3 years from the </w:t>
      </w:r>
      <w:r w:rsidR="00716F90" w:rsidRPr="004668E1">
        <w:rPr>
          <w:rFonts w:ascii="Times New Roman" w:hAnsi="Times New Roman" w:cs="Times New Roman"/>
          <w:sz w:val="24"/>
          <w:szCs w:val="24"/>
        </w:rPr>
        <w:t>first</w:t>
      </w:r>
      <w:r w:rsidRPr="004668E1">
        <w:rPr>
          <w:rFonts w:ascii="Times New Roman" w:hAnsi="Times New Roman" w:cs="Times New Roman"/>
          <w:sz w:val="24"/>
          <w:szCs w:val="24"/>
        </w:rPr>
        <w:t xml:space="preserve"> day of </w:t>
      </w:r>
      <w:r w:rsidR="006D21D4">
        <w:rPr>
          <w:rFonts w:ascii="Times New Roman" w:hAnsi="Times New Roman" w:cs="Times New Roman"/>
          <w:sz w:val="24"/>
          <w:szCs w:val="24"/>
        </w:rPr>
        <w:t>20 </w:t>
      </w:r>
      <w:r w:rsidR="007B1E96" w:rsidRPr="004668E1">
        <w:rPr>
          <w:rFonts w:ascii="Times New Roman" w:hAnsi="Times New Roman" w:cs="Times New Roman"/>
          <w:sz w:val="24"/>
          <w:szCs w:val="24"/>
        </w:rPr>
        <w:t xml:space="preserve">December 2012 </w:t>
      </w:r>
      <w:r w:rsidRPr="004668E1">
        <w:rPr>
          <w:rFonts w:ascii="Times New Roman" w:hAnsi="Times New Roman" w:cs="Times New Roman"/>
          <w:sz w:val="24"/>
          <w:szCs w:val="24"/>
        </w:rPr>
        <w:t xml:space="preserve">to </w:t>
      </w:r>
      <w:r w:rsidR="007B1E96" w:rsidRPr="004668E1">
        <w:rPr>
          <w:rFonts w:ascii="Times New Roman" w:hAnsi="Times New Roman" w:cs="Times New Roman"/>
          <w:sz w:val="24"/>
          <w:szCs w:val="24"/>
        </w:rPr>
        <w:t>31</w:t>
      </w:r>
      <w:r w:rsidRPr="004668E1">
        <w:rPr>
          <w:rFonts w:ascii="Times New Roman" w:hAnsi="Times New Roman" w:cs="Times New Roman"/>
          <w:sz w:val="24"/>
          <w:szCs w:val="24"/>
        </w:rPr>
        <w:t xml:space="preserve"> December 2015 subject to renewal on stipulated terms</w:t>
      </w:r>
      <w:r w:rsidR="000F0108" w:rsidRPr="004668E1">
        <w:rPr>
          <w:rFonts w:ascii="Times New Roman" w:hAnsi="Times New Roman" w:cs="Times New Roman"/>
          <w:sz w:val="24"/>
          <w:szCs w:val="24"/>
        </w:rPr>
        <w:t xml:space="preserve">.  </w:t>
      </w:r>
      <w:r w:rsidRPr="004668E1">
        <w:rPr>
          <w:rFonts w:ascii="Times New Roman" w:hAnsi="Times New Roman" w:cs="Times New Roman"/>
          <w:sz w:val="24"/>
          <w:szCs w:val="24"/>
        </w:rPr>
        <w:t>Clause 1(b) provided for renewal and cancellation of the tribute agreement as follows:</w:t>
      </w:r>
    </w:p>
    <w:p w:rsidR="00F22075" w:rsidRPr="004668E1" w:rsidRDefault="00F22075" w:rsidP="004C64CD">
      <w:pPr>
        <w:spacing w:after="0" w:line="240" w:lineRule="auto"/>
        <w:ind w:left="567"/>
        <w:jc w:val="both"/>
        <w:rPr>
          <w:rFonts w:ascii="Times New Roman" w:hAnsi="Times New Roman" w:cs="Times New Roman"/>
          <w:sz w:val="24"/>
          <w:szCs w:val="24"/>
        </w:rPr>
      </w:pPr>
      <w:r w:rsidRPr="004668E1">
        <w:rPr>
          <w:rFonts w:ascii="Times New Roman" w:hAnsi="Times New Roman" w:cs="Times New Roman"/>
          <w:b/>
          <w:sz w:val="24"/>
          <w:szCs w:val="24"/>
        </w:rPr>
        <w:t>“Renewal</w:t>
      </w:r>
      <w:r w:rsidRPr="004668E1">
        <w:rPr>
          <w:rFonts w:ascii="Times New Roman" w:hAnsi="Times New Roman" w:cs="Times New Roman"/>
          <w:sz w:val="24"/>
          <w:szCs w:val="24"/>
        </w:rPr>
        <w:tab/>
        <w:t>The tributor shall have the right to extend this period of the tribute for a further period of THREE years after the expiry of the above period providing he has complied with the terms of this tribute agreement and providing he gives notice of such intention to the Grantor as follows:</w:t>
      </w:r>
    </w:p>
    <w:p w:rsidR="0029581B" w:rsidRPr="004668E1" w:rsidRDefault="0029581B" w:rsidP="0091655E">
      <w:pPr>
        <w:spacing w:after="0" w:line="240" w:lineRule="auto"/>
        <w:ind w:left="3600" w:hanging="2466"/>
        <w:jc w:val="both"/>
        <w:rPr>
          <w:rFonts w:ascii="Times New Roman" w:hAnsi="Times New Roman" w:cs="Times New Roman"/>
          <w:sz w:val="24"/>
          <w:szCs w:val="24"/>
        </w:rPr>
      </w:pPr>
    </w:p>
    <w:p w:rsidR="00F22075" w:rsidRPr="004668E1" w:rsidRDefault="00F22075" w:rsidP="00574D57">
      <w:pPr>
        <w:spacing w:after="0" w:line="240" w:lineRule="auto"/>
        <w:ind w:left="567" w:firstLine="567"/>
        <w:jc w:val="both"/>
        <w:rPr>
          <w:rFonts w:ascii="Times New Roman" w:hAnsi="Times New Roman" w:cs="Times New Roman"/>
          <w:sz w:val="24"/>
          <w:szCs w:val="24"/>
        </w:rPr>
      </w:pPr>
      <w:r w:rsidRPr="004668E1">
        <w:rPr>
          <w:rFonts w:ascii="Times New Roman" w:hAnsi="Times New Roman" w:cs="Times New Roman"/>
          <w:sz w:val="24"/>
          <w:szCs w:val="24"/>
        </w:rPr>
        <w:t>At least three months prior to 31</w:t>
      </w:r>
      <w:r w:rsidR="0091655E" w:rsidRPr="004668E1">
        <w:rPr>
          <w:rFonts w:ascii="Times New Roman" w:hAnsi="Times New Roman" w:cs="Times New Roman"/>
          <w:sz w:val="24"/>
          <w:szCs w:val="24"/>
        </w:rPr>
        <w:t> </w:t>
      </w:r>
      <w:r w:rsidRPr="004668E1">
        <w:rPr>
          <w:rFonts w:ascii="Times New Roman" w:hAnsi="Times New Roman" w:cs="Times New Roman"/>
          <w:sz w:val="24"/>
          <w:szCs w:val="24"/>
        </w:rPr>
        <w:t>December 2015 (termination of the first period) the Tribute shall give written Notice to the Grantor stating whether he wishes to relinquish his Tribute at the end of the first period or to exercise his right to Extend the Tribute Agreement for the further period stated.</w:t>
      </w:r>
    </w:p>
    <w:p w:rsidR="0029581B" w:rsidRPr="004668E1" w:rsidRDefault="0029581B" w:rsidP="0091655E">
      <w:pPr>
        <w:spacing w:after="0" w:line="240" w:lineRule="auto"/>
        <w:ind w:left="3600"/>
        <w:jc w:val="both"/>
        <w:rPr>
          <w:rFonts w:ascii="Times New Roman" w:hAnsi="Times New Roman" w:cs="Times New Roman"/>
          <w:sz w:val="24"/>
          <w:szCs w:val="24"/>
        </w:rPr>
      </w:pPr>
    </w:p>
    <w:p w:rsidR="00F22075" w:rsidRPr="004668E1" w:rsidRDefault="00F22075" w:rsidP="004C64CD">
      <w:pPr>
        <w:spacing w:after="0" w:line="240" w:lineRule="auto"/>
        <w:ind w:left="567"/>
        <w:jc w:val="both"/>
        <w:rPr>
          <w:rFonts w:ascii="Times New Roman" w:hAnsi="Times New Roman" w:cs="Times New Roman"/>
          <w:sz w:val="24"/>
          <w:szCs w:val="24"/>
        </w:rPr>
      </w:pPr>
      <w:r w:rsidRPr="004668E1">
        <w:rPr>
          <w:rFonts w:ascii="Times New Roman" w:hAnsi="Times New Roman" w:cs="Times New Roman"/>
          <w:b/>
          <w:sz w:val="24"/>
          <w:szCs w:val="24"/>
        </w:rPr>
        <w:t>Cancellation of</w:t>
      </w:r>
      <w:r w:rsidR="004C64CD" w:rsidRPr="004668E1">
        <w:rPr>
          <w:rFonts w:ascii="Times New Roman" w:hAnsi="Times New Roman" w:cs="Times New Roman"/>
          <w:b/>
          <w:sz w:val="24"/>
          <w:szCs w:val="24"/>
        </w:rPr>
        <w:t xml:space="preserve"> </w:t>
      </w:r>
      <w:r w:rsidRPr="004668E1">
        <w:rPr>
          <w:rFonts w:ascii="Times New Roman" w:hAnsi="Times New Roman" w:cs="Times New Roman"/>
          <w:b/>
          <w:sz w:val="24"/>
          <w:szCs w:val="24"/>
        </w:rPr>
        <w:t>Agreement by</w:t>
      </w:r>
      <w:r w:rsidR="000B5CF4">
        <w:rPr>
          <w:rFonts w:ascii="Times New Roman" w:hAnsi="Times New Roman" w:cs="Times New Roman"/>
          <w:b/>
          <w:sz w:val="24"/>
          <w:szCs w:val="24"/>
        </w:rPr>
        <w:t xml:space="preserve"> Grantor</w:t>
      </w:r>
      <w:r w:rsidR="000B5CF4">
        <w:rPr>
          <w:rFonts w:ascii="Times New Roman" w:hAnsi="Times New Roman" w:cs="Times New Roman"/>
          <w:b/>
          <w:sz w:val="24"/>
          <w:szCs w:val="24"/>
        </w:rPr>
        <w:tab/>
      </w:r>
      <w:r w:rsidRPr="004668E1">
        <w:rPr>
          <w:rFonts w:ascii="Times New Roman" w:hAnsi="Times New Roman" w:cs="Times New Roman"/>
          <w:sz w:val="24"/>
          <w:szCs w:val="24"/>
        </w:rPr>
        <w:t>It is expressly agreed that, if</w:t>
      </w:r>
      <w:r w:rsidRPr="004668E1">
        <w:rPr>
          <w:rFonts w:ascii="Times New Roman" w:hAnsi="Times New Roman" w:cs="Times New Roman"/>
          <w:b/>
          <w:sz w:val="24"/>
          <w:szCs w:val="24"/>
        </w:rPr>
        <w:t xml:space="preserve"> </w:t>
      </w:r>
      <w:r w:rsidRPr="004668E1">
        <w:rPr>
          <w:rFonts w:ascii="Times New Roman" w:hAnsi="Times New Roman" w:cs="Times New Roman"/>
          <w:sz w:val="24"/>
          <w:szCs w:val="24"/>
        </w:rPr>
        <w:t>at any time during the initial period or any subsequent renewal of this agreement, the Grantor desires to commence prospecting or mining over the mining claims, he may cancel this agreement by written notice to the Tributor of not less than Six months”.</w:t>
      </w:r>
    </w:p>
    <w:p w:rsidR="000202C1" w:rsidRPr="004668E1" w:rsidRDefault="000202C1" w:rsidP="000202C1">
      <w:pPr>
        <w:spacing w:after="0"/>
        <w:ind w:left="720"/>
        <w:jc w:val="both"/>
        <w:rPr>
          <w:rFonts w:ascii="Times New Roman" w:hAnsi="Times New Roman" w:cs="Times New Roman"/>
          <w:sz w:val="24"/>
          <w:szCs w:val="24"/>
        </w:rPr>
      </w:pPr>
    </w:p>
    <w:p w:rsidR="000202C1" w:rsidRPr="004668E1" w:rsidRDefault="000202C1" w:rsidP="005A0867">
      <w:pPr>
        <w:spacing w:after="0" w:line="240" w:lineRule="auto"/>
        <w:ind w:left="720"/>
        <w:jc w:val="both"/>
        <w:rPr>
          <w:rFonts w:ascii="Times New Roman" w:hAnsi="Times New Roman" w:cs="Times New Roman"/>
          <w:sz w:val="24"/>
          <w:szCs w:val="24"/>
        </w:rPr>
      </w:pPr>
    </w:p>
    <w:p w:rsidR="00ED7474" w:rsidRPr="004668E1" w:rsidRDefault="00ED7474" w:rsidP="00156DC9">
      <w:pPr>
        <w:spacing w:after="0" w:line="240" w:lineRule="auto"/>
        <w:jc w:val="both"/>
        <w:rPr>
          <w:rFonts w:ascii="Times New Roman" w:hAnsi="Times New Roman" w:cs="Times New Roman"/>
          <w:sz w:val="24"/>
          <w:szCs w:val="24"/>
        </w:rPr>
      </w:pPr>
    </w:p>
    <w:p w:rsidR="00BE605F" w:rsidRPr="004668E1" w:rsidRDefault="00BE605F" w:rsidP="00970CFF">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Clause 10 of the Agreement provided for breach of contract as follows:</w:t>
      </w:r>
    </w:p>
    <w:p w:rsidR="00BE605F" w:rsidRPr="004668E1" w:rsidRDefault="00BE605F" w:rsidP="004C64CD">
      <w:pPr>
        <w:spacing w:after="0"/>
        <w:ind w:left="567"/>
        <w:jc w:val="both"/>
        <w:rPr>
          <w:rFonts w:ascii="Times New Roman" w:hAnsi="Times New Roman" w:cs="Times New Roman"/>
          <w:sz w:val="24"/>
          <w:szCs w:val="24"/>
        </w:rPr>
      </w:pPr>
      <w:r w:rsidRPr="004668E1">
        <w:rPr>
          <w:rFonts w:ascii="Times New Roman" w:hAnsi="Times New Roman" w:cs="Times New Roman"/>
          <w:sz w:val="24"/>
          <w:szCs w:val="24"/>
        </w:rPr>
        <w:lastRenderedPageBreak/>
        <w:t>“Should the Tributor commit any breach of the conditions of this agreement, the Grantor may make immediate demand upon the Tributor to rectify any such breach within seven days from the date of demand and should the tributor fail to rectify such breach of agreement, then and in such case the grantor shall have the right to terminate this agreement by giving one month’s notice to that effect to the Tributor subject to such determination not in any way affecting any claim for damages sustained by the Grantor in respect of such breach”.</w:t>
      </w:r>
    </w:p>
    <w:p w:rsidR="00156DC9" w:rsidRPr="004668E1" w:rsidRDefault="00156DC9" w:rsidP="00156DC9">
      <w:pPr>
        <w:spacing w:after="0" w:line="480" w:lineRule="auto"/>
        <w:jc w:val="both"/>
        <w:rPr>
          <w:rFonts w:ascii="Times New Roman" w:hAnsi="Times New Roman" w:cs="Times New Roman"/>
          <w:sz w:val="24"/>
          <w:szCs w:val="24"/>
        </w:rPr>
      </w:pPr>
    </w:p>
    <w:p w:rsidR="00970CFF" w:rsidRPr="004668E1" w:rsidRDefault="00970CFF" w:rsidP="00970CFF">
      <w:pPr>
        <w:spacing w:after="0" w:line="240" w:lineRule="auto"/>
        <w:jc w:val="both"/>
        <w:rPr>
          <w:rFonts w:ascii="Times New Roman" w:hAnsi="Times New Roman" w:cs="Times New Roman"/>
          <w:sz w:val="24"/>
          <w:szCs w:val="24"/>
        </w:rPr>
      </w:pPr>
    </w:p>
    <w:p w:rsidR="00343418" w:rsidRPr="004668E1" w:rsidRDefault="00343418" w:rsidP="00970CFF">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The appellant did not exercise her option to renew the Tribute in terms o</w:t>
      </w:r>
      <w:r w:rsidR="00465616" w:rsidRPr="004668E1">
        <w:rPr>
          <w:rFonts w:ascii="Times New Roman" w:hAnsi="Times New Roman" w:cs="Times New Roman"/>
          <w:sz w:val="24"/>
          <w:szCs w:val="24"/>
        </w:rPr>
        <w:t>f clause 1(b) of the agreement d</w:t>
      </w:r>
      <w:r w:rsidRPr="004668E1">
        <w:rPr>
          <w:rFonts w:ascii="Times New Roman" w:hAnsi="Times New Roman" w:cs="Times New Roman"/>
          <w:sz w:val="24"/>
          <w:szCs w:val="24"/>
        </w:rPr>
        <w:t xml:space="preserve">espite a written offer to renew the Tribute by 31 December 2015. That date came and passed without the appellant accepting the offer. </w:t>
      </w:r>
      <w:r w:rsidR="00465616" w:rsidRPr="004668E1">
        <w:rPr>
          <w:rFonts w:ascii="Times New Roman" w:hAnsi="Times New Roman" w:cs="Times New Roman"/>
          <w:sz w:val="24"/>
          <w:szCs w:val="24"/>
        </w:rPr>
        <w:t>Notwithstanding the</w:t>
      </w:r>
      <w:r w:rsidRPr="004668E1">
        <w:rPr>
          <w:rFonts w:ascii="Times New Roman" w:hAnsi="Times New Roman" w:cs="Times New Roman"/>
          <w:sz w:val="24"/>
          <w:szCs w:val="24"/>
        </w:rPr>
        <w:t xml:space="preserve"> non-renewal, the </w:t>
      </w:r>
      <w:r w:rsidR="005A26C6">
        <w:rPr>
          <w:rFonts w:ascii="Times New Roman" w:hAnsi="Times New Roman" w:cs="Times New Roman"/>
          <w:sz w:val="24"/>
          <w:szCs w:val="24"/>
        </w:rPr>
        <w:t>appellant</w:t>
      </w:r>
      <w:r w:rsidRPr="004668E1">
        <w:rPr>
          <w:rFonts w:ascii="Times New Roman" w:hAnsi="Times New Roman" w:cs="Times New Roman"/>
          <w:sz w:val="24"/>
          <w:szCs w:val="24"/>
        </w:rPr>
        <w:t xml:space="preserve"> continued to mine the claims illegally without contract. The appellant’s continued unlawful conduct in this respect prompted the responde</w:t>
      </w:r>
      <w:r w:rsidR="006D21D4">
        <w:rPr>
          <w:rFonts w:ascii="Times New Roman" w:hAnsi="Times New Roman" w:cs="Times New Roman"/>
          <w:sz w:val="24"/>
          <w:szCs w:val="24"/>
        </w:rPr>
        <w:t>nt to write to her on 6 October </w:t>
      </w:r>
      <w:r w:rsidRPr="004668E1">
        <w:rPr>
          <w:rFonts w:ascii="Times New Roman" w:hAnsi="Times New Roman" w:cs="Times New Roman"/>
          <w:sz w:val="24"/>
          <w:szCs w:val="24"/>
        </w:rPr>
        <w:t>2016 demanding vacant possession of the mining claims. The letter reads:</w:t>
      </w:r>
    </w:p>
    <w:p w:rsidR="00343418" w:rsidRPr="004668E1" w:rsidRDefault="00343418" w:rsidP="00343418">
      <w:pPr>
        <w:spacing w:after="0"/>
        <w:jc w:val="both"/>
        <w:rPr>
          <w:rFonts w:ascii="Times New Roman" w:hAnsi="Times New Roman" w:cs="Times New Roman"/>
          <w:sz w:val="24"/>
          <w:szCs w:val="24"/>
        </w:rPr>
      </w:pPr>
      <w:r w:rsidRPr="004668E1">
        <w:rPr>
          <w:rFonts w:ascii="Times New Roman" w:hAnsi="Times New Roman" w:cs="Times New Roman"/>
          <w:sz w:val="24"/>
          <w:szCs w:val="24"/>
        </w:rPr>
        <w:tab/>
        <w:t>“Mrs Siphiwe Dube</w:t>
      </w:r>
    </w:p>
    <w:p w:rsidR="00343418" w:rsidRPr="004668E1" w:rsidRDefault="00343418" w:rsidP="00343418">
      <w:pPr>
        <w:spacing w:after="0"/>
        <w:jc w:val="both"/>
        <w:rPr>
          <w:rFonts w:ascii="Times New Roman" w:hAnsi="Times New Roman" w:cs="Times New Roman"/>
          <w:sz w:val="24"/>
          <w:szCs w:val="24"/>
        </w:rPr>
      </w:pPr>
    </w:p>
    <w:p w:rsidR="00343418" w:rsidRPr="004668E1" w:rsidRDefault="00343418" w:rsidP="008F6A17">
      <w:pPr>
        <w:spacing w:after="0"/>
        <w:ind w:firstLine="851"/>
        <w:jc w:val="both"/>
        <w:rPr>
          <w:rFonts w:ascii="Times New Roman" w:hAnsi="Times New Roman" w:cs="Times New Roman"/>
          <w:sz w:val="24"/>
          <w:szCs w:val="24"/>
          <w:u w:val="single"/>
          <w:vertAlign w:val="superscript"/>
        </w:rPr>
      </w:pPr>
      <w:r w:rsidRPr="004668E1">
        <w:rPr>
          <w:rFonts w:ascii="Times New Roman" w:hAnsi="Times New Roman" w:cs="Times New Roman"/>
          <w:sz w:val="24"/>
          <w:szCs w:val="24"/>
          <w:u w:val="single"/>
        </w:rPr>
        <w:t>NOTICE OF TERMINATION OF OPERATIONS AT LEGION MINE</w:t>
      </w:r>
    </w:p>
    <w:p w:rsidR="00343418" w:rsidRPr="004668E1" w:rsidRDefault="00343418" w:rsidP="00343418">
      <w:pPr>
        <w:spacing w:after="0"/>
        <w:ind w:left="3600" w:hanging="3555"/>
        <w:jc w:val="both"/>
        <w:rPr>
          <w:rFonts w:ascii="Times New Roman" w:hAnsi="Times New Roman" w:cs="Times New Roman"/>
          <w:sz w:val="24"/>
          <w:szCs w:val="24"/>
        </w:rPr>
      </w:pPr>
    </w:p>
    <w:p w:rsidR="00343418" w:rsidRPr="004668E1" w:rsidRDefault="00343418" w:rsidP="008F6A17">
      <w:pPr>
        <w:spacing w:after="0" w:line="240" w:lineRule="auto"/>
        <w:ind w:left="851"/>
        <w:jc w:val="both"/>
        <w:rPr>
          <w:rFonts w:ascii="Times New Roman" w:hAnsi="Times New Roman" w:cs="Times New Roman"/>
          <w:sz w:val="24"/>
          <w:szCs w:val="24"/>
        </w:rPr>
      </w:pPr>
      <w:r w:rsidRPr="004668E1">
        <w:rPr>
          <w:rFonts w:ascii="Times New Roman" w:hAnsi="Times New Roman" w:cs="Times New Roman"/>
          <w:sz w:val="24"/>
          <w:szCs w:val="24"/>
        </w:rPr>
        <w:t>We have been in discussion with you for several times with regards to you signing the tribute agreement and in respect of same without success. The Board has finally decided to part ways with you. And pursue their own operations. We hereby request you to move out of our mining locations and wind up all operations within the next seven days. On 14</w:t>
      </w:r>
      <w:r w:rsidR="008F6A17" w:rsidRPr="004668E1">
        <w:rPr>
          <w:rFonts w:ascii="Times New Roman" w:hAnsi="Times New Roman" w:cs="Times New Roman"/>
          <w:sz w:val="24"/>
          <w:szCs w:val="24"/>
        </w:rPr>
        <w:t> </w:t>
      </w:r>
      <w:r w:rsidRPr="004668E1">
        <w:rPr>
          <w:rFonts w:ascii="Times New Roman" w:hAnsi="Times New Roman" w:cs="Times New Roman"/>
          <w:sz w:val="24"/>
          <w:szCs w:val="24"/>
        </w:rPr>
        <w:t>October 2016 our resident manager Mr Siziba will be there for a complete inspection of your withdrawal.</w:t>
      </w:r>
    </w:p>
    <w:p w:rsidR="00343418" w:rsidRPr="004668E1" w:rsidRDefault="00343418" w:rsidP="00343418">
      <w:pPr>
        <w:spacing w:after="0"/>
        <w:ind w:left="720"/>
        <w:jc w:val="both"/>
        <w:rPr>
          <w:rFonts w:ascii="Times New Roman" w:hAnsi="Times New Roman" w:cs="Times New Roman"/>
          <w:sz w:val="24"/>
          <w:szCs w:val="24"/>
        </w:rPr>
      </w:pPr>
    </w:p>
    <w:p w:rsidR="00343418" w:rsidRPr="004668E1" w:rsidRDefault="00343418" w:rsidP="008F6A17">
      <w:pPr>
        <w:spacing w:after="0"/>
        <w:ind w:left="1440" w:hanging="589"/>
        <w:jc w:val="both"/>
        <w:rPr>
          <w:rFonts w:ascii="Times New Roman" w:hAnsi="Times New Roman" w:cs="Times New Roman"/>
          <w:sz w:val="24"/>
          <w:szCs w:val="24"/>
        </w:rPr>
      </w:pPr>
      <w:r w:rsidRPr="004668E1">
        <w:rPr>
          <w:rFonts w:ascii="Times New Roman" w:hAnsi="Times New Roman" w:cs="Times New Roman"/>
          <w:sz w:val="24"/>
          <w:szCs w:val="24"/>
        </w:rPr>
        <w:t>Thank you for the time you have been with us”</w:t>
      </w:r>
      <w:r w:rsidR="008F6A17" w:rsidRPr="004668E1">
        <w:rPr>
          <w:rFonts w:ascii="Times New Roman" w:hAnsi="Times New Roman" w:cs="Times New Roman"/>
          <w:sz w:val="24"/>
          <w:szCs w:val="24"/>
        </w:rPr>
        <w:t>.</w:t>
      </w:r>
    </w:p>
    <w:p w:rsidR="00C135C4" w:rsidRPr="004668E1" w:rsidRDefault="00C135C4" w:rsidP="008F6A17">
      <w:pPr>
        <w:spacing w:after="0"/>
        <w:ind w:left="1440" w:hanging="589"/>
        <w:jc w:val="both"/>
        <w:rPr>
          <w:rFonts w:ascii="Times New Roman" w:hAnsi="Times New Roman" w:cs="Times New Roman"/>
          <w:sz w:val="24"/>
          <w:szCs w:val="24"/>
        </w:rPr>
      </w:pPr>
    </w:p>
    <w:p w:rsidR="00343418" w:rsidRPr="004668E1" w:rsidRDefault="00343418" w:rsidP="00970CFF">
      <w:pPr>
        <w:spacing w:after="0" w:line="240" w:lineRule="auto"/>
        <w:jc w:val="both"/>
        <w:rPr>
          <w:rFonts w:ascii="Times New Roman" w:hAnsi="Times New Roman" w:cs="Times New Roman"/>
          <w:sz w:val="24"/>
          <w:szCs w:val="24"/>
        </w:rPr>
      </w:pPr>
    </w:p>
    <w:p w:rsidR="00970CFF" w:rsidRPr="004668E1" w:rsidRDefault="00970CFF" w:rsidP="00970CFF">
      <w:pPr>
        <w:spacing w:after="0" w:line="240" w:lineRule="auto"/>
        <w:jc w:val="both"/>
        <w:rPr>
          <w:rFonts w:ascii="Times New Roman" w:hAnsi="Times New Roman" w:cs="Times New Roman"/>
          <w:sz w:val="24"/>
          <w:szCs w:val="24"/>
        </w:rPr>
      </w:pPr>
    </w:p>
    <w:p w:rsidR="00343418" w:rsidRPr="004668E1" w:rsidRDefault="00343418" w:rsidP="00C135C4">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The respondent’s letter pro</w:t>
      </w:r>
      <w:r w:rsidR="003738CF" w:rsidRPr="004668E1">
        <w:rPr>
          <w:rFonts w:ascii="Times New Roman" w:hAnsi="Times New Roman" w:cs="Times New Roman"/>
          <w:sz w:val="24"/>
          <w:szCs w:val="24"/>
        </w:rPr>
        <w:t>vok</w:t>
      </w:r>
      <w:r w:rsidRPr="004668E1">
        <w:rPr>
          <w:rFonts w:ascii="Times New Roman" w:hAnsi="Times New Roman" w:cs="Times New Roman"/>
          <w:sz w:val="24"/>
          <w:szCs w:val="24"/>
        </w:rPr>
        <w:t xml:space="preserve">ed a rather surprising and unexpected response from the appellant through her legal practitioners </w:t>
      </w:r>
      <w:r w:rsidRPr="004668E1">
        <w:rPr>
          <w:rFonts w:ascii="Times New Roman" w:hAnsi="Times New Roman" w:cs="Times New Roman"/>
          <w:i/>
          <w:sz w:val="24"/>
          <w:szCs w:val="24"/>
        </w:rPr>
        <w:t>Majoko and Majoko</w:t>
      </w:r>
      <w:r w:rsidRPr="004668E1">
        <w:rPr>
          <w:rFonts w:ascii="Times New Roman" w:hAnsi="Times New Roman" w:cs="Times New Roman"/>
          <w:sz w:val="24"/>
          <w:szCs w:val="24"/>
        </w:rPr>
        <w:t xml:space="preserve"> Legal Practitioners. In that letter dated 1 December 2016 she now claimed to have occupied and worked the claims under the auspices of Falcon Gold whom she claimed to be the rightful owners of the mining claims. She disputed the respondent’s ownership of the claims and averred that she had been promised change of ownership into her name by Falcon Gold. For that reason she refused to vacate the </w:t>
      </w:r>
      <w:r w:rsidRPr="004668E1">
        <w:rPr>
          <w:rFonts w:ascii="Times New Roman" w:hAnsi="Times New Roman" w:cs="Times New Roman"/>
          <w:sz w:val="24"/>
          <w:szCs w:val="24"/>
        </w:rPr>
        <w:lastRenderedPageBreak/>
        <w:t xml:space="preserve">mining claims until she had received contrary information from the Ministry of Mines and Falcon Gold. The letter written by her legal practitioners reads: </w:t>
      </w:r>
    </w:p>
    <w:p w:rsidR="00343418" w:rsidRPr="004668E1" w:rsidRDefault="00343418" w:rsidP="004C64CD">
      <w:pPr>
        <w:spacing w:after="0" w:line="240" w:lineRule="auto"/>
        <w:ind w:left="567"/>
        <w:jc w:val="both"/>
        <w:rPr>
          <w:rFonts w:ascii="Times New Roman" w:hAnsi="Times New Roman" w:cs="Times New Roman"/>
          <w:sz w:val="24"/>
          <w:szCs w:val="24"/>
        </w:rPr>
      </w:pPr>
      <w:r w:rsidRPr="004668E1">
        <w:rPr>
          <w:rFonts w:ascii="Times New Roman" w:hAnsi="Times New Roman" w:cs="Times New Roman"/>
          <w:sz w:val="24"/>
          <w:szCs w:val="24"/>
        </w:rPr>
        <w:t xml:space="preserve">“A brief history, we believe will assist in the understanding of our client’s position. Our client has been mining from Legion since 2003, having done so under tribute from Falcon </w:t>
      </w:r>
      <w:r w:rsidR="000B5CF4" w:rsidRPr="004668E1">
        <w:rPr>
          <w:rFonts w:ascii="Times New Roman" w:hAnsi="Times New Roman" w:cs="Times New Roman"/>
          <w:sz w:val="24"/>
          <w:szCs w:val="24"/>
        </w:rPr>
        <w:t>G</w:t>
      </w:r>
      <w:r w:rsidRPr="004668E1">
        <w:rPr>
          <w:rFonts w:ascii="Times New Roman" w:hAnsi="Times New Roman" w:cs="Times New Roman"/>
          <w:sz w:val="24"/>
          <w:szCs w:val="24"/>
        </w:rPr>
        <w:t>old Zimbabwe Ltd.</w:t>
      </w:r>
    </w:p>
    <w:p w:rsidR="00343418" w:rsidRPr="004668E1" w:rsidRDefault="00343418" w:rsidP="00C135C4">
      <w:pPr>
        <w:spacing w:after="0" w:line="240" w:lineRule="auto"/>
        <w:ind w:left="720"/>
        <w:jc w:val="both"/>
        <w:rPr>
          <w:rFonts w:ascii="Times New Roman" w:hAnsi="Times New Roman" w:cs="Times New Roman"/>
          <w:sz w:val="24"/>
          <w:szCs w:val="24"/>
        </w:rPr>
      </w:pPr>
    </w:p>
    <w:p w:rsidR="00343418" w:rsidRPr="004668E1" w:rsidRDefault="00343418" w:rsidP="004C64CD">
      <w:pPr>
        <w:spacing w:after="0" w:line="240" w:lineRule="auto"/>
        <w:ind w:left="567"/>
        <w:jc w:val="both"/>
        <w:rPr>
          <w:rFonts w:ascii="Times New Roman" w:hAnsi="Times New Roman" w:cs="Times New Roman"/>
          <w:sz w:val="24"/>
          <w:szCs w:val="24"/>
        </w:rPr>
      </w:pPr>
      <w:r w:rsidRPr="004668E1">
        <w:rPr>
          <w:rFonts w:ascii="Times New Roman" w:hAnsi="Times New Roman" w:cs="Times New Roman"/>
          <w:sz w:val="24"/>
          <w:szCs w:val="24"/>
        </w:rPr>
        <w:t xml:space="preserve">Discussion involving the </w:t>
      </w:r>
      <w:r w:rsidR="0041356E" w:rsidRPr="004668E1">
        <w:rPr>
          <w:rFonts w:ascii="Times New Roman" w:hAnsi="Times New Roman" w:cs="Times New Roman"/>
          <w:sz w:val="24"/>
          <w:szCs w:val="24"/>
        </w:rPr>
        <w:t>M</w:t>
      </w:r>
      <w:r w:rsidRPr="004668E1">
        <w:rPr>
          <w:rFonts w:ascii="Times New Roman" w:hAnsi="Times New Roman" w:cs="Times New Roman"/>
          <w:sz w:val="24"/>
          <w:szCs w:val="24"/>
        </w:rPr>
        <w:t>inistry of Mines and Mineral Development were held with Falcon Gold and our client as a result of which it was agreed that the claims would be registered in our client’s names and our client has, and there is evidence of this written understanding, from so far back as 2007, been awaiting formal transfer and registration of the claims into her name.</w:t>
      </w:r>
    </w:p>
    <w:p w:rsidR="00343418" w:rsidRPr="004668E1" w:rsidRDefault="00343418" w:rsidP="00C135C4">
      <w:pPr>
        <w:spacing w:after="0" w:line="240" w:lineRule="auto"/>
        <w:ind w:left="720"/>
        <w:jc w:val="both"/>
        <w:rPr>
          <w:rFonts w:ascii="Times New Roman" w:hAnsi="Times New Roman" w:cs="Times New Roman"/>
          <w:sz w:val="24"/>
          <w:szCs w:val="24"/>
        </w:rPr>
      </w:pPr>
    </w:p>
    <w:p w:rsidR="00343418" w:rsidRPr="004668E1" w:rsidRDefault="00343418" w:rsidP="004C64CD">
      <w:pPr>
        <w:spacing w:after="0" w:line="240" w:lineRule="auto"/>
        <w:ind w:left="567"/>
        <w:jc w:val="both"/>
        <w:rPr>
          <w:rFonts w:ascii="Times New Roman" w:hAnsi="Times New Roman" w:cs="Times New Roman"/>
          <w:sz w:val="24"/>
          <w:szCs w:val="24"/>
        </w:rPr>
      </w:pPr>
      <w:r w:rsidRPr="004668E1">
        <w:rPr>
          <w:rFonts w:ascii="Times New Roman" w:hAnsi="Times New Roman" w:cs="Times New Roman"/>
          <w:sz w:val="24"/>
          <w:szCs w:val="24"/>
        </w:rPr>
        <w:t>If there were any changes in this understanding, it was not communicated to our client. She has been in occupation and working the claims on the bona fide understanding that the claims were to all intents and purposes hers.</w:t>
      </w:r>
    </w:p>
    <w:p w:rsidR="00343418" w:rsidRPr="004668E1" w:rsidRDefault="00343418" w:rsidP="00C135C4">
      <w:pPr>
        <w:spacing w:after="0" w:line="240" w:lineRule="auto"/>
        <w:ind w:left="720"/>
        <w:jc w:val="both"/>
        <w:rPr>
          <w:rFonts w:ascii="Times New Roman" w:hAnsi="Times New Roman" w:cs="Times New Roman"/>
          <w:sz w:val="24"/>
          <w:szCs w:val="24"/>
        </w:rPr>
      </w:pPr>
    </w:p>
    <w:p w:rsidR="00343418" w:rsidRPr="004668E1" w:rsidRDefault="00343418" w:rsidP="004C64CD">
      <w:pPr>
        <w:spacing w:after="0" w:line="240" w:lineRule="auto"/>
        <w:ind w:left="567"/>
        <w:jc w:val="both"/>
        <w:rPr>
          <w:rFonts w:ascii="Times New Roman" w:hAnsi="Times New Roman" w:cs="Times New Roman"/>
          <w:sz w:val="24"/>
          <w:szCs w:val="24"/>
        </w:rPr>
      </w:pPr>
      <w:r w:rsidRPr="004668E1">
        <w:rPr>
          <w:rFonts w:ascii="Times New Roman" w:hAnsi="Times New Roman" w:cs="Times New Roman"/>
          <w:sz w:val="24"/>
          <w:szCs w:val="24"/>
        </w:rPr>
        <w:t>At no time was our client advised, as she would have been entitled to, of any change of ownership of the claims from Falcon Gold to yourselves”</w:t>
      </w:r>
    </w:p>
    <w:p w:rsidR="00343418" w:rsidRPr="004668E1" w:rsidRDefault="00343418" w:rsidP="00343418">
      <w:pPr>
        <w:spacing w:after="0"/>
        <w:ind w:left="720"/>
        <w:jc w:val="both"/>
        <w:rPr>
          <w:rFonts w:ascii="Times New Roman" w:hAnsi="Times New Roman" w:cs="Times New Roman"/>
          <w:sz w:val="24"/>
          <w:szCs w:val="24"/>
        </w:rPr>
      </w:pPr>
    </w:p>
    <w:p w:rsidR="00343418" w:rsidRPr="004668E1" w:rsidRDefault="00343418" w:rsidP="004C64CD">
      <w:pPr>
        <w:spacing w:after="0"/>
        <w:ind w:left="567"/>
        <w:jc w:val="both"/>
        <w:rPr>
          <w:rFonts w:ascii="Times New Roman" w:hAnsi="Times New Roman" w:cs="Times New Roman"/>
          <w:sz w:val="24"/>
          <w:szCs w:val="24"/>
        </w:rPr>
      </w:pPr>
      <w:r w:rsidRPr="004668E1">
        <w:rPr>
          <w:rFonts w:ascii="Times New Roman" w:hAnsi="Times New Roman" w:cs="Times New Roman"/>
          <w:sz w:val="24"/>
          <w:szCs w:val="24"/>
        </w:rPr>
        <w:t>You will appreciate, in the circumstances that our client cannot, without prejudicing her rights, accede to your demand that she vacates the claims, until she has received formal communication from the Ministry of Mines and Falcon Gold, that what was agreed upon regarding the claims has been changed”</w:t>
      </w:r>
      <w:r w:rsidR="003B2838" w:rsidRPr="004668E1">
        <w:rPr>
          <w:rFonts w:ascii="Times New Roman" w:hAnsi="Times New Roman" w:cs="Times New Roman"/>
          <w:sz w:val="24"/>
          <w:szCs w:val="24"/>
        </w:rPr>
        <w:t>(sic)</w:t>
      </w:r>
      <w:r w:rsidRPr="004668E1">
        <w:rPr>
          <w:rFonts w:ascii="Times New Roman" w:hAnsi="Times New Roman" w:cs="Times New Roman"/>
          <w:sz w:val="24"/>
          <w:szCs w:val="24"/>
        </w:rPr>
        <w:tab/>
      </w:r>
    </w:p>
    <w:p w:rsidR="00210851" w:rsidRPr="004668E1" w:rsidRDefault="00210851" w:rsidP="00C135C4">
      <w:pPr>
        <w:spacing w:after="0"/>
        <w:ind w:left="851"/>
        <w:jc w:val="both"/>
        <w:rPr>
          <w:rFonts w:ascii="Times New Roman" w:hAnsi="Times New Roman" w:cs="Times New Roman"/>
          <w:sz w:val="24"/>
          <w:szCs w:val="24"/>
        </w:rPr>
      </w:pPr>
    </w:p>
    <w:p w:rsidR="00210851" w:rsidRPr="004668E1" w:rsidRDefault="00210851" w:rsidP="00210851">
      <w:pPr>
        <w:spacing w:after="0"/>
        <w:jc w:val="both"/>
        <w:rPr>
          <w:rFonts w:ascii="Times New Roman" w:hAnsi="Times New Roman" w:cs="Times New Roman"/>
          <w:sz w:val="24"/>
          <w:szCs w:val="24"/>
        </w:rPr>
      </w:pPr>
    </w:p>
    <w:p w:rsidR="00343418" w:rsidRPr="004668E1" w:rsidRDefault="00343418" w:rsidP="001B100C">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 xml:space="preserve">Despite that spirited resistance to eviction, the appellant neither called upon Falcon Gold and the Ministry to vindicate her rights of occupation nor as witnesses to support her story. Falcon Gold has however laid no claim to ownership of the mining claims as alleged by the appellant or at all. Thus in the absence of any evidence or support from Falcon Gold and the Ministry, the appellant’s claim to lawful  entitlement to the mining claims in question through Falcon Gold sounds hollow and unbelievable. </w:t>
      </w:r>
    </w:p>
    <w:p w:rsidR="00343418" w:rsidRPr="004668E1" w:rsidRDefault="00343418" w:rsidP="001B100C">
      <w:pPr>
        <w:spacing w:after="0" w:line="480" w:lineRule="auto"/>
        <w:jc w:val="both"/>
        <w:rPr>
          <w:rFonts w:ascii="Times New Roman" w:hAnsi="Times New Roman" w:cs="Times New Roman"/>
          <w:sz w:val="24"/>
          <w:szCs w:val="24"/>
        </w:rPr>
      </w:pPr>
    </w:p>
    <w:p w:rsidR="00343418" w:rsidRPr="004668E1" w:rsidRDefault="00343418" w:rsidP="00167DEC">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In a clear about turn the appellant wrote to the respondent on 12 January 2017 offering to pay royalties in return for permission to continue mining on the claims. The letter reads in part at page 57</w:t>
      </w:r>
      <w:r w:rsidR="00BF64E4" w:rsidRPr="004668E1">
        <w:rPr>
          <w:rFonts w:ascii="Times New Roman" w:hAnsi="Times New Roman" w:cs="Times New Roman"/>
          <w:sz w:val="24"/>
          <w:szCs w:val="24"/>
        </w:rPr>
        <w:t xml:space="preserve"> of the record of proceedings: </w:t>
      </w:r>
    </w:p>
    <w:p w:rsidR="00343418" w:rsidRPr="004668E1" w:rsidRDefault="00343418" w:rsidP="004C64CD">
      <w:pPr>
        <w:spacing w:after="0"/>
        <w:ind w:left="567"/>
        <w:jc w:val="both"/>
        <w:rPr>
          <w:rFonts w:ascii="Times New Roman" w:hAnsi="Times New Roman" w:cs="Times New Roman"/>
          <w:sz w:val="24"/>
          <w:szCs w:val="24"/>
        </w:rPr>
      </w:pPr>
      <w:r w:rsidRPr="004668E1">
        <w:rPr>
          <w:rFonts w:ascii="Times New Roman" w:hAnsi="Times New Roman" w:cs="Times New Roman"/>
          <w:sz w:val="24"/>
          <w:szCs w:val="24"/>
        </w:rPr>
        <w:t>“Our client, her legitimate expectations notwithstanding, is not averse to paying royalties and (in) this respect repeats her tender of the agreed royalty of 5</w:t>
      </w:r>
      <w:r w:rsidR="00A67F22" w:rsidRPr="004668E1">
        <w:rPr>
          <w:rFonts w:ascii="Times New Roman" w:hAnsi="Times New Roman" w:cs="Times New Roman"/>
          <w:sz w:val="24"/>
          <w:szCs w:val="24"/>
        </w:rPr>
        <w:t xml:space="preserve"> percent</w:t>
      </w:r>
      <w:r w:rsidRPr="004668E1">
        <w:rPr>
          <w:rFonts w:ascii="Times New Roman" w:hAnsi="Times New Roman" w:cs="Times New Roman"/>
          <w:sz w:val="24"/>
          <w:szCs w:val="24"/>
        </w:rPr>
        <w:t xml:space="preserve">. In the event that </w:t>
      </w:r>
      <w:r w:rsidRPr="004668E1">
        <w:rPr>
          <w:rFonts w:ascii="Times New Roman" w:hAnsi="Times New Roman" w:cs="Times New Roman"/>
          <w:sz w:val="24"/>
          <w:szCs w:val="24"/>
        </w:rPr>
        <w:lastRenderedPageBreak/>
        <w:t>your client wish(es) to engage  ours in negotiating a variation of the royalty they are free to do so and our client will in good faith negotiate any variation your client may wish “.</w:t>
      </w:r>
    </w:p>
    <w:p w:rsidR="00211A67" w:rsidRPr="004668E1" w:rsidRDefault="00211A67" w:rsidP="00A67F22">
      <w:pPr>
        <w:spacing w:after="0"/>
        <w:ind w:left="851"/>
        <w:jc w:val="both"/>
        <w:rPr>
          <w:rFonts w:ascii="Times New Roman" w:hAnsi="Times New Roman" w:cs="Times New Roman"/>
          <w:sz w:val="24"/>
          <w:szCs w:val="24"/>
        </w:rPr>
      </w:pPr>
    </w:p>
    <w:p w:rsidR="00343418" w:rsidRPr="004668E1" w:rsidRDefault="00343418" w:rsidP="00970CFF">
      <w:pPr>
        <w:spacing w:after="0" w:line="240" w:lineRule="auto"/>
        <w:jc w:val="both"/>
        <w:rPr>
          <w:rFonts w:ascii="Times New Roman" w:hAnsi="Times New Roman" w:cs="Times New Roman"/>
          <w:sz w:val="24"/>
          <w:szCs w:val="24"/>
        </w:rPr>
      </w:pPr>
    </w:p>
    <w:p w:rsidR="00970CFF" w:rsidRPr="004668E1" w:rsidRDefault="00970CFF" w:rsidP="00970CFF">
      <w:pPr>
        <w:spacing w:after="0" w:line="240" w:lineRule="auto"/>
        <w:jc w:val="both"/>
        <w:rPr>
          <w:rFonts w:ascii="Times New Roman" w:hAnsi="Times New Roman" w:cs="Times New Roman"/>
          <w:sz w:val="24"/>
          <w:szCs w:val="24"/>
        </w:rPr>
      </w:pPr>
    </w:p>
    <w:p w:rsidR="00343418" w:rsidRPr="004668E1" w:rsidRDefault="0071763C" w:rsidP="00211A6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w:t>
      </w:r>
      <w:r w:rsidR="00343418" w:rsidRPr="004668E1">
        <w:rPr>
          <w:rFonts w:ascii="Times New Roman" w:hAnsi="Times New Roman" w:cs="Times New Roman"/>
          <w:sz w:val="24"/>
          <w:szCs w:val="24"/>
        </w:rPr>
        <w:t>nt’s offer to pay royalties to the respondent without recourse to Falcon Gold and the Ministry of Mines undoubtedly amounts to an unequivocal admission that the respondent is the registered owner of the disputed mining claims. It is inconceivable that a litigant represented by a competent law firm would enter into a tribute agreement with a non-owner and pay royalties for 5 years in circumstances where she claims to be the true owner of the mining claims. At the expiration of the tribute agreement she continued to mine illegally with impunity without a contract from the respondent.</w:t>
      </w:r>
    </w:p>
    <w:p w:rsidR="00343418" w:rsidRPr="004668E1" w:rsidRDefault="00343418" w:rsidP="00211A67">
      <w:pPr>
        <w:spacing w:after="0" w:line="480" w:lineRule="auto"/>
        <w:ind w:firstLine="720"/>
        <w:jc w:val="both"/>
        <w:rPr>
          <w:rFonts w:ascii="Times New Roman" w:hAnsi="Times New Roman" w:cs="Times New Roman"/>
          <w:sz w:val="24"/>
          <w:szCs w:val="24"/>
        </w:rPr>
      </w:pPr>
    </w:p>
    <w:p w:rsidR="00343418" w:rsidRPr="004668E1" w:rsidRDefault="00343418" w:rsidP="00211A67">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 xml:space="preserve">When faced with eviction she initially resisted claiming to be the lawful owner or tributor through Falcon Gold. When challenged she made an about turn and offered to pay royalties to the respondent thereby recognising its claim to ownership of the disputed mining claims. The </w:t>
      </w:r>
      <w:r w:rsidR="00211A67" w:rsidRPr="004668E1">
        <w:rPr>
          <w:rFonts w:ascii="Times New Roman" w:hAnsi="Times New Roman" w:cs="Times New Roman"/>
          <w:sz w:val="24"/>
          <w:szCs w:val="24"/>
        </w:rPr>
        <w:t>a</w:t>
      </w:r>
      <w:r w:rsidRPr="004668E1">
        <w:rPr>
          <w:rFonts w:ascii="Times New Roman" w:hAnsi="Times New Roman" w:cs="Times New Roman"/>
          <w:sz w:val="24"/>
          <w:szCs w:val="24"/>
        </w:rPr>
        <w:t>ppellant’s conduct in this respect betrays a devious character bent on reaping where she did not sow. For that reason she was obviously telling a patent lie when she claimed to be the owner of the disputed mining claims or tributor granted by Falcon Gold.</w:t>
      </w:r>
    </w:p>
    <w:p w:rsidR="00AE305C" w:rsidRPr="004668E1" w:rsidRDefault="00AE305C" w:rsidP="00211A67">
      <w:pPr>
        <w:spacing w:after="0" w:line="480" w:lineRule="auto"/>
        <w:ind w:firstLine="1134"/>
        <w:jc w:val="both"/>
        <w:rPr>
          <w:rFonts w:ascii="Times New Roman" w:hAnsi="Times New Roman" w:cs="Times New Roman"/>
          <w:sz w:val="24"/>
          <w:szCs w:val="24"/>
        </w:rPr>
      </w:pPr>
    </w:p>
    <w:p w:rsidR="00343418" w:rsidRPr="004668E1" w:rsidRDefault="00343418" w:rsidP="00BE130E">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For obvious reasons</w:t>
      </w:r>
      <w:r w:rsidR="003E3E06">
        <w:rPr>
          <w:rFonts w:ascii="Times New Roman" w:hAnsi="Times New Roman" w:cs="Times New Roman"/>
          <w:sz w:val="24"/>
          <w:szCs w:val="24"/>
        </w:rPr>
        <w:t>,</w:t>
      </w:r>
      <w:r w:rsidRPr="004668E1">
        <w:rPr>
          <w:rFonts w:ascii="Times New Roman" w:hAnsi="Times New Roman" w:cs="Times New Roman"/>
          <w:sz w:val="24"/>
          <w:szCs w:val="24"/>
        </w:rPr>
        <w:t xml:space="preserve"> courts are averse </w:t>
      </w:r>
      <w:r w:rsidR="00AE305C" w:rsidRPr="004668E1">
        <w:rPr>
          <w:rFonts w:ascii="Times New Roman" w:hAnsi="Times New Roman" w:cs="Times New Roman"/>
          <w:sz w:val="24"/>
          <w:szCs w:val="24"/>
        </w:rPr>
        <w:t xml:space="preserve">to </w:t>
      </w:r>
      <w:r w:rsidRPr="004668E1">
        <w:rPr>
          <w:rFonts w:ascii="Times New Roman" w:hAnsi="Times New Roman" w:cs="Times New Roman"/>
          <w:sz w:val="24"/>
          <w:szCs w:val="24"/>
        </w:rPr>
        <w:t xml:space="preserve">and detest dishonest litigants bent on misleading the courts. The function of the courts is to do justice.  Lies are detrimental and incompatible with the due administration of justice in that they are bound to mislead the court into the wilderness of injustice. This prompted NDOU J in </w:t>
      </w:r>
      <w:r w:rsidRPr="004668E1">
        <w:rPr>
          <w:rFonts w:ascii="Times New Roman" w:hAnsi="Times New Roman" w:cs="Times New Roman"/>
          <w:i/>
          <w:sz w:val="24"/>
          <w:szCs w:val="24"/>
        </w:rPr>
        <w:t>Leader Trend Zimbabwe v Smith</w:t>
      </w:r>
      <w:r w:rsidRPr="004668E1">
        <w:rPr>
          <w:rFonts w:ascii="Times New Roman" w:hAnsi="Times New Roman" w:cs="Times New Roman"/>
          <w:sz w:val="24"/>
          <w:szCs w:val="24"/>
        </w:rPr>
        <w:t xml:space="preserve"> H – H - 1311/03 at page 7 to remark that:</w:t>
      </w:r>
    </w:p>
    <w:p w:rsidR="00343418" w:rsidRPr="004668E1" w:rsidRDefault="00343418" w:rsidP="005D28B2">
      <w:pPr>
        <w:spacing w:after="0"/>
        <w:ind w:left="567"/>
        <w:jc w:val="both"/>
        <w:rPr>
          <w:rFonts w:ascii="Times New Roman" w:hAnsi="Times New Roman" w:cs="Times New Roman"/>
          <w:sz w:val="24"/>
          <w:szCs w:val="24"/>
        </w:rPr>
      </w:pPr>
      <w:r w:rsidRPr="004668E1">
        <w:rPr>
          <w:rFonts w:ascii="Times New Roman" w:hAnsi="Times New Roman" w:cs="Times New Roman"/>
          <w:sz w:val="24"/>
          <w:szCs w:val="24"/>
        </w:rPr>
        <w:t>“It is trite that if a litigant gives false evidence, his story will be discarded and the same adverse inferences  may be drawn as if he had not given evidence at all – see</w:t>
      </w:r>
      <w:r w:rsidRPr="004668E1">
        <w:rPr>
          <w:rFonts w:ascii="Times New Roman" w:hAnsi="Times New Roman" w:cs="Times New Roman"/>
          <w:i/>
          <w:sz w:val="24"/>
          <w:szCs w:val="24"/>
        </w:rPr>
        <w:t xml:space="preserve"> Tamahole  Bereng v R </w:t>
      </w:r>
      <w:r w:rsidRPr="004668E1">
        <w:rPr>
          <w:rFonts w:ascii="Times New Roman" w:hAnsi="Times New Roman" w:cs="Times New Roman"/>
          <w:sz w:val="24"/>
          <w:szCs w:val="24"/>
        </w:rPr>
        <w:t xml:space="preserve">[1949] AC 253 and </w:t>
      </w:r>
      <w:r w:rsidRPr="004668E1">
        <w:rPr>
          <w:rFonts w:ascii="Times New Roman" w:hAnsi="Times New Roman" w:cs="Times New Roman"/>
          <w:i/>
          <w:sz w:val="24"/>
          <w:szCs w:val="24"/>
        </w:rPr>
        <w:t>South African Law of Evidence</w:t>
      </w:r>
      <w:r w:rsidRPr="004668E1">
        <w:rPr>
          <w:rFonts w:ascii="Times New Roman" w:hAnsi="Times New Roman" w:cs="Times New Roman"/>
          <w:sz w:val="24"/>
          <w:szCs w:val="24"/>
        </w:rPr>
        <w:t xml:space="preserve">  by L H Hoffman and D T </w:t>
      </w:r>
      <w:r w:rsidR="002919F9" w:rsidRPr="004668E1">
        <w:rPr>
          <w:rFonts w:ascii="Times New Roman" w:hAnsi="Times New Roman" w:cs="Times New Roman"/>
          <w:sz w:val="24"/>
          <w:szCs w:val="24"/>
        </w:rPr>
        <w:t>Z</w:t>
      </w:r>
      <w:r w:rsidRPr="004668E1">
        <w:rPr>
          <w:rFonts w:ascii="Times New Roman" w:hAnsi="Times New Roman" w:cs="Times New Roman"/>
          <w:sz w:val="24"/>
          <w:szCs w:val="24"/>
        </w:rPr>
        <w:t>effertt (3</w:t>
      </w:r>
      <w:r w:rsidRPr="004668E1">
        <w:rPr>
          <w:rFonts w:ascii="Times New Roman" w:hAnsi="Times New Roman" w:cs="Times New Roman"/>
          <w:sz w:val="24"/>
          <w:szCs w:val="24"/>
          <w:vertAlign w:val="superscript"/>
        </w:rPr>
        <w:t>rd</w:t>
      </w:r>
      <w:r w:rsidRPr="004668E1">
        <w:rPr>
          <w:rFonts w:ascii="Times New Roman" w:hAnsi="Times New Roman" w:cs="Times New Roman"/>
          <w:sz w:val="24"/>
          <w:szCs w:val="24"/>
        </w:rPr>
        <w:t xml:space="preserve"> ed) at page 472. If a witness lies about a particular incident the court may infer that there is something about it which he wishes to hide”.</w:t>
      </w:r>
    </w:p>
    <w:p w:rsidR="00343418" w:rsidRPr="004668E1" w:rsidRDefault="00343418" w:rsidP="009939E6">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lastRenderedPageBreak/>
        <w:t xml:space="preserve">In this case the only reasonable inference to be drawn from the proven facts is that the appellant wanted to mislead the court into believing that she was lawfully mining on the disputed claims so that it would allow her to continue mining illegally to the detriment of </w:t>
      </w:r>
      <w:r w:rsidR="009939E6" w:rsidRPr="004668E1">
        <w:rPr>
          <w:rFonts w:ascii="Times New Roman" w:hAnsi="Times New Roman" w:cs="Times New Roman"/>
          <w:sz w:val="24"/>
          <w:szCs w:val="24"/>
        </w:rPr>
        <w:t>the respondent</w:t>
      </w:r>
      <w:r w:rsidRPr="004668E1">
        <w:rPr>
          <w:rFonts w:ascii="Times New Roman" w:hAnsi="Times New Roman" w:cs="Times New Roman"/>
          <w:sz w:val="24"/>
          <w:szCs w:val="24"/>
        </w:rPr>
        <w:t xml:space="preserve">. Having failed to pull wool over the court’s eyes, it is hardly surprising that she lost the plot and the court </w:t>
      </w:r>
      <w:r w:rsidRPr="004668E1">
        <w:rPr>
          <w:rFonts w:ascii="Times New Roman" w:hAnsi="Times New Roman" w:cs="Times New Roman"/>
          <w:i/>
          <w:sz w:val="24"/>
          <w:szCs w:val="24"/>
        </w:rPr>
        <w:t>a quo</w:t>
      </w:r>
      <w:r w:rsidRPr="004668E1">
        <w:rPr>
          <w:rFonts w:ascii="Times New Roman" w:hAnsi="Times New Roman" w:cs="Times New Roman"/>
          <w:sz w:val="24"/>
          <w:szCs w:val="24"/>
        </w:rPr>
        <w:t xml:space="preserve"> issued a provisional order stopping her from continuing with her illegal conduct pending the final determination of the dispute.</w:t>
      </w:r>
    </w:p>
    <w:p w:rsidR="00343418" w:rsidRPr="004668E1" w:rsidRDefault="00343418" w:rsidP="009939E6">
      <w:pPr>
        <w:spacing w:after="0" w:line="480" w:lineRule="auto"/>
        <w:jc w:val="both"/>
        <w:rPr>
          <w:rFonts w:ascii="Times New Roman" w:hAnsi="Times New Roman" w:cs="Times New Roman"/>
          <w:sz w:val="24"/>
          <w:szCs w:val="24"/>
        </w:rPr>
      </w:pPr>
    </w:p>
    <w:p w:rsidR="00343418" w:rsidRPr="004668E1" w:rsidRDefault="00343418" w:rsidP="009939E6">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 xml:space="preserve">Having failed to attack the court a </w:t>
      </w:r>
      <w:r w:rsidRPr="004668E1">
        <w:rPr>
          <w:rFonts w:ascii="Times New Roman" w:hAnsi="Times New Roman" w:cs="Times New Roman"/>
          <w:i/>
          <w:sz w:val="24"/>
          <w:szCs w:val="24"/>
        </w:rPr>
        <w:t>quo’s</w:t>
      </w:r>
      <w:r w:rsidRPr="004668E1">
        <w:rPr>
          <w:rFonts w:ascii="Times New Roman" w:hAnsi="Times New Roman" w:cs="Times New Roman"/>
          <w:sz w:val="24"/>
          <w:szCs w:val="24"/>
        </w:rPr>
        <w:t xml:space="preserve"> judgment on the merits the appellant sought to rely in vain on technicalities. It was argued on her behalf that the facts of the case did not warrant the issuing of a provisional interdict. </w:t>
      </w:r>
    </w:p>
    <w:p w:rsidR="00343418" w:rsidRPr="004668E1" w:rsidRDefault="00343418" w:rsidP="009939E6">
      <w:pPr>
        <w:spacing w:after="0" w:line="480" w:lineRule="auto"/>
        <w:jc w:val="both"/>
        <w:rPr>
          <w:rFonts w:ascii="Times New Roman" w:hAnsi="Times New Roman" w:cs="Times New Roman"/>
          <w:sz w:val="24"/>
          <w:szCs w:val="24"/>
        </w:rPr>
      </w:pPr>
    </w:p>
    <w:p w:rsidR="00343418" w:rsidRPr="004668E1" w:rsidRDefault="00343418" w:rsidP="006C2952">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 xml:space="preserve">The requirements for a provisional interdict are however well known. These requirements were spelt out in the South African case of </w:t>
      </w:r>
      <w:r w:rsidRPr="004668E1">
        <w:rPr>
          <w:rFonts w:ascii="Times New Roman" w:hAnsi="Times New Roman" w:cs="Times New Roman"/>
          <w:i/>
          <w:sz w:val="24"/>
          <w:szCs w:val="24"/>
        </w:rPr>
        <w:t>Myflor Investments (Pty) Ltd v Everett NO</w:t>
      </w:r>
      <w:r w:rsidRPr="004668E1">
        <w:rPr>
          <w:rFonts w:ascii="Times New Roman" w:hAnsi="Times New Roman" w:cs="Times New Roman"/>
          <w:sz w:val="24"/>
          <w:szCs w:val="24"/>
        </w:rPr>
        <w:t xml:space="preserve"> [2000] All SA 586 (C) and refined in the well-known domestic case of </w:t>
      </w:r>
      <w:r w:rsidRPr="004668E1">
        <w:rPr>
          <w:rFonts w:ascii="Times New Roman" w:hAnsi="Times New Roman" w:cs="Times New Roman"/>
          <w:i/>
          <w:sz w:val="24"/>
          <w:szCs w:val="24"/>
        </w:rPr>
        <w:t>Airfield Investments (Pvt) (Ltd) v Minister of Lands and Ors 2</w:t>
      </w:r>
      <w:r w:rsidRPr="004668E1">
        <w:rPr>
          <w:rFonts w:ascii="Times New Roman" w:hAnsi="Times New Roman" w:cs="Times New Roman"/>
          <w:sz w:val="24"/>
          <w:szCs w:val="24"/>
        </w:rPr>
        <w:t xml:space="preserve">004 (1) ZLR 511(S). In light of the precedent set by the two cases, the requirements of a provisional interim interdict may be summarised as follows: </w:t>
      </w:r>
    </w:p>
    <w:p w:rsidR="00343418" w:rsidRPr="004668E1" w:rsidRDefault="00343418" w:rsidP="004C64CD">
      <w:pPr>
        <w:pStyle w:val="ListParagraph"/>
        <w:numPr>
          <w:ilvl w:val="0"/>
          <w:numId w:val="4"/>
        </w:numPr>
        <w:spacing w:after="0" w:line="480" w:lineRule="auto"/>
        <w:ind w:left="1077" w:hanging="510"/>
        <w:jc w:val="both"/>
        <w:rPr>
          <w:rFonts w:ascii="Times New Roman" w:hAnsi="Times New Roman" w:cs="Times New Roman"/>
          <w:sz w:val="24"/>
          <w:szCs w:val="24"/>
        </w:rPr>
      </w:pPr>
      <w:r w:rsidRPr="004668E1">
        <w:rPr>
          <w:rFonts w:ascii="Times New Roman" w:hAnsi="Times New Roman" w:cs="Times New Roman"/>
          <w:sz w:val="24"/>
          <w:szCs w:val="24"/>
        </w:rPr>
        <w:t xml:space="preserve">The applicant must establish a </w:t>
      </w:r>
      <w:r w:rsidRPr="004668E1">
        <w:rPr>
          <w:rFonts w:ascii="Times New Roman" w:hAnsi="Times New Roman" w:cs="Times New Roman"/>
          <w:i/>
          <w:sz w:val="24"/>
          <w:szCs w:val="24"/>
        </w:rPr>
        <w:t>prima facie</w:t>
      </w:r>
      <w:r w:rsidRPr="004668E1">
        <w:rPr>
          <w:rFonts w:ascii="Times New Roman" w:hAnsi="Times New Roman" w:cs="Times New Roman"/>
          <w:sz w:val="24"/>
          <w:szCs w:val="24"/>
        </w:rPr>
        <w:t xml:space="preserve"> right. </w:t>
      </w:r>
    </w:p>
    <w:p w:rsidR="00343418" w:rsidRPr="00481AE1" w:rsidRDefault="00343418" w:rsidP="00481AE1">
      <w:pPr>
        <w:pStyle w:val="ListParagraph"/>
        <w:numPr>
          <w:ilvl w:val="0"/>
          <w:numId w:val="4"/>
        </w:numPr>
        <w:spacing w:after="0" w:line="480" w:lineRule="auto"/>
        <w:ind w:left="1134" w:hanging="567"/>
        <w:jc w:val="both"/>
        <w:rPr>
          <w:rFonts w:ascii="Times New Roman" w:hAnsi="Times New Roman" w:cs="Times New Roman"/>
          <w:sz w:val="24"/>
          <w:szCs w:val="24"/>
        </w:rPr>
      </w:pPr>
      <w:r w:rsidRPr="004668E1">
        <w:rPr>
          <w:rFonts w:ascii="Times New Roman" w:hAnsi="Times New Roman" w:cs="Times New Roman"/>
          <w:sz w:val="24"/>
          <w:szCs w:val="24"/>
        </w:rPr>
        <w:t xml:space="preserve">That there is a real likelihood of him </w:t>
      </w:r>
      <w:r w:rsidR="00481AE1" w:rsidRPr="004668E1">
        <w:rPr>
          <w:rFonts w:ascii="Times New Roman" w:hAnsi="Times New Roman" w:cs="Times New Roman"/>
          <w:sz w:val="24"/>
          <w:szCs w:val="24"/>
        </w:rPr>
        <w:t>suffering irreparable</w:t>
      </w:r>
      <w:r w:rsidRPr="00481AE1">
        <w:rPr>
          <w:rFonts w:ascii="Times New Roman" w:hAnsi="Times New Roman" w:cs="Times New Roman"/>
          <w:sz w:val="24"/>
          <w:szCs w:val="24"/>
        </w:rPr>
        <w:t xml:space="preserve"> harm if the provisional interdict is not granted.</w:t>
      </w:r>
    </w:p>
    <w:p w:rsidR="00343418" w:rsidRPr="00481AE1" w:rsidRDefault="00343418" w:rsidP="00481AE1">
      <w:pPr>
        <w:pStyle w:val="ListParagraph"/>
        <w:numPr>
          <w:ilvl w:val="0"/>
          <w:numId w:val="4"/>
        </w:numPr>
        <w:spacing w:after="0" w:line="480" w:lineRule="auto"/>
        <w:ind w:left="1134" w:hanging="567"/>
        <w:jc w:val="both"/>
        <w:rPr>
          <w:rFonts w:ascii="Times New Roman" w:hAnsi="Times New Roman" w:cs="Times New Roman"/>
          <w:sz w:val="24"/>
          <w:szCs w:val="24"/>
        </w:rPr>
      </w:pPr>
      <w:r w:rsidRPr="004668E1">
        <w:rPr>
          <w:rFonts w:ascii="Times New Roman" w:hAnsi="Times New Roman" w:cs="Times New Roman"/>
          <w:sz w:val="24"/>
          <w:szCs w:val="24"/>
        </w:rPr>
        <w:t xml:space="preserve">That the balance of convenience favours the granting </w:t>
      </w:r>
      <w:r w:rsidRPr="00481AE1">
        <w:rPr>
          <w:rFonts w:ascii="Times New Roman" w:hAnsi="Times New Roman" w:cs="Times New Roman"/>
          <w:sz w:val="24"/>
          <w:szCs w:val="24"/>
        </w:rPr>
        <w:t>of the provisional interdict.</w:t>
      </w:r>
    </w:p>
    <w:p w:rsidR="00343418" w:rsidRPr="004668E1" w:rsidRDefault="00343418" w:rsidP="004C64CD">
      <w:pPr>
        <w:pStyle w:val="ListParagraph"/>
        <w:numPr>
          <w:ilvl w:val="0"/>
          <w:numId w:val="4"/>
        </w:numPr>
        <w:spacing w:after="0" w:line="480" w:lineRule="auto"/>
        <w:ind w:left="1134" w:hanging="567"/>
        <w:jc w:val="both"/>
        <w:rPr>
          <w:rFonts w:ascii="Times New Roman" w:hAnsi="Times New Roman" w:cs="Times New Roman"/>
          <w:sz w:val="24"/>
          <w:szCs w:val="24"/>
        </w:rPr>
      </w:pPr>
      <w:r w:rsidRPr="004668E1">
        <w:rPr>
          <w:rFonts w:ascii="Times New Roman" w:hAnsi="Times New Roman" w:cs="Times New Roman"/>
          <w:sz w:val="24"/>
          <w:szCs w:val="24"/>
        </w:rPr>
        <w:t>That there is no other appropriate remedy.</w:t>
      </w:r>
    </w:p>
    <w:p w:rsidR="00343418" w:rsidRPr="004668E1" w:rsidRDefault="00343418" w:rsidP="00343418">
      <w:pPr>
        <w:spacing w:after="0"/>
        <w:jc w:val="both"/>
        <w:rPr>
          <w:rFonts w:ascii="Times New Roman" w:hAnsi="Times New Roman" w:cs="Times New Roman"/>
          <w:sz w:val="24"/>
          <w:szCs w:val="24"/>
        </w:rPr>
      </w:pPr>
    </w:p>
    <w:p w:rsidR="00970CFF" w:rsidRPr="004668E1" w:rsidRDefault="00970CFF" w:rsidP="00970CFF">
      <w:pPr>
        <w:spacing w:after="0" w:line="240" w:lineRule="auto"/>
        <w:jc w:val="both"/>
        <w:rPr>
          <w:rFonts w:ascii="Times New Roman" w:hAnsi="Times New Roman" w:cs="Times New Roman"/>
          <w:sz w:val="24"/>
          <w:szCs w:val="24"/>
        </w:rPr>
      </w:pPr>
    </w:p>
    <w:p w:rsidR="00343418" w:rsidRPr="004668E1" w:rsidRDefault="00343418" w:rsidP="00F67654">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lastRenderedPageBreak/>
        <w:t xml:space="preserve">A perusal of the record of proceedings and having recourse to the summation of the evidence above, shows clearly that the respondent fulfilled all the requirements for the granting of a provisional interim interdict by proving: </w:t>
      </w:r>
    </w:p>
    <w:p w:rsidR="007420A6" w:rsidRDefault="00343418" w:rsidP="001847CE">
      <w:pPr>
        <w:pStyle w:val="ListParagraph"/>
        <w:numPr>
          <w:ilvl w:val="0"/>
          <w:numId w:val="5"/>
        </w:numPr>
        <w:spacing w:after="0" w:line="276" w:lineRule="auto"/>
        <w:ind w:left="567" w:firstLine="0"/>
        <w:jc w:val="both"/>
        <w:rPr>
          <w:rFonts w:ascii="Times New Roman" w:hAnsi="Times New Roman" w:cs="Times New Roman"/>
          <w:sz w:val="24"/>
          <w:szCs w:val="24"/>
        </w:rPr>
      </w:pPr>
      <w:r w:rsidRPr="004668E1">
        <w:rPr>
          <w:rFonts w:ascii="Times New Roman" w:hAnsi="Times New Roman" w:cs="Times New Roman"/>
          <w:sz w:val="24"/>
          <w:szCs w:val="24"/>
        </w:rPr>
        <w:t xml:space="preserve">That it was the registered owner of the disputed </w:t>
      </w:r>
      <w:r w:rsidR="00F67654" w:rsidRPr="004668E1">
        <w:rPr>
          <w:rFonts w:ascii="Times New Roman" w:hAnsi="Times New Roman" w:cs="Times New Roman"/>
          <w:sz w:val="24"/>
          <w:szCs w:val="24"/>
        </w:rPr>
        <w:t xml:space="preserve"> </w:t>
      </w:r>
      <w:r w:rsidRPr="007420A6">
        <w:rPr>
          <w:rFonts w:ascii="Times New Roman" w:hAnsi="Times New Roman" w:cs="Times New Roman"/>
          <w:sz w:val="24"/>
          <w:szCs w:val="24"/>
        </w:rPr>
        <w:t xml:space="preserve">claims as ownership was never </w:t>
      </w:r>
      <w:r w:rsidR="007420A6">
        <w:rPr>
          <w:rFonts w:ascii="Times New Roman" w:hAnsi="Times New Roman" w:cs="Times New Roman"/>
          <w:sz w:val="24"/>
          <w:szCs w:val="24"/>
        </w:rPr>
        <w:t xml:space="preserve"> </w:t>
      </w:r>
    </w:p>
    <w:p w:rsidR="00343418" w:rsidRPr="007420A6" w:rsidRDefault="007420A6"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420A6">
        <w:rPr>
          <w:rFonts w:ascii="Times New Roman" w:hAnsi="Times New Roman" w:cs="Times New Roman"/>
          <w:sz w:val="24"/>
          <w:szCs w:val="24"/>
        </w:rPr>
        <w:t xml:space="preserve">put in issue, thereby establishing a </w:t>
      </w:r>
      <w:r w:rsidR="00343418" w:rsidRPr="007420A6">
        <w:rPr>
          <w:rFonts w:ascii="Times New Roman" w:hAnsi="Times New Roman" w:cs="Times New Roman"/>
          <w:i/>
          <w:sz w:val="24"/>
          <w:szCs w:val="24"/>
        </w:rPr>
        <w:t>prima facie</w:t>
      </w:r>
      <w:r w:rsidR="00343418" w:rsidRPr="007420A6">
        <w:rPr>
          <w:rFonts w:ascii="Times New Roman" w:hAnsi="Times New Roman" w:cs="Times New Roman"/>
          <w:sz w:val="24"/>
          <w:szCs w:val="24"/>
        </w:rPr>
        <w:t xml:space="preserve"> right.</w:t>
      </w:r>
    </w:p>
    <w:p w:rsidR="00343418" w:rsidRPr="004668E1" w:rsidRDefault="00343418" w:rsidP="001847CE">
      <w:pPr>
        <w:pStyle w:val="ListParagraph"/>
        <w:spacing w:after="0"/>
        <w:jc w:val="both"/>
        <w:rPr>
          <w:rFonts w:ascii="Times New Roman" w:hAnsi="Times New Roman" w:cs="Times New Roman"/>
          <w:sz w:val="24"/>
          <w:szCs w:val="24"/>
        </w:rPr>
      </w:pPr>
    </w:p>
    <w:p w:rsidR="007420A6" w:rsidRDefault="00343418" w:rsidP="001847CE">
      <w:pPr>
        <w:pStyle w:val="ListParagraph"/>
        <w:numPr>
          <w:ilvl w:val="0"/>
          <w:numId w:val="5"/>
        </w:numPr>
        <w:spacing w:after="0" w:line="276" w:lineRule="auto"/>
        <w:ind w:left="567" w:firstLine="0"/>
        <w:jc w:val="both"/>
        <w:rPr>
          <w:rFonts w:ascii="Times New Roman" w:hAnsi="Times New Roman" w:cs="Times New Roman"/>
          <w:sz w:val="24"/>
          <w:szCs w:val="24"/>
        </w:rPr>
      </w:pPr>
      <w:r w:rsidRPr="004668E1">
        <w:rPr>
          <w:rFonts w:ascii="Times New Roman" w:hAnsi="Times New Roman" w:cs="Times New Roman"/>
          <w:sz w:val="24"/>
          <w:szCs w:val="24"/>
        </w:rPr>
        <w:t xml:space="preserve">That the minerals extracted from the mining claims </w:t>
      </w:r>
      <w:r w:rsidRPr="007420A6">
        <w:rPr>
          <w:rFonts w:ascii="Times New Roman" w:hAnsi="Times New Roman" w:cs="Times New Roman"/>
          <w:sz w:val="24"/>
          <w:szCs w:val="24"/>
        </w:rPr>
        <w:t xml:space="preserve">once disposed of by the </w:t>
      </w:r>
    </w:p>
    <w:p w:rsidR="007420A6" w:rsidRDefault="007420A6"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420A6">
        <w:rPr>
          <w:rFonts w:ascii="Times New Roman" w:hAnsi="Times New Roman" w:cs="Times New Roman"/>
          <w:sz w:val="24"/>
          <w:szCs w:val="24"/>
        </w:rPr>
        <w:t xml:space="preserve">appellant are not recoverable. The respondent would therefore, suffer </w:t>
      </w:r>
    </w:p>
    <w:p w:rsidR="007420A6" w:rsidRDefault="007420A6"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420A6">
        <w:rPr>
          <w:rFonts w:ascii="Times New Roman" w:hAnsi="Times New Roman" w:cs="Times New Roman"/>
          <w:sz w:val="24"/>
          <w:szCs w:val="24"/>
        </w:rPr>
        <w:t>irreparable loss if the provisional interdict was</w:t>
      </w:r>
      <w:r>
        <w:rPr>
          <w:rFonts w:ascii="Times New Roman" w:hAnsi="Times New Roman" w:cs="Times New Roman"/>
          <w:sz w:val="24"/>
          <w:szCs w:val="24"/>
        </w:rPr>
        <w:t xml:space="preserve"> not granted. On the other hand    </w:t>
      </w:r>
    </w:p>
    <w:p w:rsidR="007420A6" w:rsidRDefault="007420A6"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420A6">
        <w:rPr>
          <w:rFonts w:ascii="Times New Roman" w:hAnsi="Times New Roman" w:cs="Times New Roman"/>
          <w:sz w:val="24"/>
          <w:szCs w:val="24"/>
        </w:rPr>
        <w:t xml:space="preserve">the appellant would suffer no such injury if the provisional interdict was granted </w:t>
      </w:r>
      <w:r>
        <w:rPr>
          <w:rFonts w:ascii="Times New Roman" w:hAnsi="Times New Roman" w:cs="Times New Roman"/>
          <w:sz w:val="24"/>
          <w:szCs w:val="24"/>
        </w:rPr>
        <w:t xml:space="preserve"> </w:t>
      </w:r>
    </w:p>
    <w:p w:rsidR="007420A6" w:rsidRDefault="007420A6"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420A6">
        <w:rPr>
          <w:rFonts w:ascii="Times New Roman" w:hAnsi="Times New Roman" w:cs="Times New Roman"/>
          <w:sz w:val="24"/>
          <w:szCs w:val="24"/>
        </w:rPr>
        <w:t xml:space="preserve">as the minerals would remain on site pending the final determination of the </w:t>
      </w:r>
      <w:r>
        <w:rPr>
          <w:rFonts w:ascii="Times New Roman" w:hAnsi="Times New Roman" w:cs="Times New Roman"/>
          <w:sz w:val="24"/>
          <w:szCs w:val="24"/>
        </w:rPr>
        <w:t xml:space="preserve">  </w:t>
      </w:r>
    </w:p>
    <w:p w:rsidR="00343418" w:rsidRPr="007420A6" w:rsidRDefault="007420A6"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420A6">
        <w:rPr>
          <w:rFonts w:ascii="Times New Roman" w:hAnsi="Times New Roman" w:cs="Times New Roman"/>
          <w:sz w:val="24"/>
          <w:szCs w:val="24"/>
        </w:rPr>
        <w:t>dispute for the benefit of the winning party.</w:t>
      </w:r>
    </w:p>
    <w:p w:rsidR="00343418" w:rsidRPr="004668E1" w:rsidRDefault="00343418" w:rsidP="001847CE">
      <w:pPr>
        <w:pStyle w:val="ListParagraph"/>
        <w:spacing w:after="0"/>
        <w:jc w:val="both"/>
        <w:rPr>
          <w:rFonts w:ascii="Times New Roman" w:hAnsi="Times New Roman" w:cs="Times New Roman"/>
          <w:sz w:val="24"/>
          <w:szCs w:val="24"/>
        </w:rPr>
      </w:pPr>
    </w:p>
    <w:p w:rsidR="00E8275F" w:rsidRDefault="00343418" w:rsidP="001847CE">
      <w:pPr>
        <w:pStyle w:val="ListParagraph"/>
        <w:numPr>
          <w:ilvl w:val="0"/>
          <w:numId w:val="5"/>
        </w:numPr>
        <w:spacing w:after="0" w:line="276" w:lineRule="auto"/>
        <w:ind w:left="567" w:firstLine="0"/>
        <w:jc w:val="both"/>
        <w:rPr>
          <w:rFonts w:ascii="Times New Roman" w:hAnsi="Times New Roman" w:cs="Times New Roman"/>
          <w:sz w:val="24"/>
          <w:szCs w:val="24"/>
        </w:rPr>
      </w:pPr>
      <w:r w:rsidRPr="004668E1">
        <w:rPr>
          <w:rFonts w:ascii="Times New Roman" w:hAnsi="Times New Roman" w:cs="Times New Roman"/>
          <w:sz w:val="24"/>
          <w:szCs w:val="24"/>
        </w:rPr>
        <w:t xml:space="preserve">That the balance of convenience favoured the </w:t>
      </w:r>
      <w:r w:rsidRPr="00E8275F">
        <w:rPr>
          <w:rFonts w:ascii="Times New Roman" w:hAnsi="Times New Roman" w:cs="Times New Roman"/>
          <w:sz w:val="24"/>
          <w:szCs w:val="24"/>
        </w:rPr>
        <w:t xml:space="preserve">respondent in that it stood to </w:t>
      </w:r>
      <w:r w:rsidR="00E8275F">
        <w:rPr>
          <w:rFonts w:ascii="Times New Roman" w:hAnsi="Times New Roman" w:cs="Times New Roman"/>
          <w:sz w:val="24"/>
          <w:szCs w:val="24"/>
        </w:rPr>
        <w:t xml:space="preserve"> </w:t>
      </w:r>
    </w:p>
    <w:p w:rsidR="00E8275F" w:rsidRDefault="00E8275F"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E8275F">
        <w:rPr>
          <w:rFonts w:ascii="Times New Roman" w:hAnsi="Times New Roman" w:cs="Times New Roman"/>
          <w:sz w:val="24"/>
          <w:szCs w:val="24"/>
        </w:rPr>
        <w:t xml:space="preserve">suffer irreparable loss if the provisional interdict was not granted, whereas, the </w:t>
      </w:r>
    </w:p>
    <w:p w:rsidR="00E8275F" w:rsidRDefault="00E8275F"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E8275F">
        <w:rPr>
          <w:rFonts w:ascii="Times New Roman" w:hAnsi="Times New Roman" w:cs="Times New Roman"/>
          <w:sz w:val="24"/>
          <w:szCs w:val="24"/>
        </w:rPr>
        <w:t xml:space="preserve">appellant would continue to benefit from her ill-gotten gains to its loss and </w:t>
      </w:r>
    </w:p>
    <w:p w:rsidR="00343418" w:rsidRPr="00E8275F" w:rsidRDefault="00E8275F"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E8275F">
        <w:rPr>
          <w:rFonts w:ascii="Times New Roman" w:hAnsi="Times New Roman" w:cs="Times New Roman"/>
          <w:sz w:val="24"/>
          <w:szCs w:val="24"/>
        </w:rPr>
        <w:t>detriment if the provisional interdict was not granted.</w:t>
      </w:r>
    </w:p>
    <w:p w:rsidR="00343418" w:rsidRPr="004668E1" w:rsidRDefault="00343418" w:rsidP="001847CE">
      <w:pPr>
        <w:pStyle w:val="ListParagraph"/>
        <w:spacing w:after="0"/>
        <w:jc w:val="both"/>
        <w:rPr>
          <w:rFonts w:ascii="Times New Roman" w:hAnsi="Times New Roman" w:cs="Times New Roman"/>
          <w:sz w:val="24"/>
          <w:szCs w:val="24"/>
        </w:rPr>
      </w:pPr>
    </w:p>
    <w:p w:rsidR="007E5662" w:rsidRDefault="00343418" w:rsidP="001847CE">
      <w:pPr>
        <w:pStyle w:val="ListParagraph"/>
        <w:numPr>
          <w:ilvl w:val="0"/>
          <w:numId w:val="5"/>
        </w:numPr>
        <w:spacing w:after="0" w:line="276" w:lineRule="auto"/>
        <w:ind w:left="567" w:firstLine="0"/>
        <w:jc w:val="both"/>
        <w:rPr>
          <w:rFonts w:ascii="Times New Roman" w:hAnsi="Times New Roman" w:cs="Times New Roman"/>
          <w:sz w:val="24"/>
          <w:szCs w:val="24"/>
        </w:rPr>
      </w:pPr>
      <w:r w:rsidRPr="004668E1">
        <w:rPr>
          <w:rFonts w:ascii="Times New Roman" w:hAnsi="Times New Roman" w:cs="Times New Roman"/>
          <w:sz w:val="24"/>
          <w:szCs w:val="24"/>
        </w:rPr>
        <w:t xml:space="preserve">That there was no other remedy in that if the appellant </w:t>
      </w:r>
      <w:r w:rsidRPr="007E5662">
        <w:rPr>
          <w:rFonts w:ascii="Times New Roman" w:hAnsi="Times New Roman" w:cs="Times New Roman"/>
          <w:sz w:val="24"/>
          <w:szCs w:val="24"/>
        </w:rPr>
        <w:t xml:space="preserve">continued to mine </w:t>
      </w:r>
    </w:p>
    <w:p w:rsidR="007E5662" w:rsidRDefault="007E5662"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E5662">
        <w:rPr>
          <w:rFonts w:ascii="Times New Roman" w:hAnsi="Times New Roman" w:cs="Times New Roman"/>
          <w:sz w:val="24"/>
          <w:szCs w:val="24"/>
        </w:rPr>
        <w:t xml:space="preserve">pending the final resolution of the dispute, the respondent would suffer </w:t>
      </w:r>
    </w:p>
    <w:p w:rsidR="00AA1CFD" w:rsidRPr="007E5662" w:rsidRDefault="007E5662" w:rsidP="001847CE">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343418" w:rsidRPr="007E5662">
        <w:rPr>
          <w:rFonts w:ascii="Times New Roman" w:hAnsi="Times New Roman" w:cs="Times New Roman"/>
          <w:sz w:val="24"/>
          <w:szCs w:val="24"/>
        </w:rPr>
        <w:t>irretrievable loss.</w:t>
      </w:r>
    </w:p>
    <w:p w:rsidR="00AA1CFD" w:rsidRPr="004668E1" w:rsidRDefault="00AA1CFD" w:rsidP="004C64CD">
      <w:pPr>
        <w:spacing w:after="0" w:line="240" w:lineRule="auto"/>
        <w:jc w:val="both"/>
        <w:rPr>
          <w:rFonts w:ascii="Times New Roman" w:hAnsi="Times New Roman" w:cs="Times New Roman"/>
          <w:sz w:val="24"/>
          <w:szCs w:val="24"/>
        </w:rPr>
      </w:pPr>
    </w:p>
    <w:p w:rsidR="00AA1CFD" w:rsidRPr="004668E1" w:rsidRDefault="00AA1CFD" w:rsidP="004C64CD">
      <w:pPr>
        <w:spacing w:after="0" w:line="240" w:lineRule="auto"/>
        <w:jc w:val="both"/>
        <w:rPr>
          <w:rFonts w:ascii="Times New Roman" w:hAnsi="Times New Roman" w:cs="Times New Roman"/>
          <w:sz w:val="24"/>
          <w:szCs w:val="24"/>
        </w:rPr>
      </w:pPr>
    </w:p>
    <w:p w:rsidR="00343418" w:rsidRPr="004668E1" w:rsidRDefault="00343418" w:rsidP="00AA1CFD">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 xml:space="preserve">It is the function of the courts to put a stop to the continuation of violation of other people’s rights and interests. Thus the court </w:t>
      </w:r>
      <w:r w:rsidRPr="004668E1">
        <w:rPr>
          <w:rFonts w:ascii="Times New Roman" w:hAnsi="Times New Roman" w:cs="Times New Roman"/>
          <w:i/>
          <w:sz w:val="24"/>
          <w:szCs w:val="24"/>
        </w:rPr>
        <w:t>a quo</w:t>
      </w:r>
      <w:r w:rsidRPr="004668E1">
        <w:rPr>
          <w:rFonts w:ascii="Times New Roman" w:hAnsi="Times New Roman" w:cs="Times New Roman"/>
          <w:sz w:val="24"/>
          <w:szCs w:val="24"/>
        </w:rPr>
        <w:t xml:space="preserve"> would have failed in its duty to protect the respondent’s vested rights of ownership had it failed to issue the provisional interdict in this case. For that reason, no blame or error can be attributed to the court </w:t>
      </w:r>
      <w:r w:rsidRPr="004668E1">
        <w:rPr>
          <w:rFonts w:ascii="Times New Roman" w:hAnsi="Times New Roman" w:cs="Times New Roman"/>
          <w:i/>
          <w:sz w:val="24"/>
          <w:szCs w:val="24"/>
        </w:rPr>
        <w:t>a quo</w:t>
      </w:r>
      <w:r w:rsidRPr="004668E1">
        <w:rPr>
          <w:rFonts w:ascii="Times New Roman" w:hAnsi="Times New Roman" w:cs="Times New Roman"/>
          <w:sz w:val="24"/>
          <w:szCs w:val="24"/>
        </w:rPr>
        <w:t xml:space="preserve"> as it commendably discharged its duties.</w:t>
      </w:r>
    </w:p>
    <w:p w:rsidR="004C64CD" w:rsidRPr="004668E1" w:rsidRDefault="004C64CD" w:rsidP="0098118E">
      <w:pPr>
        <w:spacing w:after="0" w:line="240" w:lineRule="auto"/>
        <w:jc w:val="both"/>
        <w:rPr>
          <w:rFonts w:ascii="Times New Roman" w:hAnsi="Times New Roman" w:cs="Times New Roman"/>
          <w:sz w:val="24"/>
          <w:szCs w:val="24"/>
        </w:rPr>
      </w:pPr>
    </w:p>
    <w:p w:rsidR="00AA1CFD" w:rsidRPr="004668E1" w:rsidRDefault="00343418" w:rsidP="0027035D">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Turning to the question of costs, the appellant was callous and devious in her quest to continue mining illegally on the respondent’s mining claims to its loss and detriment. She therefore mounted a costly</w:t>
      </w:r>
      <w:r w:rsidR="00BF06DC" w:rsidRPr="004668E1">
        <w:rPr>
          <w:rFonts w:ascii="Times New Roman" w:hAnsi="Times New Roman" w:cs="Times New Roman"/>
          <w:sz w:val="24"/>
          <w:szCs w:val="24"/>
        </w:rPr>
        <w:t>,</w:t>
      </w:r>
      <w:r w:rsidRPr="004668E1">
        <w:rPr>
          <w:rFonts w:ascii="Times New Roman" w:hAnsi="Times New Roman" w:cs="Times New Roman"/>
          <w:sz w:val="24"/>
          <w:szCs w:val="24"/>
        </w:rPr>
        <w:t xml:space="preserve"> lengthy, frivolous and vexatious appeal with no prospects of success at all. Courts frown upon this dishonourable conduct which must be discouraged by costs at the punitive scale as claimed by the respondent</w:t>
      </w:r>
      <w:r w:rsidR="00137D33" w:rsidRPr="004668E1">
        <w:rPr>
          <w:rFonts w:ascii="Times New Roman" w:hAnsi="Times New Roman" w:cs="Times New Roman"/>
          <w:sz w:val="24"/>
          <w:szCs w:val="24"/>
        </w:rPr>
        <w:t>,</w:t>
      </w:r>
      <w:r w:rsidRPr="004668E1">
        <w:rPr>
          <w:rFonts w:ascii="Times New Roman" w:hAnsi="Times New Roman" w:cs="Times New Roman"/>
          <w:sz w:val="24"/>
          <w:szCs w:val="24"/>
        </w:rPr>
        <w:t xml:space="preserve"> to deter the appellant and other </w:t>
      </w:r>
      <w:r w:rsidR="00AA1CFD" w:rsidRPr="004668E1">
        <w:rPr>
          <w:rFonts w:ascii="Times New Roman" w:hAnsi="Times New Roman" w:cs="Times New Roman"/>
          <w:sz w:val="24"/>
          <w:szCs w:val="24"/>
        </w:rPr>
        <w:t>like-minded</w:t>
      </w:r>
      <w:r w:rsidRPr="004668E1">
        <w:rPr>
          <w:rFonts w:ascii="Times New Roman" w:hAnsi="Times New Roman" w:cs="Times New Roman"/>
          <w:sz w:val="24"/>
          <w:szCs w:val="24"/>
        </w:rPr>
        <w:t xml:space="preserve"> litigants. </w:t>
      </w:r>
    </w:p>
    <w:p w:rsidR="00343418" w:rsidRPr="004668E1" w:rsidRDefault="00343418" w:rsidP="00AA1CFD">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lastRenderedPageBreak/>
        <w:t>For the foregoing reasons the appeal cannot succeed.</w:t>
      </w:r>
    </w:p>
    <w:p w:rsidR="00AA1CFD" w:rsidRPr="004668E1" w:rsidRDefault="00AA1CFD" w:rsidP="00AA1CFD">
      <w:pPr>
        <w:spacing w:after="0" w:line="480" w:lineRule="auto"/>
        <w:jc w:val="both"/>
        <w:rPr>
          <w:rFonts w:ascii="Times New Roman" w:hAnsi="Times New Roman" w:cs="Times New Roman"/>
          <w:sz w:val="24"/>
          <w:szCs w:val="24"/>
        </w:rPr>
      </w:pPr>
    </w:p>
    <w:p w:rsidR="00343418" w:rsidRPr="004668E1" w:rsidRDefault="00343418" w:rsidP="00AA1CFD">
      <w:pPr>
        <w:spacing w:after="0" w:line="480" w:lineRule="auto"/>
        <w:ind w:firstLine="1134"/>
        <w:jc w:val="both"/>
        <w:rPr>
          <w:rFonts w:ascii="Times New Roman" w:hAnsi="Times New Roman" w:cs="Times New Roman"/>
          <w:sz w:val="24"/>
          <w:szCs w:val="24"/>
        </w:rPr>
      </w:pPr>
      <w:r w:rsidRPr="004668E1">
        <w:rPr>
          <w:rFonts w:ascii="Times New Roman" w:hAnsi="Times New Roman" w:cs="Times New Roman"/>
          <w:sz w:val="24"/>
          <w:szCs w:val="24"/>
        </w:rPr>
        <w:t>It is accordingly ordered that the appeal be and is hereby dismissed with costs at the legal practitioner and client scale.</w:t>
      </w:r>
    </w:p>
    <w:p w:rsidR="00AA0A57" w:rsidRPr="004668E1" w:rsidRDefault="00AA0A57" w:rsidP="00AA1CFD">
      <w:pPr>
        <w:spacing w:line="480" w:lineRule="auto"/>
        <w:jc w:val="both"/>
        <w:rPr>
          <w:rFonts w:ascii="Times New Roman" w:hAnsi="Times New Roman" w:cs="Times New Roman"/>
        </w:rPr>
      </w:pPr>
    </w:p>
    <w:p w:rsidR="00A758B5" w:rsidRPr="004668E1" w:rsidRDefault="00A758B5" w:rsidP="004C64CD">
      <w:pPr>
        <w:spacing w:after="0" w:line="480" w:lineRule="auto"/>
        <w:ind w:left="306" w:firstLine="1134"/>
        <w:jc w:val="both"/>
        <w:rPr>
          <w:rFonts w:ascii="Times New Roman" w:hAnsi="Times New Roman" w:cs="Times New Roman"/>
          <w:sz w:val="24"/>
          <w:szCs w:val="24"/>
        </w:rPr>
      </w:pPr>
      <w:r w:rsidRPr="004668E1">
        <w:rPr>
          <w:rFonts w:ascii="Times New Roman" w:hAnsi="Times New Roman" w:cs="Times New Roman"/>
          <w:b/>
          <w:sz w:val="24"/>
          <w:szCs w:val="24"/>
        </w:rPr>
        <w:t>GARWE JA:</w:t>
      </w:r>
      <w:r w:rsidRPr="004668E1">
        <w:rPr>
          <w:rFonts w:ascii="Times New Roman" w:hAnsi="Times New Roman" w:cs="Times New Roman"/>
          <w:sz w:val="24"/>
          <w:szCs w:val="24"/>
        </w:rPr>
        <w:tab/>
      </w:r>
      <w:r w:rsidRPr="004668E1">
        <w:rPr>
          <w:rFonts w:ascii="Times New Roman" w:hAnsi="Times New Roman" w:cs="Times New Roman"/>
          <w:sz w:val="24"/>
          <w:szCs w:val="24"/>
        </w:rPr>
        <w:tab/>
      </w:r>
      <w:r w:rsidR="001B238F" w:rsidRPr="004668E1">
        <w:rPr>
          <w:rFonts w:ascii="Times New Roman" w:hAnsi="Times New Roman" w:cs="Times New Roman"/>
          <w:sz w:val="24"/>
          <w:szCs w:val="24"/>
        </w:rPr>
        <w:tab/>
      </w:r>
      <w:r w:rsidRPr="004668E1">
        <w:rPr>
          <w:rFonts w:ascii="Times New Roman" w:hAnsi="Times New Roman" w:cs="Times New Roman"/>
          <w:sz w:val="24"/>
          <w:szCs w:val="24"/>
        </w:rPr>
        <w:t>I agree</w:t>
      </w:r>
    </w:p>
    <w:p w:rsidR="00A758B5" w:rsidRPr="004668E1" w:rsidRDefault="00A758B5" w:rsidP="00A758B5">
      <w:pPr>
        <w:spacing w:after="0" w:line="480" w:lineRule="auto"/>
        <w:jc w:val="both"/>
        <w:rPr>
          <w:rFonts w:ascii="Times New Roman" w:hAnsi="Times New Roman" w:cs="Times New Roman"/>
          <w:sz w:val="24"/>
          <w:szCs w:val="24"/>
        </w:rPr>
      </w:pPr>
    </w:p>
    <w:p w:rsidR="00A758B5" w:rsidRPr="004668E1" w:rsidRDefault="001B238F" w:rsidP="004C64CD">
      <w:pPr>
        <w:spacing w:after="0" w:line="480" w:lineRule="auto"/>
        <w:ind w:left="306" w:firstLine="1134"/>
        <w:jc w:val="both"/>
        <w:rPr>
          <w:rFonts w:ascii="Times New Roman" w:hAnsi="Times New Roman" w:cs="Times New Roman"/>
          <w:sz w:val="24"/>
          <w:szCs w:val="24"/>
        </w:rPr>
      </w:pPr>
      <w:r w:rsidRPr="004668E1">
        <w:rPr>
          <w:rFonts w:ascii="Times New Roman" w:hAnsi="Times New Roman" w:cs="Times New Roman"/>
          <w:b/>
          <w:sz w:val="24"/>
          <w:szCs w:val="24"/>
        </w:rPr>
        <w:t>MAVANGIRA</w:t>
      </w:r>
      <w:r w:rsidR="00A758B5" w:rsidRPr="004668E1">
        <w:rPr>
          <w:rFonts w:ascii="Times New Roman" w:hAnsi="Times New Roman" w:cs="Times New Roman"/>
          <w:b/>
          <w:sz w:val="24"/>
          <w:szCs w:val="24"/>
        </w:rPr>
        <w:t xml:space="preserve"> JA:</w:t>
      </w:r>
      <w:r w:rsidR="00A758B5" w:rsidRPr="004668E1">
        <w:rPr>
          <w:rFonts w:ascii="Times New Roman" w:hAnsi="Times New Roman" w:cs="Times New Roman"/>
          <w:b/>
          <w:sz w:val="24"/>
          <w:szCs w:val="24"/>
        </w:rPr>
        <w:tab/>
      </w:r>
      <w:r w:rsidR="00A758B5" w:rsidRPr="004668E1">
        <w:rPr>
          <w:rFonts w:ascii="Times New Roman" w:hAnsi="Times New Roman" w:cs="Times New Roman"/>
          <w:sz w:val="24"/>
          <w:szCs w:val="24"/>
        </w:rPr>
        <w:tab/>
        <w:t>I agree</w:t>
      </w:r>
    </w:p>
    <w:p w:rsidR="00FF2F20" w:rsidRPr="004668E1" w:rsidRDefault="00FF2F20" w:rsidP="00FF2F20">
      <w:pPr>
        <w:spacing w:line="480" w:lineRule="auto"/>
        <w:jc w:val="both"/>
        <w:rPr>
          <w:rFonts w:ascii="Times New Roman" w:hAnsi="Times New Roman" w:cs="Times New Roman"/>
          <w:sz w:val="24"/>
          <w:szCs w:val="24"/>
        </w:rPr>
      </w:pPr>
    </w:p>
    <w:p w:rsidR="00642E4A" w:rsidRPr="004668E1" w:rsidRDefault="00642E4A" w:rsidP="00642E4A">
      <w:pPr>
        <w:spacing w:after="0" w:line="480" w:lineRule="auto"/>
        <w:jc w:val="both"/>
        <w:rPr>
          <w:rFonts w:ascii="Times New Roman" w:hAnsi="Times New Roman" w:cs="Times New Roman"/>
          <w:i/>
          <w:sz w:val="24"/>
          <w:szCs w:val="24"/>
        </w:rPr>
      </w:pPr>
      <w:r w:rsidRPr="004668E1">
        <w:rPr>
          <w:rFonts w:ascii="Times New Roman" w:hAnsi="Times New Roman" w:cs="Times New Roman"/>
          <w:i/>
          <w:sz w:val="24"/>
          <w:szCs w:val="24"/>
        </w:rPr>
        <w:t xml:space="preserve">Majoko &amp; Majoko, </w:t>
      </w:r>
      <w:r w:rsidRPr="004668E1">
        <w:rPr>
          <w:rFonts w:ascii="Times New Roman" w:hAnsi="Times New Roman" w:cs="Times New Roman"/>
          <w:sz w:val="24"/>
          <w:szCs w:val="24"/>
        </w:rPr>
        <w:t>appellant’s legal practitioners</w:t>
      </w:r>
    </w:p>
    <w:p w:rsidR="00642E4A" w:rsidRPr="004668E1" w:rsidRDefault="00642E4A" w:rsidP="00970CFF">
      <w:pPr>
        <w:spacing w:after="0" w:line="240" w:lineRule="auto"/>
        <w:jc w:val="both"/>
        <w:rPr>
          <w:rFonts w:ascii="Times New Roman" w:hAnsi="Times New Roman" w:cs="Times New Roman"/>
          <w:sz w:val="24"/>
          <w:szCs w:val="24"/>
        </w:rPr>
      </w:pPr>
      <w:r w:rsidRPr="004668E1">
        <w:rPr>
          <w:rFonts w:ascii="Times New Roman" w:hAnsi="Times New Roman" w:cs="Times New Roman"/>
          <w:i/>
          <w:sz w:val="24"/>
          <w:szCs w:val="24"/>
        </w:rPr>
        <w:t xml:space="preserve">Dube-Tachiona &amp; Tsvangirai, </w:t>
      </w:r>
      <w:r w:rsidR="001B238F" w:rsidRPr="004668E1">
        <w:rPr>
          <w:rFonts w:ascii="Times New Roman" w:hAnsi="Times New Roman" w:cs="Times New Roman"/>
          <w:sz w:val="24"/>
          <w:szCs w:val="24"/>
        </w:rPr>
        <w:t xml:space="preserve">first </w:t>
      </w:r>
      <w:r w:rsidRPr="004668E1">
        <w:rPr>
          <w:rFonts w:ascii="Times New Roman" w:hAnsi="Times New Roman" w:cs="Times New Roman"/>
          <w:sz w:val="24"/>
          <w:szCs w:val="24"/>
        </w:rPr>
        <w:t>respondent’s legal practitioners</w:t>
      </w:r>
    </w:p>
    <w:sectPr w:rsidR="00642E4A" w:rsidRPr="004668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69" w:rsidRDefault="00797169" w:rsidP="00E42400">
      <w:pPr>
        <w:spacing w:after="0" w:line="240" w:lineRule="auto"/>
      </w:pPr>
      <w:r>
        <w:separator/>
      </w:r>
    </w:p>
  </w:endnote>
  <w:endnote w:type="continuationSeparator" w:id="0">
    <w:p w:rsidR="00797169" w:rsidRDefault="00797169"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69" w:rsidRDefault="00797169" w:rsidP="00E42400">
      <w:pPr>
        <w:spacing w:after="0" w:line="240" w:lineRule="auto"/>
      </w:pPr>
      <w:r>
        <w:separator/>
      </w:r>
    </w:p>
  </w:footnote>
  <w:footnote w:type="continuationSeparator" w:id="0">
    <w:p w:rsidR="00797169" w:rsidRDefault="00797169"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A1" w:rsidRDefault="00A118A1">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8A1" w:rsidRPr="005B788F" w:rsidRDefault="004668E1">
                          <w:pPr>
                            <w:spacing w:after="0" w:line="240" w:lineRule="auto"/>
                            <w:jc w:val="right"/>
                            <w:rPr>
                              <w:rFonts w:ascii="Times New Roman" w:hAnsi="Times New Roman" w:cs="Times New Roman"/>
                              <w:b/>
                              <w:noProof/>
                            </w:rPr>
                          </w:pPr>
                          <w:r>
                            <w:rPr>
                              <w:rFonts w:ascii="Times New Roman" w:hAnsi="Times New Roman" w:cs="Times New Roman"/>
                              <w:b/>
                              <w:noProof/>
                            </w:rPr>
                            <w:t>Judgment No. SC 10</w:t>
                          </w:r>
                          <w:r w:rsidR="007B4028" w:rsidRPr="005B788F">
                            <w:rPr>
                              <w:rFonts w:ascii="Times New Roman" w:hAnsi="Times New Roman" w:cs="Times New Roman"/>
                              <w:b/>
                              <w:noProof/>
                            </w:rPr>
                            <w:t>/1</w:t>
                          </w:r>
                          <w:r>
                            <w:rPr>
                              <w:rFonts w:ascii="Times New Roman" w:hAnsi="Times New Roman" w:cs="Times New Roman"/>
                              <w:b/>
                              <w:noProof/>
                            </w:rPr>
                            <w:t>9</w:t>
                          </w:r>
                        </w:p>
                        <w:p w:rsidR="00A118A1" w:rsidRPr="005B788F" w:rsidRDefault="005C0BC4">
                          <w:pPr>
                            <w:spacing w:after="0" w:line="240" w:lineRule="auto"/>
                            <w:jc w:val="right"/>
                            <w:rPr>
                              <w:rFonts w:ascii="Times New Roman" w:hAnsi="Times New Roman" w:cs="Times New Roman"/>
                              <w:b/>
                              <w:noProof/>
                            </w:rPr>
                          </w:pPr>
                          <w:r w:rsidRPr="005B788F">
                            <w:rPr>
                              <w:rFonts w:ascii="Times New Roman" w:hAnsi="Times New Roman" w:cs="Times New Roman"/>
                              <w:b/>
                              <w:noProof/>
                            </w:rPr>
                            <w:t>Civil App</w:t>
                          </w:r>
                          <w:r w:rsidR="000B10E8">
                            <w:rPr>
                              <w:rFonts w:ascii="Times New Roman" w:hAnsi="Times New Roman" w:cs="Times New Roman"/>
                              <w:b/>
                              <w:noProof/>
                            </w:rPr>
                            <w:t>eal</w:t>
                          </w:r>
                          <w:r w:rsidR="00A118A1" w:rsidRPr="005B788F">
                            <w:rPr>
                              <w:rFonts w:ascii="Times New Roman" w:hAnsi="Times New Roman" w:cs="Times New Roman"/>
                              <w:b/>
                              <w:noProof/>
                            </w:rPr>
                            <w:t xml:space="preserve"> No. SC </w:t>
                          </w:r>
                          <w:r w:rsidR="0057071F">
                            <w:rPr>
                              <w:rFonts w:ascii="Times New Roman" w:hAnsi="Times New Roman" w:cs="Times New Roman"/>
                              <w:b/>
                              <w:noProof/>
                            </w:rPr>
                            <w:t>296</w:t>
                          </w:r>
                          <w:r w:rsidR="00A0534F" w:rsidRPr="005B788F">
                            <w:rPr>
                              <w:rFonts w:ascii="Times New Roman" w:hAnsi="Times New Roman" w:cs="Times New Roman"/>
                              <w:b/>
                              <w:noProof/>
                            </w:rPr>
                            <w:t>/1</w:t>
                          </w:r>
                          <w:r w:rsidR="00B8402C">
                            <w:rPr>
                              <w:rFonts w:ascii="Times New Roman" w:hAnsi="Times New Roman" w:cs="Times New Roman"/>
                              <w:b/>
                              <w:noProof/>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18A1" w:rsidRPr="005B788F" w:rsidRDefault="004668E1">
                    <w:pPr>
                      <w:spacing w:after="0" w:line="240" w:lineRule="auto"/>
                      <w:jc w:val="right"/>
                      <w:rPr>
                        <w:rFonts w:ascii="Times New Roman" w:hAnsi="Times New Roman" w:cs="Times New Roman"/>
                        <w:b/>
                        <w:noProof/>
                      </w:rPr>
                    </w:pPr>
                    <w:r>
                      <w:rPr>
                        <w:rFonts w:ascii="Times New Roman" w:hAnsi="Times New Roman" w:cs="Times New Roman"/>
                        <w:b/>
                        <w:noProof/>
                      </w:rPr>
                      <w:t>Judgment No. SC 10</w:t>
                    </w:r>
                    <w:r w:rsidR="007B4028" w:rsidRPr="005B788F">
                      <w:rPr>
                        <w:rFonts w:ascii="Times New Roman" w:hAnsi="Times New Roman" w:cs="Times New Roman"/>
                        <w:b/>
                        <w:noProof/>
                      </w:rPr>
                      <w:t>/1</w:t>
                    </w:r>
                    <w:r>
                      <w:rPr>
                        <w:rFonts w:ascii="Times New Roman" w:hAnsi="Times New Roman" w:cs="Times New Roman"/>
                        <w:b/>
                        <w:noProof/>
                      </w:rPr>
                      <w:t>9</w:t>
                    </w:r>
                  </w:p>
                  <w:p w:rsidR="00A118A1" w:rsidRPr="005B788F" w:rsidRDefault="005C0BC4">
                    <w:pPr>
                      <w:spacing w:after="0" w:line="240" w:lineRule="auto"/>
                      <w:jc w:val="right"/>
                      <w:rPr>
                        <w:rFonts w:ascii="Times New Roman" w:hAnsi="Times New Roman" w:cs="Times New Roman"/>
                        <w:b/>
                        <w:noProof/>
                      </w:rPr>
                    </w:pPr>
                    <w:r w:rsidRPr="005B788F">
                      <w:rPr>
                        <w:rFonts w:ascii="Times New Roman" w:hAnsi="Times New Roman" w:cs="Times New Roman"/>
                        <w:b/>
                        <w:noProof/>
                      </w:rPr>
                      <w:t>Civil App</w:t>
                    </w:r>
                    <w:r w:rsidR="000B10E8">
                      <w:rPr>
                        <w:rFonts w:ascii="Times New Roman" w:hAnsi="Times New Roman" w:cs="Times New Roman"/>
                        <w:b/>
                        <w:noProof/>
                      </w:rPr>
                      <w:t>eal</w:t>
                    </w:r>
                    <w:r w:rsidR="00A118A1" w:rsidRPr="005B788F">
                      <w:rPr>
                        <w:rFonts w:ascii="Times New Roman" w:hAnsi="Times New Roman" w:cs="Times New Roman"/>
                        <w:b/>
                        <w:noProof/>
                      </w:rPr>
                      <w:t xml:space="preserve"> No. SC </w:t>
                    </w:r>
                    <w:r w:rsidR="0057071F">
                      <w:rPr>
                        <w:rFonts w:ascii="Times New Roman" w:hAnsi="Times New Roman" w:cs="Times New Roman"/>
                        <w:b/>
                        <w:noProof/>
                      </w:rPr>
                      <w:t>296</w:t>
                    </w:r>
                    <w:r w:rsidR="00A0534F" w:rsidRPr="005B788F">
                      <w:rPr>
                        <w:rFonts w:ascii="Times New Roman" w:hAnsi="Times New Roman" w:cs="Times New Roman"/>
                        <w:b/>
                        <w:noProof/>
                      </w:rPr>
                      <w:t>/1</w:t>
                    </w:r>
                    <w:r w:rsidR="00B8402C">
                      <w:rPr>
                        <w:rFonts w:ascii="Times New Roman" w:hAnsi="Times New Roman" w:cs="Times New Roman"/>
                        <w:b/>
                        <w:noProof/>
                      </w:rPr>
                      <w:t>7</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035A8A" w:rsidRPr="00035A8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035A8A" w:rsidRPr="00035A8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77DEE"/>
    <w:multiLevelType w:val="hybridMultilevel"/>
    <w:tmpl w:val="D9089C0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4752C5"/>
    <w:multiLevelType w:val="hybridMultilevel"/>
    <w:tmpl w:val="BAD2B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7EF69A6"/>
    <w:multiLevelType w:val="hybridMultilevel"/>
    <w:tmpl w:val="570E0C08"/>
    <w:lvl w:ilvl="0" w:tplc="E7623D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A402618"/>
    <w:multiLevelType w:val="hybridMultilevel"/>
    <w:tmpl w:val="224293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F9F1C85"/>
    <w:multiLevelType w:val="hybridMultilevel"/>
    <w:tmpl w:val="018A4776"/>
    <w:lvl w:ilvl="0" w:tplc="4C608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0789B"/>
    <w:multiLevelType w:val="hybridMultilevel"/>
    <w:tmpl w:val="194CF068"/>
    <w:lvl w:ilvl="0" w:tplc="F32C7D2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1C4A"/>
    <w:rsid w:val="00010D8B"/>
    <w:rsid w:val="000202C1"/>
    <w:rsid w:val="00030E38"/>
    <w:rsid w:val="00035A8A"/>
    <w:rsid w:val="000577E0"/>
    <w:rsid w:val="00093BC3"/>
    <w:rsid w:val="000B10E8"/>
    <w:rsid w:val="000B3D51"/>
    <w:rsid w:val="000B5CF4"/>
    <w:rsid w:val="000D3681"/>
    <w:rsid w:val="000E7F08"/>
    <w:rsid w:val="000F0108"/>
    <w:rsid w:val="000F069F"/>
    <w:rsid w:val="00100AA9"/>
    <w:rsid w:val="00115058"/>
    <w:rsid w:val="00130B5A"/>
    <w:rsid w:val="00137426"/>
    <w:rsid w:val="00137D33"/>
    <w:rsid w:val="00156DC9"/>
    <w:rsid w:val="00164445"/>
    <w:rsid w:val="001644AF"/>
    <w:rsid w:val="00165836"/>
    <w:rsid w:val="00167DEC"/>
    <w:rsid w:val="001847CE"/>
    <w:rsid w:val="0019775B"/>
    <w:rsid w:val="00197894"/>
    <w:rsid w:val="001B100C"/>
    <w:rsid w:val="001B238F"/>
    <w:rsid w:val="001B5E30"/>
    <w:rsid w:val="001C5CF2"/>
    <w:rsid w:val="001D40E1"/>
    <w:rsid w:val="001E5E1B"/>
    <w:rsid w:val="001F4D35"/>
    <w:rsid w:val="00210851"/>
    <w:rsid w:val="00211A67"/>
    <w:rsid w:val="0021764F"/>
    <w:rsid w:val="00221C63"/>
    <w:rsid w:val="0023223A"/>
    <w:rsid w:val="002412F2"/>
    <w:rsid w:val="00243D03"/>
    <w:rsid w:val="00252CDC"/>
    <w:rsid w:val="0027035D"/>
    <w:rsid w:val="002707BD"/>
    <w:rsid w:val="002827BE"/>
    <w:rsid w:val="00283A04"/>
    <w:rsid w:val="002919F9"/>
    <w:rsid w:val="0029214C"/>
    <w:rsid w:val="0029581B"/>
    <w:rsid w:val="002A0523"/>
    <w:rsid w:val="002B2DF0"/>
    <w:rsid w:val="002C364B"/>
    <w:rsid w:val="002C6DC6"/>
    <w:rsid w:val="002D6578"/>
    <w:rsid w:val="002D664B"/>
    <w:rsid w:val="002F5CC9"/>
    <w:rsid w:val="003032D6"/>
    <w:rsid w:val="00304970"/>
    <w:rsid w:val="00310BDE"/>
    <w:rsid w:val="00315B54"/>
    <w:rsid w:val="00324CC7"/>
    <w:rsid w:val="003356B9"/>
    <w:rsid w:val="00343418"/>
    <w:rsid w:val="003455F5"/>
    <w:rsid w:val="00354F58"/>
    <w:rsid w:val="00356A2D"/>
    <w:rsid w:val="00357958"/>
    <w:rsid w:val="00361CA5"/>
    <w:rsid w:val="003738CF"/>
    <w:rsid w:val="00377587"/>
    <w:rsid w:val="00386156"/>
    <w:rsid w:val="003942FB"/>
    <w:rsid w:val="003A212E"/>
    <w:rsid w:val="003A57E8"/>
    <w:rsid w:val="003B2838"/>
    <w:rsid w:val="003C259D"/>
    <w:rsid w:val="003D17B5"/>
    <w:rsid w:val="003D5175"/>
    <w:rsid w:val="003E3E06"/>
    <w:rsid w:val="004015DC"/>
    <w:rsid w:val="0041356E"/>
    <w:rsid w:val="00416A26"/>
    <w:rsid w:val="0042402F"/>
    <w:rsid w:val="00434345"/>
    <w:rsid w:val="00443ABF"/>
    <w:rsid w:val="00454DC1"/>
    <w:rsid w:val="00465616"/>
    <w:rsid w:val="004668E1"/>
    <w:rsid w:val="0047206E"/>
    <w:rsid w:val="00473B79"/>
    <w:rsid w:val="00477434"/>
    <w:rsid w:val="00481AE1"/>
    <w:rsid w:val="004972AE"/>
    <w:rsid w:val="004A1C20"/>
    <w:rsid w:val="004B18B4"/>
    <w:rsid w:val="004B5178"/>
    <w:rsid w:val="004C64CD"/>
    <w:rsid w:val="004E06BD"/>
    <w:rsid w:val="004E3A8C"/>
    <w:rsid w:val="004F0478"/>
    <w:rsid w:val="004F07C6"/>
    <w:rsid w:val="00511583"/>
    <w:rsid w:val="0051510A"/>
    <w:rsid w:val="00524945"/>
    <w:rsid w:val="0057071F"/>
    <w:rsid w:val="00574D57"/>
    <w:rsid w:val="0057610A"/>
    <w:rsid w:val="005933E6"/>
    <w:rsid w:val="005A0867"/>
    <w:rsid w:val="005A0BBA"/>
    <w:rsid w:val="005A26C6"/>
    <w:rsid w:val="005B2864"/>
    <w:rsid w:val="005B3201"/>
    <w:rsid w:val="005B788F"/>
    <w:rsid w:val="005C0BC4"/>
    <w:rsid w:val="005C7F74"/>
    <w:rsid w:val="005D28B2"/>
    <w:rsid w:val="005F33FF"/>
    <w:rsid w:val="0060277E"/>
    <w:rsid w:val="00605928"/>
    <w:rsid w:val="006355C1"/>
    <w:rsid w:val="00642E4A"/>
    <w:rsid w:val="00643E44"/>
    <w:rsid w:val="00651193"/>
    <w:rsid w:val="00660ECD"/>
    <w:rsid w:val="00672985"/>
    <w:rsid w:val="006834AC"/>
    <w:rsid w:val="00684268"/>
    <w:rsid w:val="00685BDF"/>
    <w:rsid w:val="00687F8C"/>
    <w:rsid w:val="00693F8D"/>
    <w:rsid w:val="006B4E25"/>
    <w:rsid w:val="006B75F8"/>
    <w:rsid w:val="006C2119"/>
    <w:rsid w:val="006C2952"/>
    <w:rsid w:val="006D21D4"/>
    <w:rsid w:val="00716F90"/>
    <w:rsid w:val="0071763C"/>
    <w:rsid w:val="00727451"/>
    <w:rsid w:val="007420A6"/>
    <w:rsid w:val="00744D42"/>
    <w:rsid w:val="00754C32"/>
    <w:rsid w:val="007673E9"/>
    <w:rsid w:val="0078316A"/>
    <w:rsid w:val="00793704"/>
    <w:rsid w:val="00795DC4"/>
    <w:rsid w:val="00796C26"/>
    <w:rsid w:val="00797169"/>
    <w:rsid w:val="007B1E96"/>
    <w:rsid w:val="007B4028"/>
    <w:rsid w:val="007D6E75"/>
    <w:rsid w:val="007D720E"/>
    <w:rsid w:val="007E5662"/>
    <w:rsid w:val="007F6331"/>
    <w:rsid w:val="008017D6"/>
    <w:rsid w:val="00804A88"/>
    <w:rsid w:val="00805FC6"/>
    <w:rsid w:val="008229C9"/>
    <w:rsid w:val="0083353B"/>
    <w:rsid w:val="00833EDF"/>
    <w:rsid w:val="008364A3"/>
    <w:rsid w:val="00836BDA"/>
    <w:rsid w:val="00836F02"/>
    <w:rsid w:val="008473E0"/>
    <w:rsid w:val="008536F3"/>
    <w:rsid w:val="00855B4E"/>
    <w:rsid w:val="00857BED"/>
    <w:rsid w:val="0086514E"/>
    <w:rsid w:val="008A26C9"/>
    <w:rsid w:val="008D27E7"/>
    <w:rsid w:val="008F6A17"/>
    <w:rsid w:val="0091655E"/>
    <w:rsid w:val="0092675B"/>
    <w:rsid w:val="00941202"/>
    <w:rsid w:val="009447C7"/>
    <w:rsid w:val="00945C6F"/>
    <w:rsid w:val="00951351"/>
    <w:rsid w:val="00952922"/>
    <w:rsid w:val="00956653"/>
    <w:rsid w:val="00961D48"/>
    <w:rsid w:val="00970CFF"/>
    <w:rsid w:val="0098118E"/>
    <w:rsid w:val="00987003"/>
    <w:rsid w:val="009939E6"/>
    <w:rsid w:val="009B3EA6"/>
    <w:rsid w:val="009C4891"/>
    <w:rsid w:val="009D4DA1"/>
    <w:rsid w:val="009D59E1"/>
    <w:rsid w:val="009E2734"/>
    <w:rsid w:val="00A0534F"/>
    <w:rsid w:val="00A071BB"/>
    <w:rsid w:val="00A118A1"/>
    <w:rsid w:val="00A3207D"/>
    <w:rsid w:val="00A32FD7"/>
    <w:rsid w:val="00A50205"/>
    <w:rsid w:val="00A66752"/>
    <w:rsid w:val="00A67F22"/>
    <w:rsid w:val="00A758B5"/>
    <w:rsid w:val="00AA0A57"/>
    <w:rsid w:val="00AA1CFD"/>
    <w:rsid w:val="00AA58C0"/>
    <w:rsid w:val="00AB4DE9"/>
    <w:rsid w:val="00AE1521"/>
    <w:rsid w:val="00AE305C"/>
    <w:rsid w:val="00AE5C05"/>
    <w:rsid w:val="00AF28D0"/>
    <w:rsid w:val="00B119F7"/>
    <w:rsid w:val="00B36967"/>
    <w:rsid w:val="00B62B84"/>
    <w:rsid w:val="00B72624"/>
    <w:rsid w:val="00B8402C"/>
    <w:rsid w:val="00B87E1F"/>
    <w:rsid w:val="00BC7662"/>
    <w:rsid w:val="00BE130E"/>
    <w:rsid w:val="00BE572B"/>
    <w:rsid w:val="00BE5E48"/>
    <w:rsid w:val="00BE605F"/>
    <w:rsid w:val="00BF06DC"/>
    <w:rsid w:val="00BF3A23"/>
    <w:rsid w:val="00BF3AEE"/>
    <w:rsid w:val="00BF62B5"/>
    <w:rsid w:val="00BF64E4"/>
    <w:rsid w:val="00C02B4D"/>
    <w:rsid w:val="00C04D64"/>
    <w:rsid w:val="00C135C4"/>
    <w:rsid w:val="00C24F37"/>
    <w:rsid w:val="00C30E78"/>
    <w:rsid w:val="00C36385"/>
    <w:rsid w:val="00C41A15"/>
    <w:rsid w:val="00C5257F"/>
    <w:rsid w:val="00C527FD"/>
    <w:rsid w:val="00C56829"/>
    <w:rsid w:val="00C63C26"/>
    <w:rsid w:val="00C72814"/>
    <w:rsid w:val="00C74693"/>
    <w:rsid w:val="00CD02C7"/>
    <w:rsid w:val="00CD5B9B"/>
    <w:rsid w:val="00CD6740"/>
    <w:rsid w:val="00CE1D83"/>
    <w:rsid w:val="00CE1E8E"/>
    <w:rsid w:val="00CE3DB0"/>
    <w:rsid w:val="00CE778C"/>
    <w:rsid w:val="00CF0448"/>
    <w:rsid w:val="00CF573B"/>
    <w:rsid w:val="00D0059C"/>
    <w:rsid w:val="00D02AFF"/>
    <w:rsid w:val="00D1369E"/>
    <w:rsid w:val="00D22611"/>
    <w:rsid w:val="00D22E7B"/>
    <w:rsid w:val="00D316F4"/>
    <w:rsid w:val="00D60915"/>
    <w:rsid w:val="00D61092"/>
    <w:rsid w:val="00D610C1"/>
    <w:rsid w:val="00D701BF"/>
    <w:rsid w:val="00D75D10"/>
    <w:rsid w:val="00D81F5E"/>
    <w:rsid w:val="00D86420"/>
    <w:rsid w:val="00DA0242"/>
    <w:rsid w:val="00DA5EAD"/>
    <w:rsid w:val="00DC702C"/>
    <w:rsid w:val="00DD776B"/>
    <w:rsid w:val="00DE243C"/>
    <w:rsid w:val="00DE66C5"/>
    <w:rsid w:val="00DF26F6"/>
    <w:rsid w:val="00E1765F"/>
    <w:rsid w:val="00E258BB"/>
    <w:rsid w:val="00E306ED"/>
    <w:rsid w:val="00E42400"/>
    <w:rsid w:val="00E57070"/>
    <w:rsid w:val="00E619A4"/>
    <w:rsid w:val="00E63ACC"/>
    <w:rsid w:val="00E67C2F"/>
    <w:rsid w:val="00E71722"/>
    <w:rsid w:val="00E766AD"/>
    <w:rsid w:val="00E8275F"/>
    <w:rsid w:val="00E837F6"/>
    <w:rsid w:val="00E92D96"/>
    <w:rsid w:val="00E95A1D"/>
    <w:rsid w:val="00E97632"/>
    <w:rsid w:val="00EB0750"/>
    <w:rsid w:val="00EB0D3A"/>
    <w:rsid w:val="00EC4613"/>
    <w:rsid w:val="00EC4A8A"/>
    <w:rsid w:val="00EC6A4F"/>
    <w:rsid w:val="00ED02E4"/>
    <w:rsid w:val="00ED3D63"/>
    <w:rsid w:val="00ED7474"/>
    <w:rsid w:val="00EE000E"/>
    <w:rsid w:val="00EE0CE7"/>
    <w:rsid w:val="00EF493E"/>
    <w:rsid w:val="00F025F2"/>
    <w:rsid w:val="00F07081"/>
    <w:rsid w:val="00F07E53"/>
    <w:rsid w:val="00F17AC3"/>
    <w:rsid w:val="00F20EAD"/>
    <w:rsid w:val="00F22075"/>
    <w:rsid w:val="00F27475"/>
    <w:rsid w:val="00F357B0"/>
    <w:rsid w:val="00F35D31"/>
    <w:rsid w:val="00F42D78"/>
    <w:rsid w:val="00F47FF2"/>
    <w:rsid w:val="00F67654"/>
    <w:rsid w:val="00F91AA4"/>
    <w:rsid w:val="00F93B65"/>
    <w:rsid w:val="00FA6F72"/>
    <w:rsid w:val="00FA6FA7"/>
    <w:rsid w:val="00FB61E4"/>
    <w:rsid w:val="00FC563E"/>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F99F0B-18EB-43BD-ADA0-60E318DE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DA5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750E-E56A-4B4D-8CC3-5B0375E8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cp:lastPrinted>2018-10-26T09:10:00Z</cp:lastPrinted>
  <dcterms:created xsi:type="dcterms:W3CDTF">2019-03-18T10:48:00Z</dcterms:created>
  <dcterms:modified xsi:type="dcterms:W3CDTF">2019-03-18T10:48:00Z</dcterms:modified>
</cp:coreProperties>
</file>