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8B" w:rsidRPr="003C758B" w:rsidRDefault="003C758B" w:rsidP="003C758B">
      <w:pPr>
        <w:spacing w:line="360" w:lineRule="auto"/>
        <w:jc w:val="both"/>
        <w:rPr>
          <w:rFonts w:ascii="Cambria" w:hAnsi="Cambria"/>
          <w:b/>
        </w:rPr>
      </w:pPr>
      <w:r w:rsidRPr="003C758B">
        <w:rPr>
          <w:rFonts w:ascii="Cambria" w:hAnsi="Cambria"/>
          <w:b/>
        </w:rPr>
        <w:t>IN THE LABOUR COURT OF ZIMBABWE</w:t>
      </w:r>
      <w:r w:rsidRPr="003C758B">
        <w:rPr>
          <w:rFonts w:ascii="Cambria" w:hAnsi="Cambria"/>
          <w:b/>
        </w:rPr>
        <w:tab/>
      </w:r>
      <w:r w:rsidRPr="003C758B">
        <w:rPr>
          <w:rFonts w:ascii="Cambria" w:hAnsi="Cambria"/>
          <w:b/>
        </w:rPr>
        <w:tab/>
      </w:r>
      <w:r w:rsidRPr="003C758B">
        <w:rPr>
          <w:rFonts w:ascii="Cambria" w:hAnsi="Cambria"/>
          <w:b/>
        </w:rPr>
        <w:tab/>
        <w:t>JUDGMENT NO LC/H/</w:t>
      </w:r>
      <w:r w:rsidR="008F3B68">
        <w:rPr>
          <w:rFonts w:ascii="Cambria" w:hAnsi="Cambria"/>
          <w:b/>
        </w:rPr>
        <w:t>774</w:t>
      </w:r>
      <w:r w:rsidRPr="003C758B">
        <w:rPr>
          <w:rFonts w:ascii="Cambria" w:hAnsi="Cambria"/>
          <w:b/>
        </w:rPr>
        <w:t>/16</w:t>
      </w:r>
    </w:p>
    <w:p w:rsidR="003C758B" w:rsidRPr="003C758B" w:rsidRDefault="003C758B" w:rsidP="003C758B">
      <w:pPr>
        <w:spacing w:line="360" w:lineRule="auto"/>
        <w:jc w:val="both"/>
        <w:rPr>
          <w:rFonts w:ascii="Cambria" w:hAnsi="Cambria"/>
          <w:b/>
        </w:rPr>
      </w:pPr>
      <w:r w:rsidRPr="003C758B">
        <w:rPr>
          <w:rFonts w:ascii="Cambria" w:hAnsi="Cambria"/>
          <w:b/>
        </w:rPr>
        <w:t>HELD AT HARARE 24 MAY 2016</w:t>
      </w:r>
      <w:r w:rsidRPr="003C758B">
        <w:rPr>
          <w:rFonts w:ascii="Cambria" w:hAnsi="Cambria"/>
          <w:b/>
        </w:rPr>
        <w:tab/>
      </w:r>
      <w:r w:rsidRPr="003C758B">
        <w:rPr>
          <w:rFonts w:ascii="Cambria" w:hAnsi="Cambria"/>
          <w:b/>
        </w:rPr>
        <w:tab/>
      </w:r>
      <w:r w:rsidRPr="003C758B">
        <w:rPr>
          <w:rFonts w:ascii="Cambria" w:hAnsi="Cambria"/>
          <w:b/>
        </w:rPr>
        <w:tab/>
      </w:r>
      <w:r w:rsidRPr="003C758B">
        <w:rPr>
          <w:rFonts w:ascii="Cambria" w:hAnsi="Cambria"/>
          <w:b/>
        </w:rPr>
        <w:tab/>
        <w:t>CASE NO LC/H/902/</w:t>
      </w:r>
      <w:proofErr w:type="gramStart"/>
      <w:r w:rsidRPr="003C758B">
        <w:rPr>
          <w:rFonts w:ascii="Cambria" w:hAnsi="Cambria"/>
          <w:b/>
        </w:rPr>
        <w:t>15</w:t>
      </w:r>
      <w:proofErr w:type="gramEnd"/>
    </w:p>
    <w:p w:rsidR="003C758B" w:rsidRDefault="003C758B" w:rsidP="003C758B">
      <w:pPr>
        <w:spacing w:line="360" w:lineRule="auto"/>
        <w:jc w:val="both"/>
        <w:rPr>
          <w:rFonts w:ascii="Cambria" w:hAnsi="Cambria"/>
          <w:b/>
        </w:rPr>
      </w:pPr>
      <w:r w:rsidRPr="003C758B">
        <w:rPr>
          <w:rFonts w:ascii="Cambria" w:hAnsi="Cambria"/>
          <w:b/>
        </w:rPr>
        <w:t>&amp;</w:t>
      </w:r>
      <w:r w:rsidR="008F3B68">
        <w:rPr>
          <w:rFonts w:ascii="Cambria" w:hAnsi="Cambria"/>
          <w:b/>
        </w:rPr>
        <w:t xml:space="preserve"> 2 DECEMBER 2016</w:t>
      </w:r>
    </w:p>
    <w:p w:rsidR="003C758B" w:rsidRDefault="003C758B" w:rsidP="003C758B">
      <w:pPr>
        <w:spacing w:line="360" w:lineRule="auto"/>
        <w:jc w:val="both"/>
        <w:rPr>
          <w:rFonts w:ascii="Cambria" w:hAnsi="Cambria"/>
        </w:rPr>
      </w:pPr>
      <w:r>
        <w:rPr>
          <w:rFonts w:ascii="Cambria" w:hAnsi="Cambria"/>
        </w:rPr>
        <w:t>In the matter between:</w:t>
      </w:r>
    </w:p>
    <w:p w:rsidR="003C758B" w:rsidRDefault="003C758B" w:rsidP="003C758B">
      <w:pPr>
        <w:spacing w:line="360" w:lineRule="auto"/>
        <w:jc w:val="both"/>
        <w:rPr>
          <w:rFonts w:ascii="Cambria" w:hAnsi="Cambria"/>
          <w:b/>
          <w:sz w:val="24"/>
          <w:szCs w:val="24"/>
        </w:rPr>
      </w:pPr>
      <w:r>
        <w:rPr>
          <w:rFonts w:ascii="Cambria" w:hAnsi="Cambria"/>
          <w:b/>
          <w:sz w:val="24"/>
          <w:szCs w:val="24"/>
        </w:rPr>
        <w:t>SIMON MAKARIPE</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t>Appellant</w:t>
      </w:r>
    </w:p>
    <w:p w:rsidR="003C758B" w:rsidRDefault="003C758B" w:rsidP="003C758B">
      <w:pPr>
        <w:spacing w:line="360" w:lineRule="auto"/>
        <w:jc w:val="both"/>
        <w:rPr>
          <w:rFonts w:ascii="Cambria" w:hAnsi="Cambria"/>
          <w:b/>
          <w:sz w:val="24"/>
          <w:szCs w:val="24"/>
        </w:rPr>
      </w:pPr>
      <w:r>
        <w:rPr>
          <w:rFonts w:ascii="Cambria" w:hAnsi="Cambria"/>
          <w:b/>
          <w:sz w:val="24"/>
          <w:szCs w:val="24"/>
        </w:rPr>
        <w:t>And</w:t>
      </w:r>
    </w:p>
    <w:p w:rsidR="003C758B" w:rsidRDefault="003C758B" w:rsidP="003C758B">
      <w:pPr>
        <w:spacing w:line="360" w:lineRule="auto"/>
        <w:jc w:val="both"/>
        <w:rPr>
          <w:rFonts w:ascii="Cambria" w:hAnsi="Cambria"/>
          <w:b/>
          <w:sz w:val="24"/>
          <w:szCs w:val="24"/>
        </w:rPr>
      </w:pPr>
      <w:r>
        <w:rPr>
          <w:rFonts w:ascii="Cambria" w:hAnsi="Cambria"/>
          <w:b/>
          <w:sz w:val="24"/>
          <w:szCs w:val="24"/>
        </w:rPr>
        <w:t>UNKI MINE (PVT) LTD</w:t>
      </w:r>
      <w:r>
        <w:rPr>
          <w:rFonts w:ascii="Cambria" w:hAnsi="Cambria"/>
          <w:b/>
          <w:sz w:val="24"/>
          <w:szCs w:val="24"/>
        </w:rPr>
        <w:tab/>
      </w:r>
      <w:r>
        <w:rPr>
          <w:rFonts w:ascii="Cambria" w:hAnsi="Cambria"/>
          <w:b/>
          <w:sz w:val="24"/>
          <w:szCs w:val="24"/>
        </w:rPr>
        <w:tab/>
      </w:r>
      <w:r>
        <w:rPr>
          <w:rFonts w:ascii="Cambria" w:hAnsi="Cambria"/>
          <w:b/>
          <w:sz w:val="24"/>
          <w:szCs w:val="24"/>
        </w:rPr>
        <w:tab/>
        <w:t>Respondent</w:t>
      </w:r>
    </w:p>
    <w:p w:rsidR="003C758B" w:rsidRDefault="00A53641" w:rsidP="003C758B">
      <w:pPr>
        <w:spacing w:line="360" w:lineRule="auto"/>
        <w:jc w:val="both"/>
        <w:rPr>
          <w:rFonts w:ascii="Cambria" w:hAnsi="Cambria"/>
          <w:sz w:val="24"/>
          <w:szCs w:val="24"/>
        </w:rPr>
      </w:pPr>
      <w:r>
        <w:rPr>
          <w:rFonts w:ascii="Cambria" w:hAnsi="Cambria"/>
          <w:sz w:val="24"/>
          <w:szCs w:val="24"/>
        </w:rPr>
        <w:t>Before The</w:t>
      </w:r>
      <w:r w:rsidR="003C758B">
        <w:rPr>
          <w:rFonts w:ascii="Cambria" w:hAnsi="Cambria"/>
          <w:sz w:val="24"/>
          <w:szCs w:val="24"/>
        </w:rPr>
        <w:t xml:space="preserve"> Honourable </w:t>
      </w:r>
      <w:proofErr w:type="spellStart"/>
      <w:r w:rsidR="003C758B">
        <w:rPr>
          <w:rFonts w:ascii="Cambria" w:hAnsi="Cambria"/>
          <w:sz w:val="24"/>
          <w:szCs w:val="24"/>
        </w:rPr>
        <w:t>Manyagadze</w:t>
      </w:r>
      <w:proofErr w:type="spellEnd"/>
      <w:r w:rsidR="003C758B">
        <w:rPr>
          <w:rFonts w:ascii="Cambria" w:hAnsi="Cambria"/>
          <w:sz w:val="24"/>
          <w:szCs w:val="24"/>
        </w:rPr>
        <w:t>, J</w:t>
      </w:r>
    </w:p>
    <w:p w:rsidR="003C758B" w:rsidRDefault="003C758B" w:rsidP="003C758B">
      <w:pPr>
        <w:spacing w:line="360" w:lineRule="auto"/>
        <w:jc w:val="both"/>
        <w:rPr>
          <w:rFonts w:ascii="Cambria" w:hAnsi="Cambria"/>
          <w:b/>
          <w:sz w:val="24"/>
          <w:szCs w:val="24"/>
        </w:rPr>
      </w:pPr>
      <w:r>
        <w:rPr>
          <w:rFonts w:ascii="Cambria" w:hAnsi="Cambria"/>
          <w:b/>
          <w:sz w:val="24"/>
          <w:szCs w:val="24"/>
        </w:rPr>
        <w:t>For Appellant</w:t>
      </w:r>
      <w:r>
        <w:rPr>
          <w:rFonts w:ascii="Cambria" w:hAnsi="Cambria"/>
          <w:b/>
          <w:sz w:val="24"/>
          <w:szCs w:val="24"/>
        </w:rPr>
        <w:tab/>
      </w:r>
      <w:r>
        <w:rPr>
          <w:rFonts w:ascii="Cambria" w:hAnsi="Cambria"/>
          <w:b/>
          <w:sz w:val="24"/>
          <w:szCs w:val="24"/>
        </w:rPr>
        <w:tab/>
        <w:t xml:space="preserve">T </w:t>
      </w:r>
      <w:proofErr w:type="spellStart"/>
      <w:r>
        <w:rPr>
          <w:rFonts w:ascii="Cambria" w:hAnsi="Cambria"/>
          <w:b/>
          <w:sz w:val="24"/>
          <w:szCs w:val="24"/>
        </w:rPr>
        <w:t>Marume</w:t>
      </w:r>
      <w:proofErr w:type="spellEnd"/>
      <w:r>
        <w:rPr>
          <w:rFonts w:ascii="Cambria" w:hAnsi="Cambria"/>
          <w:b/>
          <w:sz w:val="24"/>
          <w:szCs w:val="24"/>
        </w:rPr>
        <w:t xml:space="preserve"> (Legal Practitioner)</w:t>
      </w:r>
    </w:p>
    <w:p w:rsidR="003C758B" w:rsidRPr="003C758B" w:rsidRDefault="003C758B" w:rsidP="003C758B">
      <w:pPr>
        <w:spacing w:line="360" w:lineRule="auto"/>
        <w:jc w:val="both"/>
        <w:rPr>
          <w:rFonts w:ascii="Cambria" w:hAnsi="Cambria"/>
          <w:b/>
          <w:sz w:val="24"/>
          <w:szCs w:val="24"/>
        </w:rPr>
      </w:pPr>
      <w:r>
        <w:rPr>
          <w:rFonts w:ascii="Cambria" w:hAnsi="Cambria"/>
          <w:b/>
          <w:sz w:val="24"/>
          <w:szCs w:val="24"/>
        </w:rPr>
        <w:t>For Respondent</w:t>
      </w:r>
      <w:r>
        <w:rPr>
          <w:rFonts w:ascii="Cambria" w:hAnsi="Cambria"/>
          <w:b/>
          <w:sz w:val="24"/>
          <w:szCs w:val="24"/>
        </w:rPr>
        <w:tab/>
      </w:r>
      <w:r>
        <w:rPr>
          <w:rFonts w:ascii="Cambria" w:hAnsi="Cambria"/>
          <w:b/>
          <w:sz w:val="24"/>
          <w:szCs w:val="24"/>
        </w:rPr>
        <w:tab/>
        <w:t xml:space="preserve">S </w:t>
      </w:r>
      <w:proofErr w:type="spellStart"/>
      <w:r>
        <w:rPr>
          <w:rFonts w:ascii="Cambria" w:hAnsi="Cambria"/>
          <w:b/>
          <w:sz w:val="24"/>
          <w:szCs w:val="24"/>
        </w:rPr>
        <w:t>Bhebhe</w:t>
      </w:r>
      <w:proofErr w:type="spellEnd"/>
      <w:r>
        <w:rPr>
          <w:rFonts w:ascii="Cambria" w:hAnsi="Cambria"/>
          <w:b/>
          <w:sz w:val="24"/>
          <w:szCs w:val="24"/>
        </w:rPr>
        <w:t xml:space="preserve"> (Legal Practitioner)</w:t>
      </w:r>
    </w:p>
    <w:p w:rsidR="003C758B" w:rsidRDefault="003C758B" w:rsidP="003C758B">
      <w:pPr>
        <w:spacing w:line="360" w:lineRule="auto"/>
        <w:jc w:val="both"/>
        <w:rPr>
          <w:rFonts w:ascii="Cambria" w:hAnsi="Cambria"/>
          <w:sz w:val="24"/>
          <w:szCs w:val="24"/>
        </w:rPr>
      </w:pPr>
    </w:p>
    <w:p w:rsidR="00BF24F7" w:rsidRPr="003C758B" w:rsidRDefault="00291D9A" w:rsidP="003C758B">
      <w:pPr>
        <w:spacing w:line="360" w:lineRule="auto"/>
        <w:jc w:val="both"/>
        <w:rPr>
          <w:rFonts w:ascii="Cambria" w:hAnsi="Cambria"/>
          <w:b/>
          <w:sz w:val="24"/>
          <w:szCs w:val="24"/>
        </w:rPr>
      </w:pPr>
      <w:r w:rsidRPr="003C758B">
        <w:rPr>
          <w:rFonts w:ascii="Cambria" w:hAnsi="Cambria"/>
          <w:b/>
          <w:sz w:val="24"/>
          <w:szCs w:val="24"/>
        </w:rPr>
        <w:t>MANYANGADZE J</w:t>
      </w:r>
      <w:r w:rsidR="003C758B">
        <w:rPr>
          <w:rFonts w:ascii="Cambria" w:hAnsi="Cambria"/>
          <w:b/>
          <w:sz w:val="24"/>
          <w:szCs w:val="24"/>
        </w:rPr>
        <w:t>:</w:t>
      </w:r>
      <w:r w:rsidRPr="003C758B">
        <w:rPr>
          <w:rFonts w:ascii="Cambria" w:hAnsi="Cambria"/>
          <w:b/>
          <w:sz w:val="24"/>
          <w:szCs w:val="24"/>
        </w:rPr>
        <w:tab/>
      </w:r>
    </w:p>
    <w:p w:rsidR="00BF24F7" w:rsidRPr="003C758B" w:rsidRDefault="00BF24F7" w:rsidP="003C758B">
      <w:pPr>
        <w:spacing w:line="360" w:lineRule="auto"/>
        <w:ind w:firstLine="720"/>
        <w:jc w:val="both"/>
        <w:rPr>
          <w:rFonts w:ascii="Cambria" w:hAnsi="Cambria"/>
          <w:sz w:val="24"/>
          <w:szCs w:val="24"/>
        </w:rPr>
      </w:pPr>
      <w:r w:rsidRPr="003C758B">
        <w:rPr>
          <w:rFonts w:ascii="Cambria" w:hAnsi="Cambria"/>
          <w:sz w:val="24"/>
          <w:szCs w:val="24"/>
        </w:rPr>
        <w:t>This is an appeal against the decision of the respondent’s Disciplinary and Grievance Committee</w:t>
      </w:r>
      <w:r w:rsidR="00D25ABC">
        <w:rPr>
          <w:rFonts w:ascii="Cambria" w:hAnsi="Cambria"/>
          <w:sz w:val="24"/>
          <w:szCs w:val="24"/>
        </w:rPr>
        <w:t xml:space="preserve"> </w:t>
      </w:r>
      <w:r w:rsidRPr="003C758B">
        <w:rPr>
          <w:rFonts w:ascii="Cambria" w:hAnsi="Cambria"/>
          <w:sz w:val="24"/>
          <w:szCs w:val="24"/>
        </w:rPr>
        <w:t>(Appeal</w:t>
      </w:r>
      <w:r w:rsidR="00291D9A" w:rsidRPr="003C758B">
        <w:rPr>
          <w:rFonts w:ascii="Cambria" w:hAnsi="Cambria"/>
          <w:sz w:val="24"/>
          <w:szCs w:val="24"/>
        </w:rPr>
        <w:t>s Committee) which upheld the app</w:t>
      </w:r>
      <w:r w:rsidRPr="003C758B">
        <w:rPr>
          <w:rFonts w:ascii="Cambria" w:hAnsi="Cambria"/>
          <w:sz w:val="24"/>
          <w:szCs w:val="24"/>
        </w:rPr>
        <w:t>ellant’s dismissal from employment.</w:t>
      </w:r>
    </w:p>
    <w:p w:rsidR="00A53641" w:rsidRDefault="00BF24F7" w:rsidP="00A53641">
      <w:pPr>
        <w:spacing w:line="360" w:lineRule="auto"/>
        <w:ind w:firstLine="720"/>
        <w:jc w:val="both"/>
        <w:rPr>
          <w:rFonts w:ascii="Cambria" w:hAnsi="Cambria"/>
          <w:sz w:val="24"/>
          <w:szCs w:val="24"/>
        </w:rPr>
      </w:pPr>
      <w:r w:rsidRPr="003C758B">
        <w:rPr>
          <w:rFonts w:ascii="Cambria" w:hAnsi="Cambria"/>
          <w:sz w:val="24"/>
          <w:szCs w:val="24"/>
        </w:rPr>
        <w:t>The brief facts of the matter can be summarised as</w:t>
      </w:r>
      <w:r w:rsidR="00291D9A" w:rsidRPr="003C758B">
        <w:rPr>
          <w:rFonts w:ascii="Cambria" w:hAnsi="Cambria"/>
          <w:sz w:val="24"/>
          <w:szCs w:val="24"/>
        </w:rPr>
        <w:t xml:space="preserve"> </w:t>
      </w:r>
      <w:r w:rsidRPr="003C758B">
        <w:rPr>
          <w:rFonts w:ascii="Cambria" w:hAnsi="Cambria"/>
          <w:sz w:val="24"/>
          <w:szCs w:val="24"/>
        </w:rPr>
        <w:t>follows:</w:t>
      </w:r>
    </w:p>
    <w:p w:rsidR="00BF24F7" w:rsidRDefault="00BF24F7" w:rsidP="003C758B">
      <w:pPr>
        <w:spacing w:line="360" w:lineRule="auto"/>
        <w:ind w:firstLine="720"/>
        <w:jc w:val="both"/>
        <w:rPr>
          <w:rFonts w:ascii="Cambria" w:hAnsi="Cambria"/>
          <w:sz w:val="24"/>
          <w:szCs w:val="24"/>
        </w:rPr>
      </w:pPr>
      <w:r w:rsidRPr="003C758B">
        <w:rPr>
          <w:rFonts w:ascii="Cambria" w:hAnsi="Cambria"/>
          <w:sz w:val="24"/>
          <w:szCs w:val="24"/>
        </w:rPr>
        <w:t>The appellant was employed by the respondent as an Administration Manager. The respondent is a mining company under the Anglo-American group of companies. On 7 August 2015, the appellant drew 92 litres of</w:t>
      </w:r>
      <w:r w:rsidR="00291D9A" w:rsidRPr="003C758B">
        <w:rPr>
          <w:rFonts w:ascii="Cambria" w:hAnsi="Cambria"/>
          <w:sz w:val="24"/>
          <w:szCs w:val="24"/>
        </w:rPr>
        <w:t xml:space="preserve"> fuel</w:t>
      </w:r>
      <w:r w:rsidR="00AA4339" w:rsidRPr="003C758B">
        <w:rPr>
          <w:rFonts w:ascii="Cambria" w:hAnsi="Cambria"/>
          <w:sz w:val="24"/>
          <w:szCs w:val="24"/>
        </w:rPr>
        <w:t xml:space="preserve"> from the respondent’s fuel stores in </w:t>
      </w:r>
      <w:proofErr w:type="spellStart"/>
      <w:r w:rsidR="00AA4339" w:rsidRPr="003C758B">
        <w:rPr>
          <w:rFonts w:ascii="Cambria" w:hAnsi="Cambria"/>
          <w:sz w:val="24"/>
          <w:szCs w:val="24"/>
        </w:rPr>
        <w:t>Lochinvar</w:t>
      </w:r>
      <w:proofErr w:type="spellEnd"/>
      <w:r w:rsidR="00AA4339" w:rsidRPr="003C758B">
        <w:rPr>
          <w:rFonts w:ascii="Cambria" w:hAnsi="Cambria"/>
          <w:sz w:val="24"/>
          <w:szCs w:val="24"/>
        </w:rPr>
        <w:t>, Harare. Of this fuel, 50 litres went into 2 containers, whilst the other</w:t>
      </w:r>
      <w:r w:rsidR="00291D9A" w:rsidRPr="003C758B">
        <w:rPr>
          <w:rFonts w:ascii="Cambria" w:hAnsi="Cambria"/>
          <w:sz w:val="24"/>
          <w:szCs w:val="24"/>
        </w:rPr>
        <w:t xml:space="preserve"> fuel went directly into the </w:t>
      </w:r>
      <w:r w:rsidR="00AA4339" w:rsidRPr="003C758B">
        <w:rPr>
          <w:rFonts w:ascii="Cambria" w:hAnsi="Cambria"/>
          <w:sz w:val="24"/>
          <w:szCs w:val="24"/>
        </w:rPr>
        <w:t>tank of the vehicle the appellant was allocated to use. It was</w:t>
      </w:r>
      <w:r w:rsidR="00291D9A" w:rsidRPr="003C758B">
        <w:rPr>
          <w:rFonts w:ascii="Cambria" w:hAnsi="Cambria"/>
          <w:sz w:val="24"/>
          <w:szCs w:val="24"/>
        </w:rPr>
        <w:t xml:space="preserve"> </w:t>
      </w:r>
      <w:proofErr w:type="gramStart"/>
      <w:r w:rsidR="00291D9A" w:rsidRPr="003C758B">
        <w:rPr>
          <w:rFonts w:ascii="Cambria" w:hAnsi="Cambria"/>
          <w:sz w:val="24"/>
          <w:szCs w:val="24"/>
        </w:rPr>
        <w:t>a</w:t>
      </w:r>
      <w:r w:rsidR="00AA4339" w:rsidRPr="003C758B">
        <w:rPr>
          <w:rFonts w:ascii="Cambria" w:hAnsi="Cambria"/>
          <w:sz w:val="24"/>
          <w:szCs w:val="24"/>
        </w:rPr>
        <w:t xml:space="preserve">  Mazda</w:t>
      </w:r>
      <w:proofErr w:type="gramEnd"/>
      <w:r w:rsidR="00AA4339" w:rsidRPr="003C758B">
        <w:rPr>
          <w:rFonts w:ascii="Cambria" w:hAnsi="Cambria"/>
          <w:sz w:val="24"/>
          <w:szCs w:val="24"/>
        </w:rPr>
        <w:t xml:space="preserve"> B1800 Pick-Up truck.</w:t>
      </w:r>
    </w:p>
    <w:p w:rsidR="00AA4339" w:rsidRDefault="00AA4339" w:rsidP="003C758B">
      <w:pPr>
        <w:spacing w:line="360" w:lineRule="auto"/>
        <w:ind w:firstLine="720"/>
        <w:jc w:val="both"/>
        <w:rPr>
          <w:rFonts w:ascii="Cambria" w:hAnsi="Cambria"/>
          <w:sz w:val="24"/>
          <w:szCs w:val="24"/>
        </w:rPr>
      </w:pPr>
      <w:r w:rsidRPr="003C758B">
        <w:rPr>
          <w:rFonts w:ascii="Cambria" w:hAnsi="Cambria"/>
          <w:sz w:val="24"/>
          <w:szCs w:val="24"/>
        </w:rPr>
        <w:t xml:space="preserve">It is alleged the fuel that went into the containers had no authorisation. It is only the fuel that went into the vehicle </w:t>
      </w:r>
      <w:r w:rsidR="00291D9A" w:rsidRPr="003C758B">
        <w:rPr>
          <w:rFonts w:ascii="Cambria" w:hAnsi="Cambria"/>
          <w:sz w:val="24"/>
          <w:szCs w:val="24"/>
        </w:rPr>
        <w:t>tank that was authorised. As a c</w:t>
      </w:r>
      <w:r w:rsidRPr="003C758B">
        <w:rPr>
          <w:rFonts w:ascii="Cambria" w:hAnsi="Cambria"/>
          <w:sz w:val="24"/>
          <w:szCs w:val="24"/>
        </w:rPr>
        <w:t>onsequence of this , the appellant was charged with misconduct in terms of Section 3.4</w:t>
      </w:r>
      <w:r w:rsidR="00D25ABC">
        <w:rPr>
          <w:rFonts w:ascii="Cambria" w:hAnsi="Cambria"/>
          <w:sz w:val="24"/>
          <w:szCs w:val="24"/>
        </w:rPr>
        <w:t xml:space="preserve"> </w:t>
      </w:r>
      <w:r w:rsidRPr="003C758B">
        <w:rPr>
          <w:rFonts w:ascii="Cambria" w:hAnsi="Cambria"/>
          <w:sz w:val="24"/>
          <w:szCs w:val="24"/>
        </w:rPr>
        <w:t>(c) Schedule 1</w:t>
      </w:r>
      <w:r w:rsidR="00D25ABC">
        <w:rPr>
          <w:rFonts w:ascii="Cambria" w:hAnsi="Cambria"/>
          <w:sz w:val="24"/>
          <w:szCs w:val="24"/>
        </w:rPr>
        <w:t xml:space="preserve"> </w:t>
      </w:r>
      <w:r w:rsidR="00511CED" w:rsidRPr="003C758B">
        <w:rPr>
          <w:rFonts w:ascii="Cambria" w:hAnsi="Cambria"/>
          <w:sz w:val="24"/>
          <w:szCs w:val="24"/>
        </w:rPr>
        <w:t>(A) of t</w:t>
      </w:r>
      <w:r w:rsidR="00A53641">
        <w:rPr>
          <w:rFonts w:ascii="Cambria" w:hAnsi="Cambria"/>
          <w:sz w:val="24"/>
          <w:szCs w:val="24"/>
        </w:rPr>
        <w:t>he respondent’s Code of Conduct</w:t>
      </w:r>
      <w:r w:rsidR="008F3B68">
        <w:rPr>
          <w:rFonts w:ascii="Cambria" w:hAnsi="Cambria"/>
          <w:sz w:val="24"/>
          <w:szCs w:val="24"/>
        </w:rPr>
        <w:t>,</w:t>
      </w:r>
      <w:r w:rsidR="00A53641">
        <w:rPr>
          <w:rFonts w:ascii="Cambria" w:hAnsi="Cambria"/>
          <w:sz w:val="24"/>
          <w:szCs w:val="24"/>
        </w:rPr>
        <w:t xml:space="preserve"> the charge being;</w:t>
      </w:r>
    </w:p>
    <w:p w:rsidR="00511CED" w:rsidRPr="00256A07" w:rsidRDefault="00A53641" w:rsidP="00256A07">
      <w:pPr>
        <w:spacing w:line="360" w:lineRule="auto"/>
        <w:ind w:firstLine="720"/>
        <w:jc w:val="both"/>
        <w:rPr>
          <w:rFonts w:ascii="Cambria" w:hAnsi="Cambria"/>
          <w:sz w:val="20"/>
          <w:szCs w:val="20"/>
        </w:rPr>
      </w:pPr>
      <w:r>
        <w:rPr>
          <w:rFonts w:ascii="Cambria" w:hAnsi="Cambria"/>
          <w:sz w:val="24"/>
          <w:szCs w:val="24"/>
        </w:rPr>
        <w:tab/>
      </w:r>
      <w:r>
        <w:rPr>
          <w:rFonts w:ascii="Cambria" w:hAnsi="Cambria"/>
          <w:sz w:val="20"/>
          <w:szCs w:val="20"/>
        </w:rPr>
        <w:t>“Theft in all its forms</w:t>
      </w:r>
      <w:r w:rsidR="00256A07">
        <w:rPr>
          <w:rFonts w:ascii="Cambria" w:hAnsi="Cambria"/>
          <w:sz w:val="20"/>
          <w:szCs w:val="20"/>
        </w:rPr>
        <w:t>”</w:t>
      </w:r>
    </w:p>
    <w:p w:rsidR="00511CED" w:rsidRPr="003C758B" w:rsidRDefault="00511CED" w:rsidP="003C758B">
      <w:pPr>
        <w:spacing w:line="360" w:lineRule="auto"/>
        <w:ind w:firstLine="720"/>
        <w:jc w:val="both"/>
        <w:rPr>
          <w:rFonts w:ascii="Cambria" w:hAnsi="Cambria"/>
          <w:sz w:val="24"/>
          <w:szCs w:val="24"/>
        </w:rPr>
      </w:pPr>
      <w:r w:rsidRPr="003C758B">
        <w:rPr>
          <w:rFonts w:ascii="Cambria" w:hAnsi="Cambria"/>
          <w:sz w:val="24"/>
          <w:szCs w:val="24"/>
        </w:rPr>
        <w:lastRenderedPageBreak/>
        <w:t>The Disciplinary Committee found the appellant guilty as charged, and imposed a</w:t>
      </w:r>
      <w:r w:rsidR="00291D9A" w:rsidRPr="003C758B">
        <w:rPr>
          <w:rFonts w:ascii="Cambria" w:hAnsi="Cambria"/>
          <w:sz w:val="24"/>
          <w:szCs w:val="24"/>
        </w:rPr>
        <w:t xml:space="preserve"> </w:t>
      </w:r>
      <w:r w:rsidRPr="003C758B">
        <w:rPr>
          <w:rFonts w:ascii="Cambria" w:hAnsi="Cambria"/>
          <w:sz w:val="24"/>
          <w:szCs w:val="24"/>
        </w:rPr>
        <w:t>penalty of dismissal. His internal appeal to the Appeals Committee was unsuccessful, prompting the appeal to this court.</w:t>
      </w:r>
    </w:p>
    <w:p w:rsidR="00511CED" w:rsidRDefault="00511CED" w:rsidP="00D25ABC">
      <w:pPr>
        <w:spacing w:line="360" w:lineRule="auto"/>
        <w:ind w:firstLine="720"/>
        <w:jc w:val="both"/>
        <w:rPr>
          <w:rFonts w:ascii="Cambria" w:hAnsi="Cambria"/>
          <w:sz w:val="24"/>
          <w:szCs w:val="24"/>
        </w:rPr>
      </w:pPr>
      <w:r w:rsidRPr="003C758B">
        <w:rPr>
          <w:rFonts w:ascii="Cambria" w:hAnsi="Cambria"/>
          <w:sz w:val="24"/>
          <w:szCs w:val="24"/>
        </w:rPr>
        <w:t>The</w:t>
      </w:r>
      <w:r w:rsidR="00291D9A" w:rsidRPr="003C758B">
        <w:rPr>
          <w:rFonts w:ascii="Cambria" w:hAnsi="Cambria"/>
          <w:sz w:val="24"/>
          <w:szCs w:val="24"/>
        </w:rPr>
        <w:t xml:space="preserve"> grounds of appeal are stated as</w:t>
      </w:r>
      <w:r w:rsidRPr="003C758B">
        <w:rPr>
          <w:rFonts w:ascii="Cambria" w:hAnsi="Cambria"/>
          <w:sz w:val="24"/>
          <w:szCs w:val="24"/>
        </w:rPr>
        <w:t xml:space="preserve"> follows:</w:t>
      </w:r>
    </w:p>
    <w:p w:rsidR="00D25ABC" w:rsidRPr="008F3B68" w:rsidRDefault="008F3B68" w:rsidP="008F3B68">
      <w:pPr>
        <w:spacing w:line="360" w:lineRule="auto"/>
        <w:ind w:left="1080" w:hanging="360"/>
        <w:jc w:val="both"/>
        <w:rPr>
          <w:rFonts w:ascii="Cambria" w:hAnsi="Cambria"/>
          <w:sz w:val="20"/>
          <w:szCs w:val="20"/>
        </w:rPr>
      </w:pPr>
      <w:r>
        <w:rPr>
          <w:rFonts w:ascii="Cambria" w:hAnsi="Cambria"/>
          <w:sz w:val="20"/>
          <w:szCs w:val="20"/>
        </w:rPr>
        <w:t>“1.</w:t>
      </w:r>
      <w:r>
        <w:rPr>
          <w:rFonts w:ascii="Cambria" w:hAnsi="Cambria"/>
          <w:sz w:val="20"/>
          <w:szCs w:val="20"/>
        </w:rPr>
        <w:tab/>
        <w:t>The H</w:t>
      </w:r>
      <w:bookmarkStart w:id="0" w:name="_GoBack"/>
      <w:bookmarkEnd w:id="0"/>
      <w:r w:rsidR="00143A67" w:rsidRPr="008F3B68">
        <w:rPr>
          <w:rFonts w:ascii="Cambria" w:hAnsi="Cambria"/>
          <w:sz w:val="20"/>
          <w:szCs w:val="20"/>
        </w:rPr>
        <w:t>onourable Disciplinary and Grievance Committee grossly misdirected at law by disregarding a requisition form submitted by the accused and making a finding that it was irrelevant.  The Disciplinary Committee ought to have arrive</w:t>
      </w:r>
      <w:r w:rsidR="00B53959" w:rsidRPr="008F3B68">
        <w:rPr>
          <w:rFonts w:ascii="Cambria" w:hAnsi="Cambria"/>
          <w:sz w:val="20"/>
          <w:szCs w:val="20"/>
        </w:rPr>
        <w:t>d</w:t>
      </w:r>
      <w:r w:rsidR="00143A67" w:rsidRPr="008F3B68">
        <w:rPr>
          <w:rFonts w:ascii="Cambria" w:hAnsi="Cambria"/>
          <w:sz w:val="20"/>
          <w:szCs w:val="20"/>
        </w:rPr>
        <w:t xml:space="preserve"> at fin</w:t>
      </w:r>
      <w:r>
        <w:rPr>
          <w:rFonts w:ascii="Cambria" w:hAnsi="Cambria"/>
          <w:sz w:val="20"/>
          <w:szCs w:val="20"/>
        </w:rPr>
        <w:t>d</w:t>
      </w:r>
      <w:r w:rsidR="00143A67" w:rsidRPr="008F3B68">
        <w:rPr>
          <w:rFonts w:ascii="Cambria" w:hAnsi="Cambria"/>
          <w:sz w:val="20"/>
          <w:szCs w:val="20"/>
        </w:rPr>
        <w:t>ing that it was relevant as it highlighted that there existed no written or exact fuel issuance procedure at the workplace.  Hence, the accused had acted in a reasonable matter.</w:t>
      </w:r>
    </w:p>
    <w:p w:rsidR="00143A67" w:rsidRPr="008F3B68" w:rsidRDefault="00143A67" w:rsidP="008F3B68">
      <w:pPr>
        <w:pStyle w:val="ListParagraph"/>
        <w:numPr>
          <w:ilvl w:val="0"/>
          <w:numId w:val="4"/>
        </w:numPr>
        <w:spacing w:line="360" w:lineRule="auto"/>
        <w:jc w:val="both"/>
        <w:rPr>
          <w:rFonts w:ascii="Cambria" w:hAnsi="Cambria"/>
          <w:sz w:val="20"/>
          <w:szCs w:val="20"/>
        </w:rPr>
      </w:pPr>
      <w:r w:rsidRPr="008F3B68">
        <w:rPr>
          <w:rFonts w:ascii="Cambria" w:hAnsi="Cambria"/>
          <w:sz w:val="20"/>
          <w:szCs w:val="20"/>
        </w:rPr>
        <w:t>The Disciplinary and Grievance Committee grossly misdirected factually which misdirection amounts to a point of law in failing to appreciate conflicting evidence by the complainant and witnesses which inconsistencies were material to the case in question and to the charge raised.</w:t>
      </w:r>
    </w:p>
    <w:p w:rsidR="00143A67" w:rsidRPr="008F3B68" w:rsidRDefault="00143A67" w:rsidP="008F3B68">
      <w:pPr>
        <w:pStyle w:val="ListParagraph"/>
        <w:numPr>
          <w:ilvl w:val="0"/>
          <w:numId w:val="4"/>
        </w:numPr>
        <w:spacing w:line="360" w:lineRule="auto"/>
        <w:jc w:val="both"/>
        <w:rPr>
          <w:rFonts w:ascii="Cambria" w:hAnsi="Cambria"/>
          <w:sz w:val="20"/>
          <w:szCs w:val="20"/>
        </w:rPr>
      </w:pPr>
      <w:r w:rsidRPr="008F3B68">
        <w:rPr>
          <w:rFonts w:ascii="Cambria" w:hAnsi="Cambria"/>
          <w:sz w:val="20"/>
          <w:szCs w:val="20"/>
        </w:rPr>
        <w:t>The Disciplinary and Grievance Committee grossly misdirected factually by failing to make a finding that appellant had completed relevant fuel issuance documents in the form of the requisition form and the fuel issuance form.</w:t>
      </w:r>
    </w:p>
    <w:p w:rsidR="00143A67" w:rsidRDefault="00143A67" w:rsidP="008F3B68">
      <w:pPr>
        <w:pStyle w:val="ListParagraph"/>
        <w:numPr>
          <w:ilvl w:val="0"/>
          <w:numId w:val="4"/>
        </w:numPr>
        <w:spacing w:line="360" w:lineRule="auto"/>
        <w:jc w:val="both"/>
        <w:rPr>
          <w:rFonts w:ascii="Cambria" w:hAnsi="Cambria"/>
          <w:sz w:val="20"/>
          <w:szCs w:val="20"/>
        </w:rPr>
      </w:pPr>
      <w:r>
        <w:rPr>
          <w:rFonts w:ascii="Cambria" w:hAnsi="Cambria"/>
          <w:sz w:val="20"/>
          <w:szCs w:val="20"/>
        </w:rPr>
        <w:t>The Disciplinary Committee misdirected by making a finding that appellant was guilty of theft when all essential elements had not been proved at law.</w:t>
      </w:r>
    </w:p>
    <w:p w:rsidR="00143A67" w:rsidRDefault="00143A67" w:rsidP="008F3B68">
      <w:pPr>
        <w:pStyle w:val="ListParagraph"/>
        <w:numPr>
          <w:ilvl w:val="0"/>
          <w:numId w:val="4"/>
        </w:numPr>
        <w:spacing w:line="360" w:lineRule="auto"/>
        <w:jc w:val="both"/>
        <w:rPr>
          <w:rFonts w:ascii="Cambria" w:hAnsi="Cambria"/>
          <w:sz w:val="20"/>
          <w:szCs w:val="20"/>
        </w:rPr>
      </w:pPr>
      <w:r>
        <w:rPr>
          <w:rFonts w:ascii="Cambria" w:hAnsi="Cambria"/>
          <w:sz w:val="20"/>
          <w:szCs w:val="20"/>
        </w:rPr>
        <w:t>The Disciplinary and Grievance Committee factually misdirected by ignoring clear evidence establishing that appellant had duly advised and notified the respondent of the fuel drawn, therefore as per practise the procedure had been followed.</w:t>
      </w:r>
    </w:p>
    <w:p w:rsidR="00143A67" w:rsidRDefault="00143A67" w:rsidP="008F3B68">
      <w:pPr>
        <w:pStyle w:val="ListParagraph"/>
        <w:numPr>
          <w:ilvl w:val="0"/>
          <w:numId w:val="4"/>
        </w:numPr>
        <w:spacing w:line="360" w:lineRule="auto"/>
        <w:jc w:val="both"/>
        <w:rPr>
          <w:rFonts w:ascii="Cambria" w:hAnsi="Cambria"/>
          <w:sz w:val="20"/>
          <w:szCs w:val="20"/>
        </w:rPr>
      </w:pPr>
      <w:r>
        <w:rPr>
          <w:rFonts w:ascii="Cambria" w:hAnsi="Cambria"/>
          <w:sz w:val="20"/>
          <w:szCs w:val="20"/>
        </w:rPr>
        <w:t xml:space="preserve">The Disciplinary Committee misdirected factually by meting a dismissal penalty, despite monumental evidence of </w:t>
      </w:r>
      <w:proofErr w:type="spellStart"/>
      <w:r>
        <w:rPr>
          <w:rFonts w:ascii="Cambria" w:hAnsi="Cambria"/>
          <w:sz w:val="20"/>
          <w:szCs w:val="20"/>
        </w:rPr>
        <w:t>mitigatory</w:t>
      </w:r>
      <w:proofErr w:type="spellEnd"/>
      <w:r>
        <w:rPr>
          <w:rFonts w:ascii="Cambria" w:hAnsi="Cambria"/>
          <w:sz w:val="20"/>
          <w:szCs w:val="20"/>
        </w:rPr>
        <w:t xml:space="preserve"> factors for the accused.</w:t>
      </w:r>
    </w:p>
    <w:p w:rsidR="00143A67" w:rsidRPr="00143A67" w:rsidRDefault="00143A67" w:rsidP="008F3B68">
      <w:pPr>
        <w:pStyle w:val="ListParagraph"/>
        <w:numPr>
          <w:ilvl w:val="0"/>
          <w:numId w:val="4"/>
        </w:numPr>
        <w:spacing w:line="360" w:lineRule="auto"/>
        <w:jc w:val="both"/>
        <w:rPr>
          <w:rFonts w:ascii="Cambria" w:hAnsi="Cambria"/>
          <w:sz w:val="20"/>
          <w:szCs w:val="20"/>
        </w:rPr>
      </w:pPr>
      <w:r>
        <w:rPr>
          <w:rFonts w:ascii="Cambria" w:hAnsi="Cambria"/>
          <w:sz w:val="20"/>
          <w:szCs w:val="20"/>
        </w:rPr>
        <w:t xml:space="preserve">The Disciplinary and Grievance Committee grossly misdirected by dismissing appellant without justifying failure to resort to statutorily recommended alternative penalties not </w:t>
      </w:r>
      <w:r w:rsidR="00B53959">
        <w:rPr>
          <w:rFonts w:ascii="Cambria" w:hAnsi="Cambria"/>
          <w:sz w:val="20"/>
          <w:szCs w:val="20"/>
        </w:rPr>
        <w:t>d</w:t>
      </w:r>
      <w:r>
        <w:rPr>
          <w:rFonts w:ascii="Cambria" w:hAnsi="Cambria"/>
          <w:sz w:val="20"/>
          <w:szCs w:val="20"/>
        </w:rPr>
        <w:t>ismissal.</w:t>
      </w:r>
      <w:r w:rsidR="008F3B68">
        <w:rPr>
          <w:rFonts w:ascii="Cambria" w:hAnsi="Cambria"/>
          <w:sz w:val="20"/>
          <w:szCs w:val="20"/>
        </w:rPr>
        <w:t>”</w:t>
      </w:r>
    </w:p>
    <w:p w:rsidR="002C6AA3" w:rsidRDefault="00511CED" w:rsidP="003C758B">
      <w:pPr>
        <w:spacing w:line="360" w:lineRule="auto"/>
        <w:ind w:firstLine="720"/>
        <w:jc w:val="both"/>
        <w:rPr>
          <w:rFonts w:ascii="Cambria" w:hAnsi="Cambria"/>
          <w:sz w:val="24"/>
          <w:szCs w:val="24"/>
        </w:rPr>
      </w:pPr>
      <w:r w:rsidRPr="003C758B">
        <w:rPr>
          <w:rFonts w:ascii="Cambria" w:hAnsi="Cambria"/>
          <w:sz w:val="24"/>
          <w:szCs w:val="24"/>
        </w:rPr>
        <w:t>The grounds of appeal can be condensed into one fundamental issue. The issue is whether the evidence before the Disciplinary Committee established, on a balance of probabilities, that the appellant had the intention to steal the fuel in question. At the hearing of th</w:t>
      </w:r>
      <w:r w:rsidR="00291D9A" w:rsidRPr="003C758B">
        <w:rPr>
          <w:rFonts w:ascii="Cambria" w:hAnsi="Cambria"/>
          <w:sz w:val="24"/>
          <w:szCs w:val="24"/>
        </w:rPr>
        <w:t xml:space="preserve">e matter, </w:t>
      </w:r>
      <w:r w:rsidR="00291D9A" w:rsidRPr="008F3B68">
        <w:rPr>
          <w:rFonts w:ascii="Cambria" w:hAnsi="Cambria"/>
          <w:i/>
          <w:sz w:val="24"/>
          <w:szCs w:val="24"/>
        </w:rPr>
        <w:t xml:space="preserve">Mr T </w:t>
      </w:r>
      <w:proofErr w:type="spellStart"/>
      <w:r w:rsidR="00291D9A" w:rsidRPr="008F3B68">
        <w:rPr>
          <w:rFonts w:ascii="Cambria" w:hAnsi="Cambria"/>
          <w:i/>
          <w:sz w:val="24"/>
          <w:szCs w:val="24"/>
        </w:rPr>
        <w:t>Marume</w:t>
      </w:r>
      <w:proofErr w:type="spellEnd"/>
      <w:r w:rsidR="00291D9A" w:rsidRPr="003C758B">
        <w:rPr>
          <w:rFonts w:ascii="Cambria" w:hAnsi="Cambria"/>
          <w:sz w:val="24"/>
          <w:szCs w:val="24"/>
        </w:rPr>
        <w:t>, for the a</w:t>
      </w:r>
      <w:r w:rsidRPr="003C758B">
        <w:rPr>
          <w:rFonts w:ascii="Cambria" w:hAnsi="Cambria"/>
          <w:sz w:val="24"/>
          <w:szCs w:val="24"/>
        </w:rPr>
        <w:t>ppellant, formulated the issue as follows:</w:t>
      </w:r>
    </w:p>
    <w:p w:rsidR="00256A07" w:rsidRDefault="00256A07" w:rsidP="00256A07">
      <w:pPr>
        <w:spacing w:line="240" w:lineRule="auto"/>
        <w:ind w:left="1440"/>
        <w:jc w:val="both"/>
        <w:rPr>
          <w:rFonts w:ascii="Cambria" w:hAnsi="Cambria"/>
          <w:sz w:val="24"/>
          <w:szCs w:val="24"/>
        </w:rPr>
      </w:pPr>
      <w:r>
        <w:rPr>
          <w:rFonts w:ascii="Cambria" w:hAnsi="Cambria"/>
          <w:sz w:val="24"/>
          <w:szCs w:val="24"/>
        </w:rPr>
        <w:t>“</w:t>
      </w:r>
      <w:r w:rsidRPr="00256A07">
        <w:rPr>
          <w:rFonts w:ascii="Cambria" w:hAnsi="Cambria"/>
          <w:sz w:val="20"/>
          <w:szCs w:val="20"/>
        </w:rPr>
        <w:t>The nub of the issue is whether or not the appellant committed an act of theft by filling up two containers recorded on the fuel requisition form</w:t>
      </w:r>
      <w:r>
        <w:rPr>
          <w:rFonts w:ascii="Cambria" w:hAnsi="Cambria"/>
          <w:sz w:val="24"/>
          <w:szCs w:val="24"/>
        </w:rPr>
        <w:t>.”</w:t>
      </w:r>
    </w:p>
    <w:p w:rsidR="00256A07" w:rsidRPr="003C758B" w:rsidRDefault="00256A07" w:rsidP="00256A07">
      <w:pPr>
        <w:spacing w:line="240" w:lineRule="auto"/>
        <w:ind w:left="1440"/>
        <w:jc w:val="both"/>
        <w:rPr>
          <w:rFonts w:ascii="Cambria" w:hAnsi="Cambria"/>
          <w:sz w:val="24"/>
          <w:szCs w:val="24"/>
        </w:rPr>
      </w:pPr>
    </w:p>
    <w:p w:rsidR="003C758B" w:rsidRDefault="002C6AA3" w:rsidP="007614CF">
      <w:pPr>
        <w:spacing w:line="360" w:lineRule="auto"/>
        <w:ind w:firstLine="720"/>
        <w:jc w:val="both"/>
        <w:rPr>
          <w:rFonts w:ascii="Cambria" w:hAnsi="Cambria"/>
          <w:sz w:val="24"/>
          <w:szCs w:val="24"/>
        </w:rPr>
      </w:pPr>
      <w:r w:rsidRPr="008F3B68">
        <w:rPr>
          <w:rFonts w:ascii="Cambria" w:hAnsi="Cambria"/>
          <w:i/>
          <w:sz w:val="24"/>
          <w:szCs w:val="24"/>
        </w:rPr>
        <w:t xml:space="preserve">Mr </w:t>
      </w:r>
      <w:proofErr w:type="spellStart"/>
      <w:r w:rsidRPr="008F3B68">
        <w:rPr>
          <w:rFonts w:ascii="Cambria" w:hAnsi="Cambria"/>
          <w:i/>
          <w:sz w:val="24"/>
          <w:szCs w:val="24"/>
        </w:rPr>
        <w:t>Bhebhe</w:t>
      </w:r>
      <w:proofErr w:type="spellEnd"/>
      <w:r w:rsidRPr="003C758B">
        <w:rPr>
          <w:rFonts w:ascii="Cambria" w:hAnsi="Cambria"/>
          <w:sz w:val="24"/>
          <w:szCs w:val="24"/>
        </w:rPr>
        <w:t>, for the respondent, exp</w:t>
      </w:r>
      <w:r w:rsidR="00291D9A" w:rsidRPr="003C758B">
        <w:rPr>
          <w:rFonts w:ascii="Cambria" w:hAnsi="Cambria"/>
          <w:sz w:val="24"/>
          <w:szCs w:val="24"/>
        </w:rPr>
        <w:t>r</w:t>
      </w:r>
      <w:r w:rsidRPr="003C758B">
        <w:rPr>
          <w:rFonts w:ascii="Cambria" w:hAnsi="Cambria"/>
          <w:sz w:val="24"/>
          <w:szCs w:val="24"/>
        </w:rPr>
        <w:t>essed the issue as follows:</w:t>
      </w:r>
    </w:p>
    <w:p w:rsidR="00256A07" w:rsidRPr="00256A07" w:rsidRDefault="00256A07" w:rsidP="00256A07">
      <w:pPr>
        <w:spacing w:line="240" w:lineRule="auto"/>
        <w:ind w:left="1440"/>
        <w:jc w:val="both"/>
        <w:rPr>
          <w:rFonts w:ascii="Cambria" w:hAnsi="Cambria"/>
          <w:sz w:val="20"/>
          <w:szCs w:val="20"/>
        </w:rPr>
      </w:pPr>
      <w:r>
        <w:rPr>
          <w:rFonts w:ascii="Cambria" w:hAnsi="Cambria"/>
          <w:sz w:val="20"/>
          <w:szCs w:val="20"/>
        </w:rPr>
        <w:lastRenderedPageBreak/>
        <w:t>“The simple question is whether or not the appellant committed theft in all is forms and whether there is proof on a balance of probabilities.”</w:t>
      </w:r>
    </w:p>
    <w:p w:rsidR="00256A07" w:rsidRPr="003C758B" w:rsidRDefault="00256A07" w:rsidP="00256A07">
      <w:pPr>
        <w:spacing w:line="240" w:lineRule="auto"/>
        <w:ind w:left="1440"/>
        <w:jc w:val="both"/>
        <w:rPr>
          <w:rFonts w:ascii="Cambria" w:hAnsi="Cambria"/>
          <w:sz w:val="24"/>
          <w:szCs w:val="24"/>
        </w:rPr>
      </w:pPr>
    </w:p>
    <w:p w:rsidR="002D6C82" w:rsidRDefault="002C6AA3" w:rsidP="002D6C82">
      <w:pPr>
        <w:spacing w:line="360" w:lineRule="auto"/>
        <w:ind w:firstLine="720"/>
        <w:jc w:val="both"/>
        <w:rPr>
          <w:rFonts w:ascii="Cambria" w:hAnsi="Cambria"/>
          <w:sz w:val="24"/>
          <w:szCs w:val="24"/>
        </w:rPr>
      </w:pPr>
      <w:r w:rsidRPr="003C758B">
        <w:rPr>
          <w:rFonts w:ascii="Cambria" w:hAnsi="Cambria"/>
          <w:sz w:val="24"/>
          <w:szCs w:val="24"/>
        </w:rPr>
        <w:t xml:space="preserve">It must therefore be pointed out, from the outset, that this appeal is </w:t>
      </w:r>
      <w:proofErr w:type="gramStart"/>
      <w:r w:rsidRPr="003C758B">
        <w:rPr>
          <w:rFonts w:ascii="Cambria" w:hAnsi="Cambria"/>
          <w:sz w:val="24"/>
          <w:szCs w:val="24"/>
        </w:rPr>
        <w:t>dealing  purely</w:t>
      </w:r>
      <w:proofErr w:type="gramEnd"/>
      <w:r w:rsidRPr="003C758B">
        <w:rPr>
          <w:rFonts w:ascii="Cambria" w:hAnsi="Cambria"/>
          <w:sz w:val="24"/>
          <w:szCs w:val="24"/>
        </w:rPr>
        <w:t xml:space="preserve"> with the factual findings of the Disciplinary Committee, which findings were upheld by the Appeals Committee. </w:t>
      </w:r>
      <w:r w:rsidR="00AB31C8">
        <w:rPr>
          <w:rFonts w:ascii="Cambria" w:hAnsi="Cambria"/>
          <w:sz w:val="24"/>
          <w:szCs w:val="24"/>
        </w:rPr>
        <w:t xml:space="preserve"> </w:t>
      </w:r>
      <w:r w:rsidRPr="003C758B">
        <w:rPr>
          <w:rFonts w:ascii="Cambria" w:hAnsi="Cambria"/>
          <w:sz w:val="24"/>
          <w:szCs w:val="24"/>
        </w:rPr>
        <w:t xml:space="preserve">The approach of an appellate court in such situations is well established. It was articulated in the case of </w:t>
      </w:r>
      <w:r w:rsidRPr="00D25ABC">
        <w:rPr>
          <w:rFonts w:ascii="Cambria" w:hAnsi="Cambria"/>
          <w:i/>
          <w:sz w:val="24"/>
          <w:szCs w:val="24"/>
        </w:rPr>
        <w:t>Hama</w:t>
      </w:r>
      <w:r w:rsidRPr="003C758B">
        <w:rPr>
          <w:rFonts w:ascii="Cambria" w:hAnsi="Cambria"/>
          <w:sz w:val="24"/>
          <w:szCs w:val="24"/>
        </w:rPr>
        <w:t xml:space="preserve"> v </w:t>
      </w:r>
      <w:r w:rsidRPr="00D25ABC">
        <w:rPr>
          <w:rFonts w:ascii="Cambria" w:hAnsi="Cambria"/>
          <w:i/>
          <w:sz w:val="24"/>
          <w:szCs w:val="24"/>
        </w:rPr>
        <w:t>National Railways of Zimbabwe</w:t>
      </w:r>
      <w:r w:rsidR="002D6C82">
        <w:rPr>
          <w:rFonts w:ascii="Cambria" w:hAnsi="Cambria"/>
          <w:sz w:val="24"/>
          <w:szCs w:val="24"/>
        </w:rPr>
        <w:t xml:space="preserve"> </w:t>
      </w:r>
      <w:r w:rsidR="002079A0">
        <w:rPr>
          <w:rFonts w:ascii="Cambria" w:hAnsi="Cambria"/>
          <w:sz w:val="24"/>
          <w:szCs w:val="24"/>
        </w:rPr>
        <w:t>19</w:t>
      </w:r>
      <w:r w:rsidR="002D6C82">
        <w:rPr>
          <w:rFonts w:ascii="Cambria" w:hAnsi="Cambria"/>
          <w:sz w:val="24"/>
          <w:szCs w:val="24"/>
        </w:rPr>
        <w:t xml:space="preserve">96 (1) ZLR 664.  </w:t>
      </w:r>
      <w:r w:rsidR="002D6C82" w:rsidRPr="00A90BFF">
        <w:rPr>
          <w:rFonts w:ascii="Cambria" w:hAnsi="Cambria"/>
        </w:rPr>
        <w:t>KORSAH JA</w:t>
      </w:r>
      <w:r w:rsidR="002D6C82">
        <w:rPr>
          <w:rFonts w:ascii="Cambria" w:hAnsi="Cambria"/>
          <w:sz w:val="24"/>
          <w:szCs w:val="24"/>
        </w:rPr>
        <w:t xml:space="preserve"> stated, at p 670:</w:t>
      </w:r>
    </w:p>
    <w:p w:rsidR="002C6AA3" w:rsidRDefault="002079A0" w:rsidP="007614CF">
      <w:pPr>
        <w:spacing w:line="360" w:lineRule="auto"/>
        <w:ind w:firstLine="720"/>
        <w:jc w:val="both"/>
        <w:rPr>
          <w:rFonts w:ascii="Cambria" w:hAnsi="Cambria"/>
          <w:sz w:val="24"/>
          <w:szCs w:val="24"/>
        </w:rPr>
      </w:pPr>
      <w:r w:rsidRPr="002079A0">
        <w:rPr>
          <w:rFonts w:ascii="Cambria" w:hAnsi="Cambria"/>
          <w:sz w:val="24"/>
          <w:szCs w:val="24"/>
        </w:rPr>
        <w:object w:dxaOrig="9026" w:dyaOrig="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17pt" o:ole="">
            <v:imagedata r:id="rId8" o:title=""/>
          </v:shape>
          <o:OLEObject Type="Embed" ProgID="Word.Document.12" ShapeID="_x0000_i1025" DrawAspect="Content" ObjectID="_1542025382" r:id="rId9">
            <o:FieldCodes>\s</o:FieldCodes>
          </o:OLEObject>
        </w:object>
      </w:r>
      <w:r w:rsidR="007614CF">
        <w:rPr>
          <w:rFonts w:ascii="Cambria" w:hAnsi="Cambria"/>
          <w:sz w:val="24"/>
          <w:szCs w:val="24"/>
        </w:rPr>
        <w:tab/>
      </w:r>
      <w:r w:rsidR="002C6AA3" w:rsidRPr="003C758B">
        <w:rPr>
          <w:rFonts w:ascii="Cambria" w:hAnsi="Cambria"/>
          <w:sz w:val="24"/>
          <w:szCs w:val="24"/>
        </w:rPr>
        <w:t xml:space="preserve">In the instant case, the pertinent findings of the Disciplinary Committee, on which it based its verdict of guilty, </w:t>
      </w:r>
      <w:r w:rsidR="00466E89" w:rsidRPr="003C758B">
        <w:rPr>
          <w:rFonts w:ascii="Cambria" w:hAnsi="Cambria"/>
          <w:sz w:val="24"/>
          <w:szCs w:val="24"/>
        </w:rPr>
        <w:t xml:space="preserve">are well summarised in the minutes of the disciplinary proceedings. </w:t>
      </w:r>
      <w:r w:rsidR="00A90BFF">
        <w:rPr>
          <w:rFonts w:ascii="Cambria" w:hAnsi="Cambria"/>
          <w:sz w:val="24"/>
          <w:szCs w:val="24"/>
        </w:rPr>
        <w:t xml:space="preserve"> </w:t>
      </w:r>
      <w:r w:rsidR="00466E89" w:rsidRPr="003C758B">
        <w:rPr>
          <w:rFonts w:ascii="Cambria" w:hAnsi="Cambria"/>
          <w:sz w:val="24"/>
          <w:szCs w:val="24"/>
        </w:rPr>
        <w:t>Page 18 of these minutes record the following critical findings:</w:t>
      </w:r>
    </w:p>
    <w:p w:rsidR="00A90BFF" w:rsidRDefault="00A90BFF" w:rsidP="00A90BFF">
      <w:pPr>
        <w:spacing w:after="0" w:line="240" w:lineRule="auto"/>
        <w:ind w:firstLine="720"/>
        <w:jc w:val="both"/>
        <w:rPr>
          <w:rFonts w:ascii="Cambria" w:hAnsi="Cambria"/>
          <w:sz w:val="20"/>
          <w:szCs w:val="20"/>
        </w:rPr>
      </w:pPr>
      <w:r>
        <w:rPr>
          <w:rFonts w:ascii="Cambria" w:hAnsi="Cambria"/>
          <w:sz w:val="24"/>
          <w:szCs w:val="24"/>
        </w:rPr>
        <w:tab/>
      </w:r>
      <w:r>
        <w:rPr>
          <w:rFonts w:ascii="Cambria" w:hAnsi="Cambria"/>
          <w:sz w:val="20"/>
          <w:szCs w:val="20"/>
        </w:rPr>
        <w:t>“1.</w:t>
      </w:r>
      <w:r>
        <w:rPr>
          <w:rFonts w:ascii="Cambria" w:hAnsi="Cambria"/>
          <w:sz w:val="20"/>
          <w:szCs w:val="20"/>
        </w:rPr>
        <w:tab/>
        <w:t>The accused pleaded not guilty of theft.</w:t>
      </w:r>
    </w:p>
    <w:p w:rsidR="00A90BFF" w:rsidRDefault="00DB538F" w:rsidP="00A90BFF">
      <w:pPr>
        <w:spacing w:after="0" w:line="240" w:lineRule="auto"/>
        <w:ind w:left="2160" w:hanging="720"/>
        <w:jc w:val="both"/>
        <w:rPr>
          <w:rFonts w:ascii="Cambria" w:hAnsi="Cambria"/>
          <w:sz w:val="20"/>
          <w:szCs w:val="20"/>
        </w:rPr>
      </w:pPr>
      <w:r>
        <w:rPr>
          <w:rFonts w:ascii="Cambria" w:hAnsi="Cambria"/>
          <w:sz w:val="20"/>
          <w:szCs w:val="20"/>
        </w:rPr>
        <w:t>2.</w:t>
      </w:r>
      <w:r>
        <w:rPr>
          <w:rFonts w:ascii="Cambria" w:hAnsi="Cambria"/>
          <w:sz w:val="20"/>
          <w:szCs w:val="20"/>
        </w:rPr>
        <w:tab/>
        <w:t xml:space="preserve">Authority </w:t>
      </w:r>
      <w:r w:rsidR="00A90BFF">
        <w:rPr>
          <w:rFonts w:ascii="Cambria" w:hAnsi="Cambria"/>
          <w:sz w:val="20"/>
          <w:szCs w:val="20"/>
        </w:rPr>
        <w:t xml:space="preserve">was given by Financial Accountant for Simon </w:t>
      </w:r>
      <w:proofErr w:type="spellStart"/>
      <w:r w:rsidR="00A90BFF">
        <w:rPr>
          <w:rFonts w:ascii="Cambria" w:hAnsi="Cambria"/>
          <w:sz w:val="20"/>
          <w:szCs w:val="20"/>
        </w:rPr>
        <w:t>Makaripe</w:t>
      </w:r>
      <w:proofErr w:type="spellEnd"/>
      <w:r w:rsidR="00A90BFF">
        <w:rPr>
          <w:rFonts w:ascii="Cambria" w:hAnsi="Cambria"/>
          <w:sz w:val="20"/>
          <w:szCs w:val="20"/>
        </w:rPr>
        <w:t xml:space="preserve"> to use a pool vehicle Reg. No. </w:t>
      </w:r>
      <w:proofErr w:type="gramStart"/>
      <w:r w:rsidR="00A90BFF">
        <w:rPr>
          <w:rFonts w:ascii="Cambria" w:hAnsi="Cambria"/>
          <w:sz w:val="20"/>
          <w:szCs w:val="20"/>
        </w:rPr>
        <w:t>AAG 0341 for travelling from work to home.</w:t>
      </w:r>
      <w:proofErr w:type="gramEnd"/>
    </w:p>
    <w:p w:rsidR="00A90BFF" w:rsidRDefault="00A90BFF" w:rsidP="00A90BFF">
      <w:pPr>
        <w:spacing w:after="0" w:line="240" w:lineRule="auto"/>
        <w:ind w:left="2160" w:hanging="720"/>
        <w:jc w:val="both"/>
        <w:rPr>
          <w:rFonts w:ascii="Cambria" w:hAnsi="Cambria"/>
          <w:sz w:val="20"/>
          <w:szCs w:val="20"/>
        </w:rPr>
      </w:pPr>
      <w:r>
        <w:rPr>
          <w:rFonts w:ascii="Cambria" w:hAnsi="Cambria"/>
          <w:sz w:val="20"/>
          <w:szCs w:val="20"/>
        </w:rPr>
        <w:t>3.</w:t>
      </w:r>
      <w:r>
        <w:rPr>
          <w:rFonts w:ascii="Cambria" w:hAnsi="Cambria"/>
          <w:sz w:val="20"/>
          <w:szCs w:val="20"/>
        </w:rPr>
        <w:tab/>
        <w:t xml:space="preserve">Simon </w:t>
      </w:r>
      <w:proofErr w:type="spellStart"/>
      <w:r>
        <w:rPr>
          <w:rFonts w:ascii="Cambria" w:hAnsi="Cambria"/>
          <w:sz w:val="20"/>
          <w:szCs w:val="20"/>
        </w:rPr>
        <w:t>Makaripe</w:t>
      </w:r>
      <w:proofErr w:type="spellEnd"/>
      <w:r>
        <w:rPr>
          <w:rFonts w:ascii="Cambria" w:hAnsi="Cambria"/>
          <w:sz w:val="20"/>
          <w:szCs w:val="20"/>
        </w:rPr>
        <w:t xml:space="preserve"> requested for the vehicle and fuel for business use.  The company Secretary authorised the fuel to fill up the vehicle Reg</w:t>
      </w:r>
      <w:r w:rsidR="00DB538F">
        <w:rPr>
          <w:rFonts w:ascii="Cambria" w:hAnsi="Cambria"/>
          <w:sz w:val="20"/>
          <w:szCs w:val="20"/>
        </w:rPr>
        <w:t xml:space="preserve">. No. AAG 0341 with petrol on 7 August </w:t>
      </w:r>
      <w:r>
        <w:rPr>
          <w:rFonts w:ascii="Cambria" w:hAnsi="Cambria"/>
          <w:sz w:val="20"/>
          <w:szCs w:val="20"/>
        </w:rPr>
        <w:t>2015.  Use of vehicle for business purposes was authorised by the financial accountant.</w:t>
      </w:r>
    </w:p>
    <w:p w:rsidR="00A90BFF" w:rsidRDefault="00A90BFF" w:rsidP="00A90BFF">
      <w:pPr>
        <w:spacing w:after="0" w:line="240" w:lineRule="auto"/>
        <w:ind w:left="2160" w:hanging="720"/>
        <w:jc w:val="both"/>
        <w:rPr>
          <w:rFonts w:ascii="Cambria" w:hAnsi="Cambria"/>
          <w:sz w:val="20"/>
          <w:szCs w:val="20"/>
        </w:rPr>
      </w:pPr>
      <w:r>
        <w:rPr>
          <w:rFonts w:ascii="Cambria" w:hAnsi="Cambria"/>
          <w:sz w:val="20"/>
          <w:szCs w:val="20"/>
        </w:rPr>
        <w:t>4.</w:t>
      </w:r>
      <w:r>
        <w:rPr>
          <w:rFonts w:ascii="Cambria" w:hAnsi="Cambria"/>
          <w:sz w:val="20"/>
          <w:szCs w:val="20"/>
        </w:rPr>
        <w:tab/>
        <w:t xml:space="preserve">Simon </w:t>
      </w:r>
      <w:proofErr w:type="spellStart"/>
      <w:r>
        <w:rPr>
          <w:rFonts w:ascii="Cambria" w:hAnsi="Cambria"/>
          <w:sz w:val="20"/>
          <w:szCs w:val="20"/>
        </w:rPr>
        <w:t>Makaripe</w:t>
      </w:r>
      <w:proofErr w:type="spellEnd"/>
      <w:r>
        <w:rPr>
          <w:rFonts w:ascii="Cambria" w:hAnsi="Cambria"/>
          <w:sz w:val="20"/>
          <w:szCs w:val="20"/>
        </w:rPr>
        <w:t xml:space="preserve"> is not empowered to authorise dispensing of fuel from the storage tanks.</w:t>
      </w:r>
    </w:p>
    <w:p w:rsidR="00A90BFF" w:rsidRDefault="00A90BFF" w:rsidP="00A90BFF">
      <w:pPr>
        <w:spacing w:after="0" w:line="240" w:lineRule="auto"/>
        <w:ind w:left="2160" w:hanging="720"/>
        <w:jc w:val="both"/>
        <w:rPr>
          <w:rFonts w:ascii="Cambria" w:hAnsi="Cambria"/>
          <w:sz w:val="20"/>
          <w:szCs w:val="20"/>
        </w:rPr>
      </w:pPr>
      <w:r>
        <w:rPr>
          <w:rFonts w:ascii="Cambria" w:hAnsi="Cambria"/>
          <w:sz w:val="20"/>
          <w:szCs w:val="20"/>
        </w:rPr>
        <w:t>5.</w:t>
      </w:r>
      <w:r>
        <w:rPr>
          <w:rFonts w:ascii="Cambria" w:hAnsi="Cambria"/>
          <w:sz w:val="20"/>
          <w:szCs w:val="20"/>
        </w:rPr>
        <w:tab/>
        <w:t xml:space="preserve">Simon </w:t>
      </w:r>
      <w:proofErr w:type="spellStart"/>
      <w:r>
        <w:rPr>
          <w:rFonts w:ascii="Cambria" w:hAnsi="Cambria"/>
          <w:sz w:val="20"/>
          <w:szCs w:val="20"/>
        </w:rPr>
        <w:t>Makaripe</w:t>
      </w:r>
      <w:proofErr w:type="spellEnd"/>
      <w:r>
        <w:rPr>
          <w:rFonts w:ascii="Cambria" w:hAnsi="Cambria"/>
          <w:sz w:val="20"/>
          <w:szCs w:val="20"/>
        </w:rPr>
        <w:t xml:space="preserve"> did not request for additional fuel in containers from those empowered to authorize fuel dispensing and so obtained no such authority.</w:t>
      </w:r>
    </w:p>
    <w:p w:rsidR="00A90BFF" w:rsidRDefault="00A90BFF" w:rsidP="00A90BFF">
      <w:pPr>
        <w:spacing w:after="0" w:line="240" w:lineRule="auto"/>
        <w:ind w:left="2160" w:hanging="720"/>
        <w:jc w:val="both"/>
        <w:rPr>
          <w:rFonts w:ascii="Cambria" w:hAnsi="Cambria"/>
          <w:sz w:val="20"/>
          <w:szCs w:val="20"/>
        </w:rPr>
      </w:pPr>
      <w:r>
        <w:rPr>
          <w:rFonts w:ascii="Cambria" w:hAnsi="Cambria"/>
          <w:sz w:val="20"/>
          <w:szCs w:val="20"/>
        </w:rPr>
        <w:t>6.</w:t>
      </w:r>
      <w:r>
        <w:rPr>
          <w:rFonts w:ascii="Cambria" w:hAnsi="Cambria"/>
          <w:sz w:val="20"/>
          <w:szCs w:val="20"/>
        </w:rPr>
        <w:tab/>
        <w:t xml:space="preserve">Simon </w:t>
      </w:r>
      <w:proofErr w:type="spellStart"/>
      <w:r>
        <w:rPr>
          <w:rFonts w:ascii="Cambria" w:hAnsi="Cambria"/>
          <w:sz w:val="20"/>
          <w:szCs w:val="20"/>
        </w:rPr>
        <w:t>Makaripe</w:t>
      </w:r>
      <w:proofErr w:type="spellEnd"/>
      <w:r>
        <w:rPr>
          <w:rFonts w:ascii="Cambria" w:hAnsi="Cambria"/>
          <w:sz w:val="20"/>
          <w:szCs w:val="20"/>
        </w:rPr>
        <w:t xml:space="preserve"> proceeded to instruct the fuel attendant (fuel assistant reports directly to Simon </w:t>
      </w:r>
      <w:proofErr w:type="spellStart"/>
      <w:r>
        <w:rPr>
          <w:rFonts w:ascii="Cambria" w:hAnsi="Cambria"/>
          <w:sz w:val="20"/>
          <w:szCs w:val="20"/>
        </w:rPr>
        <w:t>Makaripe</w:t>
      </w:r>
      <w:proofErr w:type="spellEnd"/>
      <w:r>
        <w:rPr>
          <w:rFonts w:ascii="Cambria" w:hAnsi="Cambria"/>
          <w:sz w:val="20"/>
          <w:szCs w:val="20"/>
        </w:rPr>
        <w:t>) to issue him with fuel in two (2) containers.  Simon signed for</w:t>
      </w:r>
      <w:r w:rsidR="001E349F">
        <w:rPr>
          <w:rFonts w:ascii="Cambria" w:hAnsi="Cambria"/>
          <w:sz w:val="20"/>
          <w:szCs w:val="20"/>
        </w:rPr>
        <w:t xml:space="preserve"> receipt of 92 litres of petrol, including amount in containers for which no authority was obtained.  </w:t>
      </w:r>
    </w:p>
    <w:p w:rsidR="001E349F" w:rsidRDefault="00DB538F" w:rsidP="00A90BFF">
      <w:pPr>
        <w:spacing w:after="0" w:line="240" w:lineRule="auto"/>
        <w:ind w:left="2160" w:hanging="720"/>
        <w:jc w:val="both"/>
        <w:rPr>
          <w:rFonts w:ascii="Cambria" w:hAnsi="Cambria"/>
          <w:sz w:val="20"/>
          <w:szCs w:val="20"/>
        </w:rPr>
      </w:pPr>
      <w:r>
        <w:rPr>
          <w:rFonts w:ascii="Cambria" w:hAnsi="Cambria"/>
          <w:sz w:val="20"/>
          <w:szCs w:val="20"/>
        </w:rPr>
        <w:t>7.</w:t>
      </w:r>
      <w:r>
        <w:rPr>
          <w:rFonts w:ascii="Cambria" w:hAnsi="Cambria"/>
          <w:sz w:val="20"/>
          <w:szCs w:val="20"/>
        </w:rPr>
        <w:tab/>
        <w:t>W</w:t>
      </w:r>
      <w:r w:rsidR="001E349F">
        <w:rPr>
          <w:rFonts w:ascii="Cambria" w:hAnsi="Cambria"/>
          <w:sz w:val="20"/>
          <w:szCs w:val="20"/>
        </w:rPr>
        <w:t>ording on the original fuel requisition was altered to include “+containe</w:t>
      </w:r>
      <w:r>
        <w:rPr>
          <w:rFonts w:ascii="Cambria" w:hAnsi="Cambria"/>
          <w:sz w:val="20"/>
          <w:szCs w:val="20"/>
        </w:rPr>
        <w:t>rs” after the company Secretary</w:t>
      </w:r>
      <w:r w:rsidR="001E349F">
        <w:rPr>
          <w:rFonts w:ascii="Cambria" w:hAnsi="Cambria"/>
          <w:sz w:val="20"/>
          <w:szCs w:val="20"/>
        </w:rPr>
        <w:t xml:space="preserve"> had already signed it, which in itself is fraudulent.  </w:t>
      </w:r>
      <w:proofErr w:type="spellStart"/>
      <w:r w:rsidR="001E349F">
        <w:rPr>
          <w:rFonts w:ascii="Cambria" w:hAnsi="Cambria"/>
          <w:sz w:val="20"/>
          <w:szCs w:val="20"/>
        </w:rPr>
        <w:t>Makaripe</w:t>
      </w:r>
      <w:proofErr w:type="spellEnd"/>
      <w:r w:rsidR="001E349F">
        <w:rPr>
          <w:rFonts w:ascii="Cambria" w:hAnsi="Cambria"/>
          <w:sz w:val="20"/>
          <w:szCs w:val="20"/>
        </w:rPr>
        <w:t xml:space="preserve"> signed for this.</w:t>
      </w:r>
    </w:p>
    <w:p w:rsidR="001E349F" w:rsidRDefault="001E349F" w:rsidP="00A90BFF">
      <w:pPr>
        <w:spacing w:after="0" w:line="240" w:lineRule="auto"/>
        <w:ind w:left="2160" w:hanging="720"/>
        <w:jc w:val="both"/>
        <w:rPr>
          <w:rFonts w:ascii="Cambria" w:hAnsi="Cambria"/>
          <w:sz w:val="20"/>
          <w:szCs w:val="20"/>
        </w:rPr>
      </w:pPr>
      <w:r>
        <w:rPr>
          <w:rFonts w:ascii="Cambria" w:hAnsi="Cambria"/>
          <w:sz w:val="20"/>
          <w:szCs w:val="20"/>
        </w:rPr>
        <w:t>8.</w:t>
      </w:r>
      <w:r>
        <w:rPr>
          <w:rFonts w:ascii="Cambria" w:hAnsi="Cambria"/>
          <w:sz w:val="20"/>
          <w:szCs w:val="20"/>
        </w:rPr>
        <w:tab/>
        <w:t>The fuel in containers was removed without due authorization.</w:t>
      </w:r>
    </w:p>
    <w:p w:rsidR="001E349F" w:rsidRDefault="001E349F" w:rsidP="00A90BFF">
      <w:pPr>
        <w:spacing w:after="0" w:line="240" w:lineRule="auto"/>
        <w:ind w:left="2160" w:hanging="720"/>
        <w:jc w:val="both"/>
        <w:rPr>
          <w:rFonts w:ascii="Cambria" w:hAnsi="Cambria"/>
          <w:sz w:val="20"/>
          <w:szCs w:val="20"/>
        </w:rPr>
      </w:pPr>
      <w:r>
        <w:rPr>
          <w:rFonts w:ascii="Cambria" w:hAnsi="Cambria"/>
          <w:sz w:val="20"/>
          <w:szCs w:val="20"/>
        </w:rPr>
        <w:t>9.</w:t>
      </w:r>
      <w:r>
        <w:rPr>
          <w:rFonts w:ascii="Cambria" w:hAnsi="Cambria"/>
          <w:sz w:val="20"/>
          <w:szCs w:val="20"/>
        </w:rPr>
        <w:tab/>
        <w:t>During the hearing proceedings, the accused stated that the fuel in the vehicle fuel tank was enough for his use for him travelling for business only (from home to work).</w:t>
      </w:r>
    </w:p>
    <w:p w:rsidR="001E349F" w:rsidRDefault="001E349F" w:rsidP="001E349F">
      <w:pPr>
        <w:spacing w:after="0" w:line="240" w:lineRule="auto"/>
        <w:ind w:left="2160" w:hanging="720"/>
        <w:jc w:val="both"/>
        <w:rPr>
          <w:rFonts w:ascii="Cambria" w:hAnsi="Cambria"/>
          <w:sz w:val="20"/>
          <w:szCs w:val="20"/>
        </w:rPr>
      </w:pPr>
      <w:r>
        <w:rPr>
          <w:rFonts w:ascii="Cambria" w:hAnsi="Cambria"/>
          <w:sz w:val="20"/>
          <w:szCs w:val="20"/>
        </w:rPr>
        <w:t>10.</w:t>
      </w:r>
      <w:r>
        <w:rPr>
          <w:rFonts w:ascii="Cambria" w:hAnsi="Cambria"/>
          <w:sz w:val="20"/>
          <w:szCs w:val="20"/>
        </w:rPr>
        <w:tab/>
        <w:t>There is no second signature by any authorization signatory on the fuel requisition authorizing fuel in containers.</w:t>
      </w:r>
      <w:r w:rsidR="00256A07">
        <w:rPr>
          <w:rFonts w:ascii="Cambria" w:hAnsi="Cambria"/>
          <w:sz w:val="20"/>
          <w:szCs w:val="20"/>
        </w:rPr>
        <w:t>”</w:t>
      </w:r>
    </w:p>
    <w:p w:rsidR="001E349F" w:rsidRDefault="001E349F" w:rsidP="001E349F">
      <w:pPr>
        <w:spacing w:after="0" w:line="240" w:lineRule="auto"/>
        <w:ind w:left="2160" w:hanging="720"/>
        <w:jc w:val="both"/>
        <w:rPr>
          <w:rFonts w:ascii="Cambria" w:hAnsi="Cambria"/>
          <w:sz w:val="20"/>
          <w:szCs w:val="20"/>
        </w:rPr>
      </w:pPr>
    </w:p>
    <w:p w:rsidR="001E349F" w:rsidRPr="00A90BFF" w:rsidRDefault="001E349F" w:rsidP="001E349F">
      <w:pPr>
        <w:spacing w:after="0" w:line="240" w:lineRule="auto"/>
        <w:ind w:left="2160" w:hanging="720"/>
        <w:jc w:val="both"/>
        <w:rPr>
          <w:rFonts w:ascii="Cambria" w:hAnsi="Cambria"/>
          <w:sz w:val="20"/>
          <w:szCs w:val="20"/>
        </w:rPr>
      </w:pPr>
    </w:p>
    <w:p w:rsidR="00466E89" w:rsidRDefault="00466E89" w:rsidP="003C758B">
      <w:pPr>
        <w:spacing w:line="360" w:lineRule="auto"/>
        <w:ind w:firstLine="720"/>
        <w:jc w:val="both"/>
        <w:rPr>
          <w:rFonts w:ascii="Cambria" w:hAnsi="Cambria"/>
          <w:sz w:val="24"/>
          <w:szCs w:val="24"/>
        </w:rPr>
      </w:pPr>
      <w:r w:rsidRPr="003C758B">
        <w:rPr>
          <w:rFonts w:ascii="Cambria" w:hAnsi="Cambria"/>
          <w:sz w:val="24"/>
          <w:szCs w:val="24"/>
        </w:rPr>
        <w:lastRenderedPageBreak/>
        <w:t>It is significant to note that the basic facts are not disputed by the appellant. It seem</w:t>
      </w:r>
      <w:r w:rsidR="00291D9A" w:rsidRPr="003C758B">
        <w:rPr>
          <w:rFonts w:ascii="Cambria" w:hAnsi="Cambria"/>
          <w:sz w:val="24"/>
          <w:szCs w:val="24"/>
        </w:rPr>
        <w:t xml:space="preserve">s to me that the gravamen of </w:t>
      </w:r>
      <w:r w:rsidRPr="003C758B">
        <w:rPr>
          <w:rFonts w:ascii="Cambria" w:hAnsi="Cambria"/>
          <w:sz w:val="24"/>
          <w:szCs w:val="24"/>
        </w:rPr>
        <w:t xml:space="preserve"> his appeal is that, given that he filled in the fuel requisition form, he had no intention whatsoever of concealing his procurement of the extra fuel that was not directly put into the vehicle tank. This is clearly reflected in the following paragraphs from the appellant’s heads of argument:</w:t>
      </w:r>
    </w:p>
    <w:p w:rsidR="001E349F" w:rsidRDefault="001E349F" w:rsidP="001E349F">
      <w:pPr>
        <w:spacing w:line="240" w:lineRule="auto"/>
        <w:ind w:left="1440"/>
        <w:jc w:val="both"/>
        <w:rPr>
          <w:rFonts w:ascii="Cambria" w:hAnsi="Cambria"/>
          <w:sz w:val="20"/>
          <w:szCs w:val="20"/>
        </w:rPr>
      </w:pPr>
      <w:r>
        <w:rPr>
          <w:rFonts w:ascii="Cambria" w:hAnsi="Cambria"/>
          <w:sz w:val="20"/>
          <w:szCs w:val="20"/>
        </w:rPr>
        <w:t>“A appears from the record, the appellant in question had completed the fuel issuance book and also the requisi</w:t>
      </w:r>
      <w:r w:rsidR="00256A07">
        <w:rPr>
          <w:rFonts w:ascii="Cambria" w:hAnsi="Cambria"/>
          <w:sz w:val="20"/>
          <w:szCs w:val="20"/>
        </w:rPr>
        <w:t>tion documents.  Therefore, the</w:t>
      </w:r>
      <w:r>
        <w:rPr>
          <w:rFonts w:ascii="Cambria" w:hAnsi="Cambria"/>
          <w:sz w:val="20"/>
          <w:szCs w:val="20"/>
        </w:rPr>
        <w:t xml:space="preserve"> issue of detection and accountability was well in the picture.”</w:t>
      </w:r>
    </w:p>
    <w:p w:rsidR="00B42DA6" w:rsidRDefault="001E349F" w:rsidP="00B42DA6">
      <w:pPr>
        <w:spacing w:line="240" w:lineRule="auto"/>
        <w:ind w:left="1440"/>
        <w:jc w:val="both"/>
        <w:rPr>
          <w:rFonts w:ascii="Cambria" w:hAnsi="Cambria"/>
          <w:sz w:val="20"/>
          <w:szCs w:val="20"/>
        </w:rPr>
      </w:pPr>
      <w:r>
        <w:rPr>
          <w:rFonts w:ascii="Cambria" w:hAnsi="Cambria"/>
          <w:sz w:val="20"/>
          <w:szCs w:val="20"/>
        </w:rPr>
        <w:t>“In addition, the committee disregarded the evidence not basing on its relevance or lack thereof, but because it was of the view that it would not take the appellant anywhere</w:t>
      </w:r>
      <w:r w:rsidR="00B42DA6">
        <w:rPr>
          <w:rFonts w:ascii="Cambria" w:hAnsi="Cambria"/>
          <w:sz w:val="20"/>
          <w:szCs w:val="20"/>
        </w:rPr>
        <w:t xml:space="preserve">.  It is hat </w:t>
      </w:r>
      <w:r w:rsidR="00B53959">
        <w:rPr>
          <w:rFonts w:ascii="Cambria" w:hAnsi="Cambria"/>
          <w:sz w:val="20"/>
          <w:szCs w:val="20"/>
        </w:rPr>
        <w:t>(sic)</w:t>
      </w:r>
      <w:r w:rsidR="00256A07">
        <w:rPr>
          <w:rFonts w:ascii="Cambria" w:hAnsi="Cambria"/>
          <w:sz w:val="20"/>
          <w:szCs w:val="20"/>
        </w:rPr>
        <w:t xml:space="preserve"> </w:t>
      </w:r>
      <w:r w:rsidR="00B42DA6">
        <w:rPr>
          <w:rFonts w:ascii="Cambria" w:hAnsi="Cambria"/>
          <w:sz w:val="20"/>
          <w:szCs w:val="20"/>
        </w:rPr>
        <w:t xml:space="preserve">finding which was </w:t>
      </w:r>
      <w:r w:rsidR="00B53959">
        <w:rPr>
          <w:rFonts w:ascii="Cambria" w:hAnsi="Cambria"/>
          <w:sz w:val="20"/>
          <w:szCs w:val="20"/>
        </w:rPr>
        <w:t>(sic)</w:t>
      </w:r>
      <w:r w:rsidR="00256A07">
        <w:rPr>
          <w:rFonts w:ascii="Cambria" w:hAnsi="Cambria"/>
          <w:sz w:val="20"/>
          <w:szCs w:val="20"/>
        </w:rPr>
        <w:t xml:space="preserve"> </w:t>
      </w:r>
      <w:r w:rsidR="00B42DA6">
        <w:rPr>
          <w:rFonts w:ascii="Cambria" w:hAnsi="Cambria"/>
          <w:sz w:val="20"/>
          <w:szCs w:val="20"/>
        </w:rPr>
        <w:t>erred and based on misdirection.  It was evidence that highlighted that appellant was well within accountability framework of the employer.”</w:t>
      </w:r>
    </w:p>
    <w:p w:rsidR="00B42DA6" w:rsidRPr="001E349F" w:rsidRDefault="00B42DA6" w:rsidP="00B42DA6">
      <w:pPr>
        <w:spacing w:line="240" w:lineRule="auto"/>
        <w:ind w:left="1440"/>
        <w:jc w:val="both"/>
        <w:rPr>
          <w:rFonts w:ascii="Cambria" w:hAnsi="Cambria"/>
          <w:sz w:val="20"/>
          <w:szCs w:val="20"/>
        </w:rPr>
      </w:pPr>
      <w:r>
        <w:rPr>
          <w:rFonts w:ascii="Cambria" w:hAnsi="Cambria"/>
          <w:sz w:val="20"/>
          <w:szCs w:val="20"/>
        </w:rPr>
        <w:t xml:space="preserve">“It then follows that the appellant’s defence had not been challenged that the appellant had complied with the fuel issuance and also the requisition form, which would ultimately </w:t>
      </w:r>
      <w:r w:rsidR="00256A07">
        <w:rPr>
          <w:rFonts w:ascii="Cambria" w:hAnsi="Cambria"/>
          <w:sz w:val="20"/>
          <w:szCs w:val="20"/>
        </w:rPr>
        <w:t>b</w:t>
      </w:r>
      <w:r>
        <w:rPr>
          <w:rFonts w:ascii="Cambria" w:hAnsi="Cambria"/>
          <w:sz w:val="20"/>
          <w:szCs w:val="20"/>
        </w:rPr>
        <w:t xml:space="preserve">e placed before superiors for auditing. Therefore, the appellant could not have intended to steal as alleged, yet he complied with completing the relevant forms.” </w:t>
      </w:r>
    </w:p>
    <w:p w:rsidR="00466E89" w:rsidRPr="003C758B" w:rsidRDefault="00466E89" w:rsidP="003C758B">
      <w:pPr>
        <w:spacing w:line="360" w:lineRule="auto"/>
        <w:jc w:val="both"/>
        <w:rPr>
          <w:rFonts w:ascii="Cambria" w:hAnsi="Cambria"/>
          <w:sz w:val="24"/>
          <w:szCs w:val="24"/>
        </w:rPr>
      </w:pPr>
    </w:p>
    <w:p w:rsidR="00DE6825" w:rsidRDefault="00466E89" w:rsidP="00B42DA6">
      <w:pPr>
        <w:spacing w:line="360" w:lineRule="auto"/>
        <w:ind w:firstLine="720"/>
        <w:jc w:val="both"/>
        <w:rPr>
          <w:rFonts w:ascii="Cambria" w:hAnsi="Cambria"/>
        </w:rPr>
      </w:pPr>
      <w:r w:rsidRPr="003C758B">
        <w:rPr>
          <w:rFonts w:ascii="Cambria" w:hAnsi="Cambria"/>
          <w:sz w:val="24"/>
          <w:szCs w:val="24"/>
        </w:rPr>
        <w:t>The appellant cont</w:t>
      </w:r>
      <w:r w:rsidR="00DE6825" w:rsidRPr="003C758B">
        <w:rPr>
          <w:rFonts w:ascii="Cambria" w:hAnsi="Cambria"/>
          <w:sz w:val="24"/>
          <w:szCs w:val="24"/>
        </w:rPr>
        <w:t>ended that the most he could have been found guilty of was a</w:t>
      </w:r>
      <w:r w:rsidR="00291D9A" w:rsidRPr="003C758B">
        <w:rPr>
          <w:rFonts w:ascii="Cambria" w:hAnsi="Cambria"/>
          <w:sz w:val="24"/>
          <w:szCs w:val="24"/>
        </w:rPr>
        <w:t xml:space="preserve"> </w:t>
      </w:r>
      <w:r w:rsidR="00DE6825" w:rsidRPr="003C758B">
        <w:rPr>
          <w:rFonts w:ascii="Cambria" w:hAnsi="Cambria"/>
          <w:sz w:val="24"/>
          <w:szCs w:val="24"/>
        </w:rPr>
        <w:t>breach of the procedures relating to the issuing of fuel, not theft.</w:t>
      </w:r>
      <w:r w:rsidR="00291D9A" w:rsidRPr="003C758B">
        <w:rPr>
          <w:rFonts w:ascii="Cambria" w:hAnsi="Cambria"/>
          <w:sz w:val="24"/>
          <w:szCs w:val="24"/>
        </w:rPr>
        <w:t xml:space="preserve"> </w:t>
      </w:r>
      <w:r w:rsidR="00DE6825" w:rsidRPr="003C758B">
        <w:rPr>
          <w:rFonts w:ascii="Cambria" w:hAnsi="Cambria"/>
          <w:sz w:val="24"/>
          <w:szCs w:val="24"/>
        </w:rPr>
        <w:t>The evidence presented simply did not support a</w:t>
      </w:r>
      <w:r w:rsidR="00291D9A" w:rsidRPr="003C758B">
        <w:rPr>
          <w:rFonts w:ascii="Cambria" w:hAnsi="Cambria"/>
          <w:sz w:val="24"/>
          <w:szCs w:val="24"/>
        </w:rPr>
        <w:t xml:space="preserve"> </w:t>
      </w:r>
      <w:r w:rsidR="00DE6825" w:rsidRPr="003C758B">
        <w:rPr>
          <w:rFonts w:ascii="Cambria" w:hAnsi="Cambria"/>
          <w:sz w:val="24"/>
          <w:szCs w:val="24"/>
        </w:rPr>
        <w:t>charge of theft,</w:t>
      </w:r>
      <w:r w:rsidR="00291D9A" w:rsidRPr="003C758B">
        <w:rPr>
          <w:rFonts w:ascii="Cambria" w:hAnsi="Cambria"/>
          <w:sz w:val="24"/>
          <w:szCs w:val="24"/>
        </w:rPr>
        <w:t xml:space="preserve"> </w:t>
      </w:r>
      <w:r w:rsidR="00DE6825" w:rsidRPr="003C758B">
        <w:rPr>
          <w:rFonts w:ascii="Cambria" w:hAnsi="Cambria"/>
          <w:sz w:val="24"/>
          <w:szCs w:val="24"/>
        </w:rPr>
        <w:t xml:space="preserve">he argued. The appellant referred the court to the case of </w:t>
      </w:r>
      <w:r w:rsidR="00B42DA6" w:rsidRPr="00B42DA6">
        <w:rPr>
          <w:rFonts w:ascii="Cambria" w:hAnsi="Cambria"/>
          <w:i/>
          <w:sz w:val="24"/>
          <w:szCs w:val="24"/>
        </w:rPr>
        <w:t>Astra Paints</w:t>
      </w:r>
      <w:r w:rsidR="00B42DA6">
        <w:rPr>
          <w:rFonts w:ascii="Cambria" w:hAnsi="Cambria"/>
          <w:sz w:val="24"/>
          <w:szCs w:val="24"/>
        </w:rPr>
        <w:t xml:space="preserve"> v </w:t>
      </w:r>
      <w:proofErr w:type="spellStart"/>
      <w:r w:rsidR="00B42DA6" w:rsidRPr="00B42DA6">
        <w:rPr>
          <w:rFonts w:ascii="Cambria" w:hAnsi="Cambria"/>
          <w:i/>
          <w:sz w:val="24"/>
          <w:szCs w:val="24"/>
        </w:rPr>
        <w:t>Chamburuka</w:t>
      </w:r>
      <w:proofErr w:type="spellEnd"/>
      <w:r w:rsidR="00B42DA6">
        <w:rPr>
          <w:rFonts w:ascii="Cambria" w:hAnsi="Cambria"/>
          <w:sz w:val="24"/>
          <w:szCs w:val="24"/>
        </w:rPr>
        <w:t xml:space="preserve">, SC 27/13; particular reference was made to </w:t>
      </w:r>
      <w:r w:rsidR="00DE6825" w:rsidRPr="00B42DA6">
        <w:rPr>
          <w:rFonts w:ascii="Cambria" w:hAnsi="Cambria"/>
        </w:rPr>
        <w:t>OMERJEE JA</w:t>
      </w:r>
      <w:r w:rsidR="007614CF">
        <w:rPr>
          <w:rFonts w:ascii="Cambria" w:hAnsi="Cambria"/>
        </w:rPr>
        <w:t>’</w:t>
      </w:r>
      <w:r w:rsidR="00B42DA6">
        <w:rPr>
          <w:rFonts w:ascii="Cambria" w:hAnsi="Cambria"/>
        </w:rPr>
        <w:t>s remarks that:</w:t>
      </w:r>
    </w:p>
    <w:p w:rsidR="00B42DA6" w:rsidRDefault="00B42DA6" w:rsidP="007614CF">
      <w:pPr>
        <w:spacing w:line="240" w:lineRule="auto"/>
        <w:ind w:left="1440"/>
        <w:jc w:val="both"/>
        <w:rPr>
          <w:rFonts w:ascii="Cambria" w:hAnsi="Cambria"/>
          <w:sz w:val="20"/>
          <w:szCs w:val="20"/>
        </w:rPr>
      </w:pPr>
      <w:r>
        <w:rPr>
          <w:rFonts w:ascii="Cambria" w:hAnsi="Cambria"/>
          <w:sz w:val="20"/>
          <w:szCs w:val="20"/>
        </w:rPr>
        <w:t xml:space="preserve">“It is worth to note that theft has essential elements which have to be proved in order for a determination of the same to stick.  Therefore, as was noted in the </w:t>
      </w:r>
      <w:r>
        <w:rPr>
          <w:rFonts w:ascii="Cambria" w:hAnsi="Cambria"/>
          <w:i/>
          <w:sz w:val="20"/>
          <w:szCs w:val="20"/>
        </w:rPr>
        <w:t xml:space="preserve">Astra Paints </w:t>
      </w:r>
      <w:r>
        <w:rPr>
          <w:rFonts w:ascii="Cambria" w:hAnsi="Cambria"/>
          <w:sz w:val="20"/>
          <w:szCs w:val="20"/>
        </w:rPr>
        <w:t xml:space="preserve">v </w:t>
      </w:r>
      <w:proofErr w:type="spellStart"/>
      <w:r>
        <w:rPr>
          <w:rFonts w:ascii="Cambria" w:hAnsi="Cambria"/>
          <w:i/>
          <w:sz w:val="20"/>
          <w:szCs w:val="20"/>
        </w:rPr>
        <w:t>Chamburuka</w:t>
      </w:r>
      <w:proofErr w:type="spellEnd"/>
      <w:r>
        <w:rPr>
          <w:rFonts w:ascii="Cambria" w:hAnsi="Cambria"/>
          <w:i/>
          <w:sz w:val="20"/>
          <w:szCs w:val="20"/>
        </w:rPr>
        <w:t xml:space="preserve"> </w:t>
      </w:r>
      <w:r w:rsidR="00353752">
        <w:rPr>
          <w:rFonts w:ascii="Cambria" w:hAnsi="Cambria"/>
          <w:sz w:val="20"/>
          <w:szCs w:val="20"/>
        </w:rPr>
        <w:t>SC 27/13 wherein</w:t>
      </w:r>
      <w:r w:rsidR="00256A07">
        <w:rPr>
          <w:rFonts w:ascii="Cambria" w:hAnsi="Cambria"/>
          <w:sz w:val="20"/>
          <w:szCs w:val="20"/>
        </w:rPr>
        <w:t xml:space="preserve"> the court held that;</w:t>
      </w:r>
    </w:p>
    <w:p w:rsidR="00353752" w:rsidRDefault="00353752" w:rsidP="007614CF">
      <w:pPr>
        <w:spacing w:line="240" w:lineRule="auto"/>
        <w:ind w:left="1440"/>
        <w:jc w:val="both"/>
        <w:rPr>
          <w:rFonts w:ascii="Cambria" w:hAnsi="Cambria"/>
          <w:sz w:val="20"/>
          <w:szCs w:val="20"/>
        </w:rPr>
      </w:pPr>
      <w:r>
        <w:rPr>
          <w:rFonts w:ascii="Cambria" w:hAnsi="Cambria"/>
          <w:sz w:val="20"/>
          <w:szCs w:val="20"/>
        </w:rPr>
        <w:t>“The position is now settled in our law that in civil proceedings a party who makes a positive allegation</w:t>
      </w:r>
      <w:r w:rsidR="00256A07">
        <w:rPr>
          <w:rFonts w:ascii="Cambria" w:hAnsi="Cambria"/>
          <w:sz w:val="20"/>
          <w:szCs w:val="20"/>
        </w:rPr>
        <w:t xml:space="preserve"> bears the burden to prove such allegation.  This position</w:t>
      </w:r>
      <w:r>
        <w:rPr>
          <w:rFonts w:ascii="Cambria" w:hAnsi="Cambria"/>
          <w:sz w:val="20"/>
          <w:szCs w:val="20"/>
        </w:rPr>
        <w:t xml:space="preserve"> has been affirmed by this court.  In </w:t>
      </w:r>
      <w:r>
        <w:rPr>
          <w:rFonts w:ascii="Cambria" w:hAnsi="Cambria"/>
          <w:i/>
          <w:sz w:val="20"/>
          <w:szCs w:val="20"/>
        </w:rPr>
        <w:t xml:space="preserve">Book </w:t>
      </w:r>
      <w:r>
        <w:rPr>
          <w:rFonts w:ascii="Cambria" w:hAnsi="Cambria"/>
          <w:sz w:val="20"/>
          <w:szCs w:val="20"/>
        </w:rPr>
        <w:t xml:space="preserve">v </w:t>
      </w:r>
      <w:r>
        <w:rPr>
          <w:rFonts w:ascii="Cambria" w:hAnsi="Cambria"/>
          <w:i/>
          <w:sz w:val="20"/>
          <w:szCs w:val="20"/>
        </w:rPr>
        <w:t xml:space="preserve">Davison </w:t>
      </w:r>
      <w:r>
        <w:rPr>
          <w:rFonts w:ascii="Cambria" w:hAnsi="Cambria"/>
          <w:sz w:val="20"/>
          <w:szCs w:val="20"/>
        </w:rPr>
        <w:t xml:space="preserve">1988 (1) ZLR 365 (S) at 384 B-F, </w:t>
      </w:r>
      <w:r>
        <w:rPr>
          <w:rFonts w:ascii="Cambria" w:hAnsi="Cambria"/>
          <w:sz w:val="16"/>
          <w:szCs w:val="16"/>
        </w:rPr>
        <w:t xml:space="preserve">DUMBUTSHENA CJ </w:t>
      </w:r>
      <w:r>
        <w:rPr>
          <w:rFonts w:ascii="Cambria" w:hAnsi="Cambria"/>
          <w:sz w:val="20"/>
          <w:szCs w:val="20"/>
        </w:rPr>
        <w:t xml:space="preserve"> quoted with approval the words of </w:t>
      </w:r>
      <w:r>
        <w:rPr>
          <w:rFonts w:ascii="Cambria" w:hAnsi="Cambria"/>
          <w:sz w:val="18"/>
          <w:szCs w:val="18"/>
        </w:rPr>
        <w:t xml:space="preserve">POTGIETER AJA </w:t>
      </w:r>
      <w:r>
        <w:rPr>
          <w:rFonts w:ascii="Cambria" w:hAnsi="Cambria"/>
          <w:sz w:val="20"/>
          <w:szCs w:val="20"/>
        </w:rPr>
        <w:t xml:space="preserve"> in </w:t>
      </w:r>
      <w:r>
        <w:rPr>
          <w:rFonts w:ascii="Cambria" w:hAnsi="Cambria"/>
          <w:i/>
          <w:sz w:val="20"/>
          <w:szCs w:val="20"/>
        </w:rPr>
        <w:t xml:space="preserve">Mobil Oil Southern Africa (Pvt) Ltd </w:t>
      </w:r>
      <w:r>
        <w:rPr>
          <w:rFonts w:ascii="Cambria" w:hAnsi="Cambria"/>
          <w:sz w:val="20"/>
          <w:szCs w:val="20"/>
        </w:rPr>
        <w:t xml:space="preserve">v </w:t>
      </w:r>
      <w:proofErr w:type="spellStart"/>
      <w:r>
        <w:rPr>
          <w:rFonts w:ascii="Cambria" w:hAnsi="Cambria"/>
          <w:i/>
          <w:sz w:val="20"/>
          <w:szCs w:val="20"/>
        </w:rPr>
        <w:t>Mechin</w:t>
      </w:r>
      <w:proofErr w:type="spellEnd"/>
      <w:r>
        <w:rPr>
          <w:rFonts w:ascii="Cambria" w:hAnsi="Cambria"/>
          <w:i/>
          <w:sz w:val="20"/>
          <w:szCs w:val="20"/>
        </w:rPr>
        <w:t xml:space="preserve"> </w:t>
      </w:r>
      <w:r>
        <w:rPr>
          <w:rFonts w:ascii="Cambria" w:hAnsi="Cambria"/>
          <w:sz w:val="20"/>
          <w:szCs w:val="20"/>
        </w:rPr>
        <w:t>1965 (2) SA 706 D at 711 E-G:</w:t>
      </w:r>
    </w:p>
    <w:p w:rsidR="00353752" w:rsidRDefault="00256A07" w:rsidP="007614CF">
      <w:pPr>
        <w:spacing w:line="240" w:lineRule="auto"/>
        <w:ind w:left="1440"/>
        <w:jc w:val="both"/>
        <w:rPr>
          <w:rFonts w:ascii="Cambria" w:hAnsi="Cambria"/>
          <w:sz w:val="20"/>
          <w:szCs w:val="20"/>
        </w:rPr>
      </w:pPr>
      <w:r>
        <w:rPr>
          <w:rFonts w:ascii="Cambria" w:hAnsi="Cambria"/>
          <w:sz w:val="20"/>
          <w:szCs w:val="20"/>
        </w:rPr>
        <w:t>“The general principle</w:t>
      </w:r>
      <w:r w:rsidR="00353752">
        <w:rPr>
          <w:rFonts w:ascii="Cambria" w:hAnsi="Cambria"/>
          <w:sz w:val="20"/>
          <w:szCs w:val="20"/>
        </w:rPr>
        <w:t xml:space="preserve"> governing the determination of the incidence o</w:t>
      </w:r>
      <w:r w:rsidR="007614CF">
        <w:rPr>
          <w:rFonts w:ascii="Cambria" w:hAnsi="Cambria"/>
          <w:sz w:val="20"/>
          <w:szCs w:val="20"/>
        </w:rPr>
        <w:t>f the onus is the one stated in</w:t>
      </w:r>
      <w:r w:rsidR="00353752">
        <w:rPr>
          <w:rFonts w:ascii="Cambria" w:hAnsi="Cambria"/>
          <w:sz w:val="20"/>
          <w:szCs w:val="20"/>
        </w:rPr>
        <w:t xml:space="preserve"> the </w:t>
      </w:r>
      <w:r w:rsidR="00353752">
        <w:rPr>
          <w:rFonts w:ascii="Cambria" w:hAnsi="Cambria"/>
          <w:i/>
          <w:sz w:val="20"/>
          <w:szCs w:val="20"/>
        </w:rPr>
        <w:t xml:space="preserve">Corpus </w:t>
      </w:r>
      <w:proofErr w:type="spellStart"/>
      <w:r w:rsidR="00353752">
        <w:rPr>
          <w:rFonts w:ascii="Cambria" w:hAnsi="Cambria"/>
          <w:i/>
          <w:sz w:val="20"/>
          <w:szCs w:val="20"/>
        </w:rPr>
        <w:t>luris</w:t>
      </w:r>
      <w:proofErr w:type="spellEnd"/>
      <w:r w:rsidR="00353752">
        <w:rPr>
          <w:rFonts w:ascii="Cambria" w:hAnsi="Cambria"/>
          <w:i/>
          <w:sz w:val="20"/>
          <w:szCs w:val="20"/>
        </w:rPr>
        <w:t xml:space="preserve"> simper </w:t>
      </w:r>
      <w:proofErr w:type="spellStart"/>
      <w:r w:rsidR="00353752">
        <w:rPr>
          <w:rFonts w:ascii="Cambria" w:hAnsi="Cambria"/>
          <w:i/>
          <w:sz w:val="20"/>
          <w:szCs w:val="20"/>
        </w:rPr>
        <w:t>necessitasprobandiincumbitili</w:t>
      </w:r>
      <w:proofErr w:type="spellEnd"/>
      <w:r w:rsidR="00353752">
        <w:rPr>
          <w:rFonts w:ascii="Cambria" w:hAnsi="Cambria"/>
          <w:i/>
          <w:sz w:val="20"/>
          <w:szCs w:val="20"/>
        </w:rPr>
        <w:t xml:space="preserve"> qui </w:t>
      </w:r>
      <w:proofErr w:type="spellStart"/>
      <w:r w:rsidR="00353752">
        <w:rPr>
          <w:rFonts w:ascii="Cambria" w:hAnsi="Cambria"/>
          <w:i/>
          <w:sz w:val="20"/>
          <w:szCs w:val="20"/>
        </w:rPr>
        <w:t>agit</w:t>
      </w:r>
      <w:proofErr w:type="spellEnd"/>
      <w:r w:rsidR="00353752" w:rsidRPr="00353752">
        <w:rPr>
          <w:rFonts w:ascii="Cambria" w:hAnsi="Cambria"/>
          <w:sz w:val="20"/>
          <w:szCs w:val="20"/>
        </w:rPr>
        <w:t>.  In other words he who seeks a remedy must prove the grounds therefore.”</w:t>
      </w:r>
    </w:p>
    <w:p w:rsidR="00875778" w:rsidRPr="00353752" w:rsidRDefault="00875778" w:rsidP="007614CF">
      <w:pPr>
        <w:spacing w:line="240" w:lineRule="auto"/>
        <w:ind w:left="1440"/>
        <w:jc w:val="both"/>
        <w:rPr>
          <w:rFonts w:ascii="Cambria" w:hAnsi="Cambria"/>
          <w:sz w:val="20"/>
          <w:szCs w:val="20"/>
        </w:rPr>
      </w:pPr>
    </w:p>
    <w:p w:rsidR="00DE6825" w:rsidRPr="003C758B" w:rsidRDefault="00DE6825" w:rsidP="003C758B">
      <w:pPr>
        <w:spacing w:line="360" w:lineRule="auto"/>
        <w:ind w:firstLine="720"/>
        <w:jc w:val="both"/>
        <w:rPr>
          <w:rFonts w:ascii="Cambria" w:hAnsi="Cambria"/>
          <w:sz w:val="24"/>
          <w:szCs w:val="24"/>
        </w:rPr>
      </w:pPr>
      <w:r w:rsidRPr="003C758B">
        <w:rPr>
          <w:rFonts w:ascii="Cambria" w:hAnsi="Cambria"/>
          <w:sz w:val="24"/>
          <w:szCs w:val="24"/>
        </w:rPr>
        <w:t>The appellant’s case is hinged on the averment that the respondent did not prove intention to steal. It failed to discharge the onus of proof on that essential element of the offence alleged.</w:t>
      </w:r>
    </w:p>
    <w:p w:rsidR="00891683" w:rsidRPr="003C758B" w:rsidRDefault="00DE6825" w:rsidP="003C758B">
      <w:pPr>
        <w:spacing w:line="360" w:lineRule="auto"/>
        <w:ind w:firstLine="720"/>
        <w:jc w:val="both"/>
        <w:rPr>
          <w:rFonts w:ascii="Cambria" w:hAnsi="Cambria"/>
          <w:sz w:val="24"/>
          <w:szCs w:val="24"/>
        </w:rPr>
      </w:pPr>
      <w:r w:rsidRPr="003C758B">
        <w:rPr>
          <w:rFonts w:ascii="Cambria" w:hAnsi="Cambria"/>
          <w:sz w:val="24"/>
          <w:szCs w:val="24"/>
        </w:rPr>
        <w:t xml:space="preserve">In my view, the facts established do not </w:t>
      </w:r>
      <w:r w:rsidR="00891683" w:rsidRPr="003C758B">
        <w:rPr>
          <w:rFonts w:ascii="Cambria" w:hAnsi="Cambria"/>
          <w:sz w:val="24"/>
          <w:szCs w:val="24"/>
        </w:rPr>
        <w:t xml:space="preserve">support the appellant’s averment. Intention to steal, almost invariably, is inferred from the circumstances of the case, </w:t>
      </w:r>
      <w:r w:rsidR="00891683" w:rsidRPr="003C758B">
        <w:rPr>
          <w:rFonts w:ascii="Cambria" w:hAnsi="Cambria"/>
          <w:sz w:val="24"/>
          <w:szCs w:val="24"/>
        </w:rPr>
        <w:lastRenderedPageBreak/>
        <w:t xml:space="preserve">unless the perpetrator of the theft clearly admits formulating such an intention. The ease </w:t>
      </w:r>
      <w:proofErr w:type="gramStart"/>
      <w:r w:rsidR="00891683" w:rsidRPr="003C758B">
        <w:rPr>
          <w:rFonts w:ascii="Cambria" w:hAnsi="Cambria"/>
          <w:sz w:val="24"/>
          <w:szCs w:val="24"/>
        </w:rPr>
        <w:t>with  which</w:t>
      </w:r>
      <w:proofErr w:type="gramEnd"/>
      <w:r w:rsidR="00891683" w:rsidRPr="003C758B">
        <w:rPr>
          <w:rFonts w:ascii="Cambria" w:hAnsi="Cambria"/>
          <w:sz w:val="24"/>
          <w:szCs w:val="24"/>
        </w:rPr>
        <w:t xml:space="preserve"> such an inference is made will of course depend on the circumstances of each case.</w:t>
      </w:r>
    </w:p>
    <w:p w:rsidR="009255B3" w:rsidRDefault="00891683" w:rsidP="003C758B">
      <w:pPr>
        <w:spacing w:line="360" w:lineRule="auto"/>
        <w:ind w:firstLine="720"/>
        <w:jc w:val="both"/>
        <w:rPr>
          <w:rFonts w:ascii="Cambria" w:hAnsi="Cambria"/>
          <w:sz w:val="24"/>
          <w:szCs w:val="24"/>
        </w:rPr>
      </w:pPr>
      <w:r w:rsidRPr="0085318F">
        <w:rPr>
          <w:rFonts w:ascii="Cambria" w:hAnsi="Cambria"/>
          <w:i/>
          <w:sz w:val="24"/>
          <w:szCs w:val="24"/>
        </w:rPr>
        <w:t xml:space="preserve">In </w:t>
      </w:r>
      <w:proofErr w:type="spellStart"/>
      <w:r w:rsidRPr="0085318F">
        <w:rPr>
          <w:rFonts w:ascii="Cambria" w:hAnsi="Cambria"/>
          <w:i/>
          <w:sz w:val="24"/>
          <w:szCs w:val="24"/>
        </w:rPr>
        <w:t>casu</w:t>
      </w:r>
      <w:proofErr w:type="spellEnd"/>
      <w:r w:rsidRPr="003C758B">
        <w:rPr>
          <w:rFonts w:ascii="Cambria" w:hAnsi="Cambria"/>
          <w:sz w:val="24"/>
          <w:szCs w:val="24"/>
        </w:rPr>
        <w:t>, the allegations of theft relate to the extra fu</w:t>
      </w:r>
      <w:r w:rsidR="00344EE0" w:rsidRPr="003C758B">
        <w:rPr>
          <w:rFonts w:ascii="Cambria" w:hAnsi="Cambria"/>
          <w:sz w:val="24"/>
          <w:szCs w:val="24"/>
        </w:rPr>
        <w:t>el that was put in containers. T</w:t>
      </w:r>
      <w:r w:rsidRPr="003C758B">
        <w:rPr>
          <w:rFonts w:ascii="Cambria" w:hAnsi="Cambria"/>
          <w:sz w:val="24"/>
          <w:szCs w:val="24"/>
        </w:rPr>
        <w:t>here was no authorisation for that. This much is not in dispute.</w:t>
      </w:r>
      <w:r w:rsidR="0085318F">
        <w:rPr>
          <w:rFonts w:ascii="Cambria" w:hAnsi="Cambria"/>
          <w:sz w:val="24"/>
          <w:szCs w:val="24"/>
        </w:rPr>
        <w:t xml:space="preserve">  </w:t>
      </w:r>
      <w:r w:rsidRPr="003C758B">
        <w:rPr>
          <w:rFonts w:ascii="Cambria" w:hAnsi="Cambria"/>
          <w:sz w:val="24"/>
          <w:szCs w:val="24"/>
        </w:rPr>
        <w:t>The endorse</w:t>
      </w:r>
      <w:r w:rsidR="007614CF">
        <w:rPr>
          <w:rFonts w:ascii="Cambria" w:hAnsi="Cambria"/>
          <w:sz w:val="24"/>
          <w:szCs w:val="24"/>
        </w:rPr>
        <w:t xml:space="preserve">ment on the requisition slip </w:t>
      </w:r>
      <w:r w:rsidR="0085318F">
        <w:rPr>
          <w:rFonts w:ascii="Cambria" w:hAnsi="Cambria"/>
          <w:sz w:val="24"/>
          <w:szCs w:val="24"/>
        </w:rPr>
        <w:t>“</w:t>
      </w:r>
      <w:r w:rsidRPr="003C758B">
        <w:rPr>
          <w:rFonts w:ascii="Cambria" w:hAnsi="Cambria"/>
          <w:sz w:val="24"/>
          <w:szCs w:val="24"/>
        </w:rPr>
        <w:t>+ containers</w:t>
      </w:r>
      <w:proofErr w:type="gramStart"/>
      <w:r w:rsidR="009255B3" w:rsidRPr="003C758B">
        <w:rPr>
          <w:rFonts w:ascii="Cambria" w:hAnsi="Cambria"/>
          <w:sz w:val="24"/>
          <w:szCs w:val="24"/>
        </w:rPr>
        <w:t>”  was</w:t>
      </w:r>
      <w:proofErr w:type="gramEnd"/>
      <w:r w:rsidR="009255B3" w:rsidRPr="003C758B">
        <w:rPr>
          <w:rFonts w:ascii="Cambria" w:hAnsi="Cambria"/>
          <w:sz w:val="24"/>
          <w:szCs w:val="24"/>
        </w:rPr>
        <w:t xml:space="preserve"> done after authority to obtain fuel for the vehicle tank had been obtained. The other fuel required its own authorisation. This was not sought. In this respect, the following findings by the Appeals Committee are pertinent;</w:t>
      </w:r>
    </w:p>
    <w:p w:rsidR="00353752" w:rsidRPr="0085318F" w:rsidRDefault="00353752" w:rsidP="007614CF">
      <w:pPr>
        <w:spacing w:after="0" w:line="240" w:lineRule="auto"/>
        <w:ind w:left="1440"/>
        <w:jc w:val="both"/>
        <w:rPr>
          <w:rFonts w:ascii="Cambria" w:hAnsi="Cambria"/>
          <w:sz w:val="20"/>
          <w:szCs w:val="20"/>
        </w:rPr>
      </w:pPr>
      <w:r w:rsidRPr="0085318F">
        <w:rPr>
          <w:rFonts w:ascii="Cambria" w:hAnsi="Cambria"/>
          <w:sz w:val="20"/>
          <w:szCs w:val="20"/>
        </w:rPr>
        <w:t>“</w:t>
      </w:r>
      <w:r w:rsidR="0085318F" w:rsidRPr="0085318F">
        <w:rPr>
          <w:rFonts w:ascii="Cambria" w:hAnsi="Cambria"/>
          <w:sz w:val="20"/>
          <w:szCs w:val="20"/>
        </w:rPr>
        <w:t xml:space="preserve">S </w:t>
      </w:r>
      <w:proofErr w:type="spellStart"/>
      <w:r w:rsidR="0085318F" w:rsidRPr="0085318F">
        <w:rPr>
          <w:rFonts w:ascii="Cambria" w:hAnsi="Cambria"/>
          <w:sz w:val="20"/>
          <w:szCs w:val="20"/>
        </w:rPr>
        <w:t>Makaripe</w:t>
      </w:r>
      <w:proofErr w:type="spellEnd"/>
      <w:r w:rsidR="0085318F" w:rsidRPr="0085318F">
        <w:rPr>
          <w:rFonts w:ascii="Cambria" w:hAnsi="Cambria"/>
          <w:sz w:val="20"/>
          <w:szCs w:val="20"/>
        </w:rPr>
        <w:t xml:space="preserve"> is not the one who added on the requisition” +containers”.  It is Liberty who wanted the true picture to be shown of the transaction that had taken place on the withdrawal of 92 litres by appellant.</w:t>
      </w:r>
    </w:p>
    <w:p w:rsidR="0085318F" w:rsidRDefault="0085318F" w:rsidP="007614CF">
      <w:pPr>
        <w:pStyle w:val="ListParagraph"/>
        <w:numPr>
          <w:ilvl w:val="0"/>
          <w:numId w:val="2"/>
        </w:numPr>
        <w:spacing w:after="0" w:line="240" w:lineRule="auto"/>
        <w:jc w:val="both"/>
        <w:rPr>
          <w:rFonts w:ascii="Cambria" w:hAnsi="Cambria"/>
          <w:sz w:val="20"/>
          <w:szCs w:val="20"/>
        </w:rPr>
      </w:pPr>
      <w:r w:rsidRPr="0085318F">
        <w:rPr>
          <w:rFonts w:ascii="Cambria" w:hAnsi="Cambria"/>
          <w:sz w:val="20"/>
          <w:szCs w:val="20"/>
        </w:rPr>
        <w:t>The committee’s finding was that while all fuel withdrawn was recorded anyone auditing fuel issues for that particular</w:t>
      </w:r>
      <w:r w:rsidR="004341BA">
        <w:rPr>
          <w:rFonts w:ascii="Cambria" w:hAnsi="Cambria"/>
          <w:sz w:val="20"/>
          <w:szCs w:val="20"/>
        </w:rPr>
        <w:t xml:space="preserve"> day would not have known that 50 litres of the 92 litres withdrawn was taken in containers and only 42 litres was dispensed directly into the vehicle.  </w:t>
      </w:r>
    </w:p>
    <w:p w:rsidR="004341BA" w:rsidRPr="00256A07" w:rsidRDefault="004341BA" w:rsidP="007614CF">
      <w:pPr>
        <w:pStyle w:val="ListParagraph"/>
        <w:numPr>
          <w:ilvl w:val="0"/>
          <w:numId w:val="2"/>
        </w:numPr>
        <w:spacing w:after="0" w:line="240" w:lineRule="auto"/>
        <w:jc w:val="both"/>
        <w:rPr>
          <w:rFonts w:ascii="Cambria" w:hAnsi="Cambria"/>
          <w:sz w:val="20"/>
          <w:szCs w:val="20"/>
          <w:u w:val="single"/>
        </w:rPr>
      </w:pPr>
      <w:r>
        <w:rPr>
          <w:rFonts w:ascii="Cambria" w:hAnsi="Cambria"/>
          <w:sz w:val="20"/>
          <w:szCs w:val="20"/>
        </w:rPr>
        <w:t xml:space="preserve">It would therefore have required a vigilant person to note that something was amiss.  </w:t>
      </w:r>
      <w:r w:rsidRPr="00256A07">
        <w:rPr>
          <w:rFonts w:ascii="Cambria" w:hAnsi="Cambria"/>
          <w:sz w:val="20"/>
          <w:szCs w:val="20"/>
          <w:u w:val="single"/>
        </w:rPr>
        <w:t>In that fashion appellant had concealed 50 litres withdrawn into containers.</w:t>
      </w:r>
      <w:r w:rsidR="00256A07">
        <w:rPr>
          <w:rFonts w:ascii="Cambria" w:hAnsi="Cambria"/>
          <w:sz w:val="20"/>
          <w:szCs w:val="20"/>
        </w:rPr>
        <w:t xml:space="preserve"> (Underling added)</w:t>
      </w:r>
    </w:p>
    <w:p w:rsidR="00875778" w:rsidRDefault="00875778" w:rsidP="00875778">
      <w:pPr>
        <w:spacing w:after="0" w:line="240" w:lineRule="auto"/>
        <w:jc w:val="both"/>
        <w:rPr>
          <w:rFonts w:ascii="Cambria" w:hAnsi="Cambria"/>
          <w:sz w:val="20"/>
          <w:szCs w:val="20"/>
        </w:rPr>
      </w:pPr>
    </w:p>
    <w:p w:rsidR="00875778" w:rsidRPr="00875778" w:rsidRDefault="00875778" w:rsidP="00875778">
      <w:pPr>
        <w:spacing w:after="0" w:line="240" w:lineRule="auto"/>
        <w:jc w:val="both"/>
        <w:rPr>
          <w:rFonts w:ascii="Cambria" w:hAnsi="Cambria"/>
          <w:sz w:val="20"/>
          <w:szCs w:val="20"/>
        </w:rPr>
      </w:pPr>
    </w:p>
    <w:p w:rsidR="009255B3" w:rsidRDefault="009255B3" w:rsidP="003C758B">
      <w:pPr>
        <w:spacing w:line="360" w:lineRule="auto"/>
        <w:ind w:firstLine="720"/>
        <w:jc w:val="both"/>
        <w:rPr>
          <w:rFonts w:ascii="Cambria" w:hAnsi="Cambria"/>
          <w:sz w:val="24"/>
          <w:szCs w:val="24"/>
        </w:rPr>
      </w:pPr>
      <w:r w:rsidRPr="003C758B">
        <w:rPr>
          <w:rFonts w:ascii="Cambria" w:hAnsi="Cambria"/>
          <w:sz w:val="24"/>
          <w:szCs w:val="24"/>
        </w:rPr>
        <w:t>On the Executive Summary of the Investigation Report, it is recorded as follows;</w:t>
      </w:r>
    </w:p>
    <w:p w:rsidR="004341BA" w:rsidRDefault="004341BA" w:rsidP="004341BA">
      <w:pPr>
        <w:spacing w:line="240" w:lineRule="auto"/>
        <w:ind w:left="2160"/>
        <w:jc w:val="both"/>
        <w:rPr>
          <w:rFonts w:ascii="Cambria" w:hAnsi="Cambria"/>
          <w:sz w:val="18"/>
          <w:szCs w:val="18"/>
        </w:rPr>
      </w:pPr>
      <w:r>
        <w:rPr>
          <w:rFonts w:ascii="Cambria" w:hAnsi="Cambria"/>
          <w:sz w:val="18"/>
          <w:szCs w:val="18"/>
        </w:rPr>
        <w:t xml:space="preserve">“Between 5 August 2015 and 13 August 2015, </w:t>
      </w:r>
      <w:proofErr w:type="spellStart"/>
      <w:r>
        <w:rPr>
          <w:rFonts w:ascii="Cambria" w:hAnsi="Cambria"/>
          <w:sz w:val="18"/>
          <w:szCs w:val="18"/>
        </w:rPr>
        <w:t>Makaripe</w:t>
      </w:r>
      <w:proofErr w:type="spellEnd"/>
      <w:r>
        <w:rPr>
          <w:rFonts w:ascii="Cambria" w:hAnsi="Cambria"/>
          <w:sz w:val="18"/>
          <w:szCs w:val="18"/>
        </w:rPr>
        <w:t xml:space="preserve"> using the Mazda B18 covered a distance of 588 kilometres instead of 128 kilometres he was expected to cover between his residence and workplace leaving 460 kilometres unaccounted for.”</w:t>
      </w:r>
    </w:p>
    <w:p w:rsidR="004341BA" w:rsidRPr="004341BA" w:rsidRDefault="004341BA" w:rsidP="004341BA">
      <w:pPr>
        <w:spacing w:line="240" w:lineRule="auto"/>
        <w:ind w:left="2160"/>
        <w:jc w:val="both"/>
        <w:rPr>
          <w:rFonts w:ascii="Cambria" w:hAnsi="Cambria"/>
          <w:sz w:val="18"/>
          <w:szCs w:val="18"/>
        </w:rPr>
      </w:pPr>
    </w:p>
    <w:p w:rsidR="009255B3" w:rsidRPr="003C758B" w:rsidRDefault="009255B3" w:rsidP="003C758B">
      <w:pPr>
        <w:spacing w:line="360" w:lineRule="auto"/>
        <w:ind w:firstLine="720"/>
        <w:jc w:val="both"/>
        <w:rPr>
          <w:rFonts w:ascii="Cambria" w:hAnsi="Cambria"/>
          <w:sz w:val="24"/>
          <w:szCs w:val="24"/>
        </w:rPr>
      </w:pPr>
      <w:r w:rsidRPr="003C758B">
        <w:rPr>
          <w:rFonts w:ascii="Cambria" w:hAnsi="Cambria"/>
          <w:sz w:val="24"/>
          <w:szCs w:val="24"/>
        </w:rPr>
        <w:t>Matters could, perhaps, have been different if the appellant had sought authorisation</w:t>
      </w:r>
      <w:r w:rsidR="00344EE0" w:rsidRPr="003C758B">
        <w:rPr>
          <w:rFonts w:ascii="Cambria" w:hAnsi="Cambria"/>
          <w:sz w:val="24"/>
          <w:szCs w:val="24"/>
        </w:rPr>
        <w:t xml:space="preserve"> </w:t>
      </w:r>
      <w:r w:rsidRPr="003C758B">
        <w:rPr>
          <w:rFonts w:ascii="Cambria" w:hAnsi="Cambria"/>
          <w:sz w:val="24"/>
          <w:szCs w:val="24"/>
        </w:rPr>
        <w:t xml:space="preserve">for the extra fuel, even </w:t>
      </w:r>
      <w:r w:rsidRPr="00256A07">
        <w:rPr>
          <w:rFonts w:ascii="Cambria" w:hAnsi="Cambria"/>
          <w:i/>
          <w:sz w:val="24"/>
          <w:szCs w:val="24"/>
        </w:rPr>
        <w:t>post facto</w:t>
      </w:r>
      <w:r w:rsidRPr="003C758B">
        <w:rPr>
          <w:rFonts w:ascii="Cambria" w:hAnsi="Cambria"/>
          <w:sz w:val="24"/>
          <w:szCs w:val="24"/>
        </w:rPr>
        <w:t xml:space="preserve">. The facts show that he had ample opportunity to do so, before commencement of investigations. He did not. </w:t>
      </w:r>
      <w:r w:rsidR="00CC0D86" w:rsidRPr="003C758B">
        <w:rPr>
          <w:rFonts w:ascii="Cambria" w:hAnsi="Cambria"/>
          <w:sz w:val="24"/>
          <w:szCs w:val="24"/>
        </w:rPr>
        <w:t xml:space="preserve">The established facts, in </w:t>
      </w:r>
      <w:r w:rsidR="00344EE0" w:rsidRPr="003C758B">
        <w:rPr>
          <w:rFonts w:ascii="Cambria" w:hAnsi="Cambria"/>
          <w:sz w:val="24"/>
          <w:szCs w:val="24"/>
        </w:rPr>
        <w:t>my view, overwhelmingly milita</w:t>
      </w:r>
      <w:r w:rsidR="00CC0D86" w:rsidRPr="003C758B">
        <w:rPr>
          <w:rFonts w:ascii="Cambria" w:hAnsi="Cambria"/>
          <w:sz w:val="24"/>
          <w:szCs w:val="24"/>
        </w:rPr>
        <w:t>te aga</w:t>
      </w:r>
      <w:r w:rsidR="00344EE0" w:rsidRPr="003C758B">
        <w:rPr>
          <w:rFonts w:ascii="Cambria" w:hAnsi="Cambria"/>
          <w:sz w:val="24"/>
          <w:szCs w:val="24"/>
        </w:rPr>
        <w:t>in</w:t>
      </w:r>
      <w:r w:rsidR="00CC0D86" w:rsidRPr="003C758B">
        <w:rPr>
          <w:rFonts w:ascii="Cambria" w:hAnsi="Cambria"/>
          <w:sz w:val="24"/>
          <w:szCs w:val="24"/>
        </w:rPr>
        <w:t xml:space="preserve">st the appellant’s innocence. </w:t>
      </w:r>
      <w:r w:rsidR="007614CF">
        <w:rPr>
          <w:rFonts w:ascii="Cambria" w:hAnsi="Cambria"/>
          <w:sz w:val="24"/>
          <w:szCs w:val="24"/>
        </w:rPr>
        <w:t xml:space="preserve"> </w:t>
      </w:r>
      <w:r w:rsidR="00CC0D86" w:rsidRPr="003C758B">
        <w:rPr>
          <w:rFonts w:ascii="Cambria" w:hAnsi="Cambria"/>
          <w:sz w:val="24"/>
          <w:szCs w:val="24"/>
        </w:rPr>
        <w:t>The Disciplinary Committee cannot be faulted for drawing an inference of guilt. Neither can the Appeals Committee for upholding the former’s d</w:t>
      </w:r>
      <w:r w:rsidR="00344EE0" w:rsidRPr="003C758B">
        <w:rPr>
          <w:rFonts w:ascii="Cambria" w:hAnsi="Cambria"/>
          <w:sz w:val="24"/>
          <w:szCs w:val="24"/>
        </w:rPr>
        <w:t>e</w:t>
      </w:r>
      <w:r w:rsidR="00CC0D86" w:rsidRPr="003C758B">
        <w:rPr>
          <w:rFonts w:ascii="Cambria" w:hAnsi="Cambria"/>
          <w:sz w:val="24"/>
          <w:szCs w:val="24"/>
        </w:rPr>
        <w:t>termination. The appeal against conviction cannot succeed.</w:t>
      </w:r>
    </w:p>
    <w:p w:rsidR="00CC0D86" w:rsidRDefault="00CC0D86" w:rsidP="003C758B">
      <w:pPr>
        <w:spacing w:line="360" w:lineRule="auto"/>
        <w:ind w:firstLine="720"/>
        <w:jc w:val="both"/>
        <w:rPr>
          <w:rFonts w:ascii="Cambria" w:hAnsi="Cambria"/>
          <w:sz w:val="24"/>
          <w:szCs w:val="24"/>
        </w:rPr>
      </w:pPr>
      <w:r w:rsidRPr="003C758B">
        <w:rPr>
          <w:rFonts w:ascii="Cambria" w:hAnsi="Cambria"/>
          <w:sz w:val="24"/>
          <w:szCs w:val="24"/>
        </w:rPr>
        <w:t>On penalty, one simply needs to note that the conviction is one for dishonesty. The person convicted held a managerial or supervisory position. There was therefore a relationship of t</w:t>
      </w:r>
      <w:r w:rsidR="00344EE0" w:rsidRPr="003C758B">
        <w:rPr>
          <w:rFonts w:ascii="Cambria" w:hAnsi="Cambria"/>
          <w:sz w:val="24"/>
          <w:szCs w:val="24"/>
        </w:rPr>
        <w:t>r</w:t>
      </w:r>
      <w:r w:rsidRPr="003C758B">
        <w:rPr>
          <w:rFonts w:ascii="Cambria" w:hAnsi="Cambria"/>
          <w:sz w:val="24"/>
          <w:szCs w:val="24"/>
        </w:rPr>
        <w:t>ust between the two parties. Breach thereof goes to the root of the employment relationship.</w:t>
      </w:r>
      <w:r w:rsidR="004712A8" w:rsidRPr="003C758B">
        <w:rPr>
          <w:rFonts w:ascii="Cambria" w:hAnsi="Cambria"/>
          <w:sz w:val="24"/>
          <w:szCs w:val="24"/>
        </w:rPr>
        <w:t xml:space="preserve"> </w:t>
      </w:r>
      <w:r w:rsidR="004341BA">
        <w:rPr>
          <w:rFonts w:ascii="Cambria" w:hAnsi="Cambria"/>
          <w:sz w:val="24"/>
          <w:szCs w:val="24"/>
        </w:rPr>
        <w:t xml:space="preserve"> </w:t>
      </w:r>
      <w:r w:rsidR="004712A8" w:rsidRPr="003C758B">
        <w:rPr>
          <w:rFonts w:ascii="Cambria" w:hAnsi="Cambria"/>
          <w:sz w:val="24"/>
          <w:szCs w:val="24"/>
        </w:rPr>
        <w:t xml:space="preserve">This is </w:t>
      </w:r>
      <w:r w:rsidR="00256A07">
        <w:rPr>
          <w:rFonts w:ascii="Cambria" w:hAnsi="Cambria"/>
          <w:sz w:val="24"/>
          <w:szCs w:val="24"/>
        </w:rPr>
        <w:t>what the respondent dre</w:t>
      </w:r>
      <w:r w:rsidR="004341BA">
        <w:rPr>
          <w:rFonts w:ascii="Cambria" w:hAnsi="Cambria"/>
          <w:sz w:val="24"/>
          <w:szCs w:val="24"/>
        </w:rPr>
        <w:t>w the court’s attention to, in paragraph 24.2 of its heads of argument;</w:t>
      </w:r>
    </w:p>
    <w:p w:rsidR="004341BA" w:rsidRDefault="004341BA" w:rsidP="004341BA">
      <w:pPr>
        <w:spacing w:line="240" w:lineRule="auto"/>
        <w:ind w:left="1440"/>
        <w:jc w:val="both"/>
        <w:rPr>
          <w:rFonts w:ascii="Cambria" w:hAnsi="Cambria"/>
          <w:sz w:val="20"/>
          <w:szCs w:val="20"/>
        </w:rPr>
      </w:pPr>
      <w:r>
        <w:rPr>
          <w:rFonts w:ascii="Cambria" w:hAnsi="Cambria"/>
          <w:sz w:val="20"/>
          <w:szCs w:val="20"/>
        </w:rPr>
        <w:lastRenderedPageBreak/>
        <w:t xml:space="preserve">“The conduct went to the root of the contract of employment.  Theft destroys any trust that is supposed to exist between employer and employee.  The Supreme Court, in the case of </w:t>
      </w:r>
      <w:r>
        <w:rPr>
          <w:rFonts w:ascii="Cambria" w:hAnsi="Cambria"/>
          <w:i/>
          <w:sz w:val="20"/>
          <w:szCs w:val="20"/>
        </w:rPr>
        <w:t xml:space="preserve">Standard Chartered </w:t>
      </w:r>
      <w:r>
        <w:rPr>
          <w:rFonts w:ascii="Cambria" w:hAnsi="Cambria"/>
          <w:sz w:val="20"/>
          <w:szCs w:val="20"/>
        </w:rPr>
        <w:t xml:space="preserve">v </w:t>
      </w:r>
      <w:r>
        <w:rPr>
          <w:rFonts w:ascii="Cambria" w:hAnsi="Cambria"/>
          <w:i/>
          <w:sz w:val="20"/>
          <w:szCs w:val="20"/>
        </w:rPr>
        <w:t xml:space="preserve">Michael </w:t>
      </w:r>
      <w:proofErr w:type="spellStart"/>
      <w:r>
        <w:rPr>
          <w:rFonts w:ascii="Cambria" w:hAnsi="Cambria"/>
          <w:i/>
          <w:sz w:val="20"/>
          <w:szCs w:val="20"/>
        </w:rPr>
        <w:t>Chapuka</w:t>
      </w:r>
      <w:proofErr w:type="spellEnd"/>
      <w:r>
        <w:rPr>
          <w:rFonts w:ascii="Cambria" w:hAnsi="Cambria"/>
          <w:i/>
          <w:sz w:val="20"/>
          <w:szCs w:val="20"/>
        </w:rPr>
        <w:t xml:space="preserve"> </w:t>
      </w:r>
      <w:r w:rsidRPr="004341BA">
        <w:rPr>
          <w:rFonts w:ascii="Cambria" w:hAnsi="Cambria"/>
          <w:sz w:val="20"/>
          <w:szCs w:val="20"/>
        </w:rPr>
        <w:t>SC 125/04 at p 9 held that</w:t>
      </w:r>
    </w:p>
    <w:p w:rsidR="004341BA" w:rsidRPr="004341BA" w:rsidRDefault="004341BA" w:rsidP="004341BA">
      <w:pPr>
        <w:spacing w:line="240" w:lineRule="auto"/>
        <w:ind w:left="1440"/>
        <w:jc w:val="both"/>
        <w:rPr>
          <w:rFonts w:ascii="Cambria" w:hAnsi="Cambria"/>
          <w:sz w:val="20"/>
          <w:szCs w:val="20"/>
        </w:rPr>
      </w:pPr>
      <w:r>
        <w:rPr>
          <w:rFonts w:ascii="Cambria" w:hAnsi="Cambria"/>
          <w:sz w:val="20"/>
          <w:szCs w:val="20"/>
        </w:rPr>
        <w:t xml:space="preserve">“The relationship between Standard Chartered </w:t>
      </w:r>
      <w:r w:rsidR="00851AE2">
        <w:rPr>
          <w:rFonts w:ascii="Cambria" w:hAnsi="Cambria"/>
          <w:sz w:val="20"/>
          <w:szCs w:val="20"/>
        </w:rPr>
        <w:t>and</w:t>
      </w:r>
      <w:r>
        <w:rPr>
          <w:rFonts w:ascii="Cambria" w:hAnsi="Cambria"/>
          <w:sz w:val="20"/>
          <w:szCs w:val="20"/>
        </w:rPr>
        <w:t xml:space="preserve"> </w:t>
      </w:r>
      <w:proofErr w:type="spellStart"/>
      <w:r>
        <w:rPr>
          <w:rFonts w:ascii="Cambria" w:hAnsi="Cambria"/>
          <w:sz w:val="20"/>
          <w:szCs w:val="20"/>
        </w:rPr>
        <w:t>Chapuka</w:t>
      </w:r>
      <w:proofErr w:type="spellEnd"/>
      <w:r>
        <w:rPr>
          <w:rFonts w:ascii="Cambria" w:hAnsi="Cambria"/>
          <w:sz w:val="20"/>
          <w:szCs w:val="20"/>
        </w:rPr>
        <w:t xml:space="preserve"> was one based upon trust and confidence</w:t>
      </w:r>
      <w:r w:rsidR="00851AE2">
        <w:rPr>
          <w:rFonts w:ascii="Cambria" w:hAnsi="Cambria"/>
          <w:sz w:val="20"/>
          <w:szCs w:val="20"/>
        </w:rPr>
        <w:t xml:space="preserve">.  It is sufficient that in dismissing </w:t>
      </w:r>
      <w:proofErr w:type="spellStart"/>
      <w:r w:rsidR="00851AE2">
        <w:rPr>
          <w:rFonts w:ascii="Cambria" w:hAnsi="Cambria"/>
          <w:sz w:val="20"/>
          <w:szCs w:val="20"/>
        </w:rPr>
        <w:t>Chapuka</w:t>
      </w:r>
      <w:proofErr w:type="spellEnd"/>
      <w:r w:rsidR="00851AE2">
        <w:rPr>
          <w:rFonts w:ascii="Cambria" w:hAnsi="Cambria"/>
          <w:sz w:val="20"/>
          <w:szCs w:val="20"/>
        </w:rPr>
        <w:t xml:space="preserve"> from employment Standard Chartered felt that as </w:t>
      </w:r>
      <w:r w:rsidR="00256A07">
        <w:rPr>
          <w:rFonts w:ascii="Cambria" w:hAnsi="Cambria"/>
          <w:sz w:val="20"/>
          <w:szCs w:val="20"/>
        </w:rPr>
        <w:t xml:space="preserve">a </w:t>
      </w:r>
      <w:r w:rsidR="00851AE2">
        <w:rPr>
          <w:rFonts w:ascii="Cambria" w:hAnsi="Cambria"/>
          <w:sz w:val="20"/>
          <w:szCs w:val="20"/>
        </w:rPr>
        <w:t>result of his own acts of misconduct it could not continue to repose in him the trust and confidence that he would perform his</w:t>
      </w:r>
      <w:r w:rsidR="007614CF">
        <w:rPr>
          <w:rFonts w:ascii="Cambria" w:hAnsi="Cambria"/>
          <w:sz w:val="20"/>
          <w:szCs w:val="20"/>
        </w:rPr>
        <w:t xml:space="preserve"> duties as senior member of staff with a high degree of honesty.  It is also sufficient that any reasonable employer in the position of Standard Chartered could on the facts have dismissed </w:t>
      </w:r>
      <w:proofErr w:type="spellStart"/>
      <w:r w:rsidR="007614CF">
        <w:rPr>
          <w:rFonts w:ascii="Cambria" w:hAnsi="Cambria"/>
          <w:sz w:val="20"/>
          <w:szCs w:val="20"/>
        </w:rPr>
        <w:t>Chapuka</w:t>
      </w:r>
      <w:proofErr w:type="spellEnd"/>
      <w:r w:rsidR="007614CF">
        <w:rPr>
          <w:rFonts w:ascii="Cambria" w:hAnsi="Cambria"/>
          <w:sz w:val="20"/>
          <w:szCs w:val="20"/>
        </w:rPr>
        <w:t xml:space="preserve"> for what he did.”</w:t>
      </w:r>
    </w:p>
    <w:p w:rsidR="004712A8" w:rsidRPr="003C758B" w:rsidRDefault="004712A8" w:rsidP="003C758B">
      <w:pPr>
        <w:spacing w:line="360" w:lineRule="auto"/>
        <w:jc w:val="both"/>
        <w:rPr>
          <w:rFonts w:ascii="Cambria" w:hAnsi="Cambria"/>
          <w:sz w:val="24"/>
          <w:szCs w:val="24"/>
        </w:rPr>
      </w:pPr>
    </w:p>
    <w:p w:rsidR="004712A8" w:rsidRPr="003C758B" w:rsidRDefault="004712A8" w:rsidP="003C758B">
      <w:pPr>
        <w:spacing w:line="360" w:lineRule="auto"/>
        <w:ind w:firstLine="720"/>
        <w:jc w:val="both"/>
        <w:rPr>
          <w:rFonts w:ascii="Cambria" w:hAnsi="Cambria"/>
          <w:sz w:val="24"/>
          <w:szCs w:val="24"/>
        </w:rPr>
      </w:pPr>
      <w:r w:rsidRPr="003C758B">
        <w:rPr>
          <w:rFonts w:ascii="Cambria" w:hAnsi="Cambria"/>
          <w:sz w:val="24"/>
          <w:szCs w:val="24"/>
        </w:rPr>
        <w:t>In the circumstances, the appeal against penalty cannot succeed.</w:t>
      </w:r>
    </w:p>
    <w:p w:rsidR="004712A8" w:rsidRPr="003C758B" w:rsidRDefault="004712A8" w:rsidP="003C758B">
      <w:pPr>
        <w:spacing w:line="360" w:lineRule="auto"/>
        <w:jc w:val="both"/>
        <w:rPr>
          <w:rFonts w:ascii="Cambria" w:hAnsi="Cambria"/>
          <w:sz w:val="24"/>
          <w:szCs w:val="24"/>
        </w:rPr>
      </w:pPr>
      <w:r w:rsidRPr="003C758B">
        <w:rPr>
          <w:rFonts w:ascii="Cambria" w:hAnsi="Cambria"/>
          <w:sz w:val="24"/>
          <w:szCs w:val="24"/>
        </w:rPr>
        <w:t>In the result, it is ordered that;</w:t>
      </w:r>
    </w:p>
    <w:p w:rsidR="004712A8" w:rsidRPr="003C758B" w:rsidRDefault="004712A8" w:rsidP="003C758B">
      <w:pPr>
        <w:pStyle w:val="ListParagraph"/>
        <w:numPr>
          <w:ilvl w:val="0"/>
          <w:numId w:val="1"/>
        </w:numPr>
        <w:spacing w:line="360" w:lineRule="auto"/>
        <w:jc w:val="both"/>
        <w:rPr>
          <w:rFonts w:ascii="Cambria" w:hAnsi="Cambria"/>
          <w:sz w:val="24"/>
          <w:szCs w:val="24"/>
        </w:rPr>
      </w:pPr>
      <w:r w:rsidRPr="003C758B">
        <w:rPr>
          <w:rFonts w:ascii="Cambria" w:hAnsi="Cambria"/>
          <w:sz w:val="24"/>
          <w:szCs w:val="24"/>
        </w:rPr>
        <w:t>The appeal be and is hereby dismissed in its entirety.</w:t>
      </w:r>
    </w:p>
    <w:p w:rsidR="004712A8" w:rsidRDefault="004712A8" w:rsidP="003C758B">
      <w:pPr>
        <w:pStyle w:val="ListParagraph"/>
        <w:numPr>
          <w:ilvl w:val="0"/>
          <w:numId w:val="1"/>
        </w:numPr>
        <w:spacing w:line="360" w:lineRule="auto"/>
        <w:jc w:val="both"/>
        <w:rPr>
          <w:rFonts w:ascii="Cambria" w:hAnsi="Cambria"/>
          <w:sz w:val="24"/>
          <w:szCs w:val="24"/>
        </w:rPr>
      </w:pPr>
      <w:r w:rsidRPr="003C758B">
        <w:rPr>
          <w:rFonts w:ascii="Cambria" w:hAnsi="Cambria"/>
          <w:sz w:val="24"/>
          <w:szCs w:val="24"/>
        </w:rPr>
        <w:t>The appellant shall bear the respondent’s costs.</w:t>
      </w:r>
    </w:p>
    <w:p w:rsidR="00875778" w:rsidRDefault="00875778" w:rsidP="00875778">
      <w:pPr>
        <w:pStyle w:val="ListParagraph"/>
        <w:spacing w:line="360" w:lineRule="auto"/>
        <w:jc w:val="both"/>
        <w:rPr>
          <w:rFonts w:ascii="Cambria" w:hAnsi="Cambria"/>
          <w:sz w:val="24"/>
          <w:szCs w:val="24"/>
        </w:rPr>
      </w:pPr>
    </w:p>
    <w:p w:rsidR="00875778" w:rsidRDefault="00875778" w:rsidP="00875778">
      <w:pPr>
        <w:spacing w:line="360" w:lineRule="auto"/>
        <w:jc w:val="both"/>
        <w:rPr>
          <w:rFonts w:ascii="Cambria" w:hAnsi="Cambria"/>
          <w:sz w:val="24"/>
          <w:szCs w:val="24"/>
        </w:rPr>
      </w:pPr>
    </w:p>
    <w:p w:rsidR="00875778" w:rsidRDefault="00875778" w:rsidP="00875778">
      <w:pPr>
        <w:spacing w:after="0" w:line="240" w:lineRule="auto"/>
        <w:jc w:val="both"/>
        <w:rPr>
          <w:rFonts w:ascii="Cambria" w:hAnsi="Cambria"/>
          <w:sz w:val="20"/>
          <w:szCs w:val="20"/>
        </w:rPr>
      </w:pPr>
      <w:proofErr w:type="spellStart"/>
      <w:r w:rsidRPr="00875778">
        <w:rPr>
          <w:rFonts w:ascii="Cambria" w:hAnsi="Cambria"/>
          <w:i/>
          <w:sz w:val="20"/>
          <w:szCs w:val="20"/>
        </w:rPr>
        <w:t>Matsikidze</w:t>
      </w:r>
      <w:proofErr w:type="spellEnd"/>
      <w:r w:rsidRPr="00875778">
        <w:rPr>
          <w:rFonts w:ascii="Cambria" w:hAnsi="Cambria"/>
          <w:i/>
          <w:sz w:val="20"/>
          <w:szCs w:val="20"/>
        </w:rPr>
        <w:t xml:space="preserve"> &amp; </w:t>
      </w:r>
      <w:proofErr w:type="spellStart"/>
      <w:r w:rsidRPr="00875778">
        <w:rPr>
          <w:rFonts w:ascii="Cambria" w:hAnsi="Cambria"/>
          <w:i/>
          <w:sz w:val="20"/>
          <w:szCs w:val="20"/>
        </w:rPr>
        <w:t>Mucheche</w:t>
      </w:r>
      <w:proofErr w:type="spellEnd"/>
      <w:r>
        <w:rPr>
          <w:rFonts w:ascii="Cambria" w:hAnsi="Cambria"/>
          <w:sz w:val="20"/>
          <w:szCs w:val="20"/>
        </w:rPr>
        <w:t>, appellant’s legal practitioners</w:t>
      </w:r>
    </w:p>
    <w:p w:rsidR="00511CED" w:rsidRPr="003C758B" w:rsidRDefault="00875778" w:rsidP="007A396E">
      <w:pPr>
        <w:spacing w:after="0" w:line="240" w:lineRule="auto"/>
        <w:jc w:val="both"/>
        <w:rPr>
          <w:rFonts w:ascii="Cambria" w:hAnsi="Cambria"/>
          <w:sz w:val="24"/>
          <w:szCs w:val="24"/>
        </w:rPr>
      </w:pPr>
      <w:r w:rsidRPr="00875778">
        <w:rPr>
          <w:rFonts w:ascii="Cambria" w:hAnsi="Cambria"/>
          <w:i/>
          <w:sz w:val="20"/>
          <w:szCs w:val="20"/>
        </w:rPr>
        <w:t xml:space="preserve">Kantor &amp; </w:t>
      </w:r>
      <w:proofErr w:type="spellStart"/>
      <w:r w:rsidRPr="00875778">
        <w:rPr>
          <w:rFonts w:ascii="Cambria" w:hAnsi="Cambria"/>
          <w:i/>
          <w:sz w:val="20"/>
          <w:szCs w:val="20"/>
        </w:rPr>
        <w:t>Immerman</w:t>
      </w:r>
      <w:proofErr w:type="spellEnd"/>
      <w:r>
        <w:rPr>
          <w:rFonts w:ascii="Cambria" w:hAnsi="Cambria"/>
          <w:sz w:val="20"/>
          <w:szCs w:val="20"/>
        </w:rPr>
        <w:t>, respondent’s legal practitioners</w:t>
      </w:r>
    </w:p>
    <w:sectPr w:rsidR="00511CED" w:rsidRPr="003C758B" w:rsidSect="004E356A">
      <w:headerReference w:type="default" r:id="rId10"/>
      <w:footerReference w:type="defaul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8C" w:rsidRDefault="00305B8C" w:rsidP="00D25ABC">
      <w:pPr>
        <w:spacing w:after="0" w:line="240" w:lineRule="auto"/>
      </w:pPr>
      <w:r>
        <w:separator/>
      </w:r>
    </w:p>
  </w:endnote>
  <w:endnote w:type="continuationSeparator" w:id="0">
    <w:p w:rsidR="00305B8C" w:rsidRDefault="00305B8C" w:rsidP="00D2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421719"/>
      <w:docPartObj>
        <w:docPartGallery w:val="Page Numbers (Bottom of Page)"/>
        <w:docPartUnique/>
      </w:docPartObj>
    </w:sdtPr>
    <w:sdtEndPr>
      <w:rPr>
        <w:noProof/>
      </w:rPr>
    </w:sdtEndPr>
    <w:sdtContent>
      <w:p w:rsidR="00143A67" w:rsidRDefault="00143A67">
        <w:pPr>
          <w:pStyle w:val="Footer"/>
          <w:jc w:val="right"/>
        </w:pPr>
        <w:r>
          <w:fldChar w:fldCharType="begin"/>
        </w:r>
        <w:r>
          <w:instrText xml:space="preserve"> PAGE   \* MERGEFORMAT </w:instrText>
        </w:r>
        <w:r>
          <w:fldChar w:fldCharType="separate"/>
        </w:r>
        <w:r w:rsidR="008F3B68">
          <w:rPr>
            <w:noProof/>
          </w:rPr>
          <w:t>2</w:t>
        </w:r>
        <w:r>
          <w:rPr>
            <w:noProof/>
          </w:rPr>
          <w:fldChar w:fldCharType="end"/>
        </w:r>
      </w:p>
    </w:sdtContent>
  </w:sdt>
  <w:p w:rsidR="00143A67" w:rsidRDefault="00143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8C" w:rsidRDefault="00305B8C" w:rsidP="00D25ABC">
      <w:pPr>
        <w:spacing w:after="0" w:line="240" w:lineRule="auto"/>
      </w:pPr>
      <w:r>
        <w:separator/>
      </w:r>
    </w:p>
  </w:footnote>
  <w:footnote w:type="continuationSeparator" w:id="0">
    <w:p w:rsidR="00305B8C" w:rsidRDefault="00305B8C" w:rsidP="00D25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67" w:rsidRPr="003C758B" w:rsidRDefault="00143A67" w:rsidP="004E356A">
    <w:pPr>
      <w:spacing w:line="360" w:lineRule="auto"/>
      <w:ind w:left="5040" w:firstLine="720"/>
      <w:jc w:val="both"/>
      <w:rPr>
        <w:rFonts w:ascii="Cambria" w:hAnsi="Cambria"/>
        <w:b/>
      </w:rPr>
    </w:pPr>
    <w:r w:rsidRPr="003C758B">
      <w:rPr>
        <w:rFonts w:ascii="Cambria" w:hAnsi="Cambria"/>
        <w:b/>
      </w:rPr>
      <w:t>JUDGMENT NO LC/H/</w:t>
    </w:r>
    <w:r w:rsidR="008F3B68">
      <w:rPr>
        <w:rFonts w:ascii="Cambria" w:hAnsi="Cambria"/>
        <w:b/>
      </w:rPr>
      <w:t>774</w:t>
    </w:r>
    <w:r w:rsidRPr="003C758B">
      <w:rPr>
        <w:rFonts w:ascii="Cambria" w:hAnsi="Cambria"/>
        <w:b/>
      </w:rPr>
      <w:t>/16</w:t>
    </w:r>
  </w:p>
  <w:p w:rsidR="00143A67" w:rsidRDefault="00143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13C8"/>
    <w:multiLevelType w:val="hybridMultilevel"/>
    <w:tmpl w:val="77AA23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FD098D"/>
    <w:multiLevelType w:val="hybridMultilevel"/>
    <w:tmpl w:val="C78E4C78"/>
    <w:lvl w:ilvl="0" w:tplc="FF04FA6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87F24B6"/>
    <w:multiLevelType w:val="hybridMultilevel"/>
    <w:tmpl w:val="407405EA"/>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
    <w:nsid w:val="7A055D62"/>
    <w:multiLevelType w:val="hybridMultilevel"/>
    <w:tmpl w:val="AA0297DC"/>
    <w:lvl w:ilvl="0" w:tplc="D0A6FF24">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F7"/>
    <w:rsid w:val="00024773"/>
    <w:rsid w:val="00143A67"/>
    <w:rsid w:val="001821C6"/>
    <w:rsid w:val="001E349F"/>
    <w:rsid w:val="002079A0"/>
    <w:rsid w:val="002324A3"/>
    <w:rsid w:val="00256A07"/>
    <w:rsid w:val="00291D9A"/>
    <w:rsid w:val="002C6AA3"/>
    <w:rsid w:val="002D6C82"/>
    <w:rsid w:val="00305B8C"/>
    <w:rsid w:val="00344EE0"/>
    <w:rsid w:val="00353752"/>
    <w:rsid w:val="00387B9B"/>
    <w:rsid w:val="003A6A6F"/>
    <w:rsid w:val="003C758B"/>
    <w:rsid w:val="004341BA"/>
    <w:rsid w:val="00466E89"/>
    <w:rsid w:val="004712A8"/>
    <w:rsid w:val="004E356A"/>
    <w:rsid w:val="00511CED"/>
    <w:rsid w:val="007614CF"/>
    <w:rsid w:val="007A396E"/>
    <w:rsid w:val="007F50B2"/>
    <w:rsid w:val="00851AE2"/>
    <w:rsid w:val="0085318F"/>
    <w:rsid w:val="00875778"/>
    <w:rsid w:val="00891683"/>
    <w:rsid w:val="008F3B68"/>
    <w:rsid w:val="009255B3"/>
    <w:rsid w:val="00A53641"/>
    <w:rsid w:val="00A90BFF"/>
    <w:rsid w:val="00AA4339"/>
    <w:rsid w:val="00AB31C8"/>
    <w:rsid w:val="00B34928"/>
    <w:rsid w:val="00B42DA6"/>
    <w:rsid w:val="00B53959"/>
    <w:rsid w:val="00BF24F7"/>
    <w:rsid w:val="00CC0D86"/>
    <w:rsid w:val="00D25ABC"/>
    <w:rsid w:val="00DB1041"/>
    <w:rsid w:val="00DB538F"/>
    <w:rsid w:val="00DC028D"/>
    <w:rsid w:val="00DE6825"/>
    <w:rsid w:val="00E845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2A8"/>
    <w:pPr>
      <w:ind w:left="720"/>
      <w:contextualSpacing/>
    </w:pPr>
  </w:style>
  <w:style w:type="paragraph" w:styleId="Header">
    <w:name w:val="header"/>
    <w:basedOn w:val="Normal"/>
    <w:link w:val="HeaderChar"/>
    <w:uiPriority w:val="99"/>
    <w:unhideWhenUsed/>
    <w:rsid w:val="00D2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ABC"/>
  </w:style>
  <w:style w:type="paragraph" w:styleId="Footer">
    <w:name w:val="footer"/>
    <w:basedOn w:val="Normal"/>
    <w:link w:val="FooterChar"/>
    <w:uiPriority w:val="99"/>
    <w:unhideWhenUsed/>
    <w:rsid w:val="00D2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ABC"/>
  </w:style>
  <w:style w:type="paragraph" w:styleId="BalloonText">
    <w:name w:val="Balloon Text"/>
    <w:basedOn w:val="Normal"/>
    <w:link w:val="BalloonTextChar"/>
    <w:uiPriority w:val="99"/>
    <w:semiHidden/>
    <w:unhideWhenUsed/>
    <w:rsid w:val="00DB5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2A8"/>
    <w:pPr>
      <w:ind w:left="720"/>
      <w:contextualSpacing/>
    </w:pPr>
  </w:style>
  <w:style w:type="paragraph" w:styleId="Header">
    <w:name w:val="header"/>
    <w:basedOn w:val="Normal"/>
    <w:link w:val="HeaderChar"/>
    <w:uiPriority w:val="99"/>
    <w:unhideWhenUsed/>
    <w:rsid w:val="00D2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ABC"/>
  </w:style>
  <w:style w:type="paragraph" w:styleId="Footer">
    <w:name w:val="footer"/>
    <w:basedOn w:val="Normal"/>
    <w:link w:val="FooterChar"/>
    <w:uiPriority w:val="99"/>
    <w:unhideWhenUsed/>
    <w:rsid w:val="00D2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ABC"/>
  </w:style>
  <w:style w:type="paragraph" w:styleId="BalloonText">
    <w:name w:val="Balloon Text"/>
    <w:basedOn w:val="Normal"/>
    <w:link w:val="BalloonTextChar"/>
    <w:uiPriority w:val="99"/>
    <w:semiHidden/>
    <w:unhideWhenUsed/>
    <w:rsid w:val="00DB5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JSC8</dc:creator>
  <cp:lastModifiedBy>HP</cp:lastModifiedBy>
  <cp:revision>11</cp:revision>
  <cp:lastPrinted>2016-11-30T07:15:00Z</cp:lastPrinted>
  <dcterms:created xsi:type="dcterms:W3CDTF">2016-10-31T10:29:00Z</dcterms:created>
  <dcterms:modified xsi:type="dcterms:W3CDTF">2016-11-30T13:37:00Z</dcterms:modified>
</cp:coreProperties>
</file>