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8FB27" w14:textId="0F2DED3B" w:rsidR="00743640" w:rsidRPr="007811AF" w:rsidRDefault="008B0F58" w:rsidP="007811AF">
      <w:pPr>
        <w:pStyle w:val="NoSpacing"/>
        <w:rPr>
          <w:rFonts w:ascii="Times New Roman" w:hAnsi="Times New Roman" w:cs="Times New Roman"/>
          <w:sz w:val="24"/>
          <w:szCs w:val="24"/>
        </w:rPr>
      </w:pPr>
      <w:r w:rsidRPr="007811AF">
        <w:rPr>
          <w:rFonts w:ascii="Times New Roman" w:hAnsi="Times New Roman" w:cs="Times New Roman"/>
          <w:sz w:val="24"/>
          <w:szCs w:val="24"/>
        </w:rPr>
        <w:t>SIM</w:t>
      </w:r>
      <w:bookmarkStart w:id="0" w:name="_GoBack"/>
      <w:bookmarkEnd w:id="0"/>
      <w:r w:rsidRPr="007811AF">
        <w:rPr>
          <w:rFonts w:ascii="Times New Roman" w:hAnsi="Times New Roman" w:cs="Times New Roman"/>
          <w:sz w:val="24"/>
          <w:szCs w:val="24"/>
        </w:rPr>
        <w:t xml:space="preserve">ON CHAYAYI </w:t>
      </w:r>
    </w:p>
    <w:p w14:paraId="4C97DB85" w14:textId="52D946B8" w:rsidR="008B0F58" w:rsidRPr="007811AF" w:rsidRDefault="008B0F58" w:rsidP="007811AF">
      <w:pPr>
        <w:pStyle w:val="NoSpacing"/>
        <w:rPr>
          <w:rFonts w:ascii="Times New Roman" w:hAnsi="Times New Roman" w:cs="Times New Roman"/>
          <w:sz w:val="24"/>
          <w:szCs w:val="24"/>
        </w:rPr>
      </w:pPr>
      <w:r w:rsidRPr="007811AF">
        <w:rPr>
          <w:rFonts w:ascii="Times New Roman" w:hAnsi="Times New Roman" w:cs="Times New Roman"/>
          <w:sz w:val="24"/>
          <w:szCs w:val="24"/>
        </w:rPr>
        <w:t xml:space="preserve">And </w:t>
      </w:r>
    </w:p>
    <w:p w14:paraId="27DC607B" w14:textId="515CEC9E" w:rsidR="008B0F58" w:rsidRPr="007811AF" w:rsidRDefault="008B0F58" w:rsidP="007811AF">
      <w:pPr>
        <w:pStyle w:val="NoSpacing"/>
        <w:rPr>
          <w:rFonts w:ascii="Times New Roman" w:hAnsi="Times New Roman" w:cs="Times New Roman"/>
          <w:sz w:val="24"/>
          <w:szCs w:val="24"/>
        </w:rPr>
      </w:pPr>
      <w:r w:rsidRPr="007811AF">
        <w:rPr>
          <w:rFonts w:ascii="Times New Roman" w:hAnsi="Times New Roman" w:cs="Times New Roman"/>
          <w:sz w:val="24"/>
          <w:szCs w:val="24"/>
        </w:rPr>
        <w:t xml:space="preserve">LEAH CHAYAYI </w:t>
      </w:r>
    </w:p>
    <w:p w14:paraId="721ADDE6" w14:textId="3F13B7BE" w:rsidR="008B0F58" w:rsidRPr="007811AF" w:rsidRDefault="008B0F58" w:rsidP="007811AF">
      <w:pPr>
        <w:pStyle w:val="NoSpacing"/>
        <w:rPr>
          <w:rFonts w:ascii="Times New Roman" w:hAnsi="Times New Roman" w:cs="Times New Roman"/>
          <w:sz w:val="24"/>
          <w:szCs w:val="24"/>
        </w:rPr>
      </w:pPr>
      <w:r w:rsidRPr="007811AF">
        <w:rPr>
          <w:rFonts w:ascii="Times New Roman" w:hAnsi="Times New Roman" w:cs="Times New Roman"/>
          <w:sz w:val="24"/>
          <w:szCs w:val="24"/>
        </w:rPr>
        <w:t>Versus</w:t>
      </w:r>
    </w:p>
    <w:p w14:paraId="389F0CB5" w14:textId="79B21B45" w:rsidR="008B0F58" w:rsidRPr="007811AF" w:rsidRDefault="008B0F58" w:rsidP="007811AF">
      <w:pPr>
        <w:pStyle w:val="NoSpacing"/>
        <w:rPr>
          <w:rFonts w:ascii="Times New Roman" w:hAnsi="Times New Roman" w:cs="Times New Roman"/>
          <w:sz w:val="24"/>
          <w:szCs w:val="24"/>
        </w:rPr>
      </w:pPr>
      <w:r w:rsidRPr="007811AF">
        <w:rPr>
          <w:rFonts w:ascii="Times New Roman" w:hAnsi="Times New Roman" w:cs="Times New Roman"/>
          <w:sz w:val="24"/>
          <w:szCs w:val="24"/>
        </w:rPr>
        <w:t>THE TRUSTEES FOR THE TIME BEING</w:t>
      </w:r>
    </w:p>
    <w:p w14:paraId="1ED8E7CA" w14:textId="6E1AB8D6" w:rsidR="008B0F58" w:rsidRPr="007811AF" w:rsidRDefault="008B0F58" w:rsidP="007811AF">
      <w:pPr>
        <w:pStyle w:val="NoSpacing"/>
        <w:rPr>
          <w:rFonts w:ascii="Times New Roman" w:hAnsi="Times New Roman" w:cs="Times New Roman"/>
          <w:sz w:val="24"/>
          <w:szCs w:val="24"/>
        </w:rPr>
      </w:pPr>
      <w:r w:rsidRPr="007811AF">
        <w:rPr>
          <w:rFonts w:ascii="Times New Roman" w:hAnsi="Times New Roman" w:cs="Times New Roman"/>
          <w:sz w:val="24"/>
          <w:szCs w:val="24"/>
        </w:rPr>
        <w:t>OF THE HARRY TRUST</w:t>
      </w:r>
    </w:p>
    <w:p w14:paraId="5426C946" w14:textId="7DCED613" w:rsidR="008B0F58" w:rsidRPr="007811AF" w:rsidRDefault="008B0F58" w:rsidP="007811AF">
      <w:pPr>
        <w:pStyle w:val="NoSpacing"/>
        <w:rPr>
          <w:rFonts w:ascii="Times New Roman" w:hAnsi="Times New Roman" w:cs="Times New Roman"/>
          <w:sz w:val="24"/>
          <w:szCs w:val="24"/>
        </w:rPr>
      </w:pPr>
      <w:r w:rsidRPr="007811AF">
        <w:rPr>
          <w:rFonts w:ascii="Times New Roman" w:hAnsi="Times New Roman" w:cs="Times New Roman"/>
          <w:sz w:val="24"/>
          <w:szCs w:val="24"/>
        </w:rPr>
        <w:t>And</w:t>
      </w:r>
    </w:p>
    <w:p w14:paraId="133229E4" w14:textId="31FEFD76" w:rsidR="008B0F58" w:rsidRPr="007811AF" w:rsidRDefault="008B0F58" w:rsidP="007811AF">
      <w:pPr>
        <w:pStyle w:val="NoSpacing"/>
        <w:rPr>
          <w:rFonts w:ascii="Times New Roman" w:hAnsi="Times New Roman" w:cs="Times New Roman"/>
          <w:sz w:val="24"/>
          <w:szCs w:val="24"/>
        </w:rPr>
      </w:pPr>
      <w:r w:rsidRPr="007811AF">
        <w:rPr>
          <w:rFonts w:ascii="Times New Roman" w:hAnsi="Times New Roman" w:cs="Times New Roman"/>
          <w:sz w:val="24"/>
          <w:szCs w:val="24"/>
        </w:rPr>
        <w:t>KUDAKWASHE NHIWATIWA</w:t>
      </w:r>
    </w:p>
    <w:p w14:paraId="3F5961DD" w14:textId="5F18735C" w:rsidR="008B0F58" w:rsidRPr="007811AF" w:rsidRDefault="008B0F58" w:rsidP="007811AF">
      <w:pPr>
        <w:pStyle w:val="NoSpacing"/>
        <w:rPr>
          <w:rFonts w:ascii="Times New Roman" w:hAnsi="Times New Roman" w:cs="Times New Roman"/>
          <w:sz w:val="24"/>
          <w:szCs w:val="24"/>
        </w:rPr>
      </w:pPr>
      <w:r w:rsidRPr="007811AF">
        <w:rPr>
          <w:rFonts w:ascii="Times New Roman" w:hAnsi="Times New Roman" w:cs="Times New Roman"/>
          <w:sz w:val="24"/>
          <w:szCs w:val="24"/>
        </w:rPr>
        <w:t>And</w:t>
      </w:r>
    </w:p>
    <w:p w14:paraId="70B28899" w14:textId="579CE016" w:rsidR="008B0F58" w:rsidRPr="007811AF" w:rsidRDefault="008B0F58" w:rsidP="007811AF">
      <w:pPr>
        <w:pStyle w:val="NoSpacing"/>
        <w:rPr>
          <w:rFonts w:ascii="Times New Roman" w:hAnsi="Times New Roman" w:cs="Times New Roman"/>
          <w:sz w:val="24"/>
          <w:szCs w:val="24"/>
        </w:rPr>
      </w:pPr>
      <w:r w:rsidRPr="007811AF">
        <w:rPr>
          <w:rFonts w:ascii="Times New Roman" w:hAnsi="Times New Roman" w:cs="Times New Roman"/>
          <w:sz w:val="24"/>
          <w:szCs w:val="24"/>
        </w:rPr>
        <w:t>BAXTER PAINTS (PVT) LTD</w:t>
      </w:r>
    </w:p>
    <w:p w14:paraId="1352F430" w14:textId="133F8665" w:rsidR="008B0F58" w:rsidRPr="007811AF" w:rsidRDefault="008B0F58" w:rsidP="007811AF">
      <w:pPr>
        <w:pStyle w:val="NoSpacing"/>
        <w:rPr>
          <w:rFonts w:ascii="Times New Roman" w:hAnsi="Times New Roman" w:cs="Times New Roman"/>
          <w:sz w:val="24"/>
          <w:szCs w:val="24"/>
        </w:rPr>
      </w:pPr>
      <w:r w:rsidRPr="007811AF">
        <w:rPr>
          <w:rFonts w:ascii="Times New Roman" w:hAnsi="Times New Roman" w:cs="Times New Roman"/>
          <w:sz w:val="24"/>
          <w:szCs w:val="24"/>
        </w:rPr>
        <w:t>And</w:t>
      </w:r>
    </w:p>
    <w:p w14:paraId="140148F1" w14:textId="73155CC6" w:rsidR="008B0F58" w:rsidRPr="007811AF" w:rsidRDefault="008B0F58" w:rsidP="007811AF">
      <w:pPr>
        <w:pStyle w:val="NoSpacing"/>
        <w:rPr>
          <w:rFonts w:ascii="Times New Roman" w:hAnsi="Times New Roman" w:cs="Times New Roman"/>
          <w:sz w:val="24"/>
          <w:szCs w:val="24"/>
        </w:rPr>
      </w:pPr>
      <w:r w:rsidRPr="007811AF">
        <w:rPr>
          <w:rFonts w:ascii="Times New Roman" w:hAnsi="Times New Roman" w:cs="Times New Roman"/>
          <w:sz w:val="24"/>
          <w:szCs w:val="24"/>
        </w:rPr>
        <w:t>CITY OF MUTARE</w:t>
      </w:r>
    </w:p>
    <w:p w14:paraId="13026B27" w14:textId="34541CD4" w:rsidR="008B0F58" w:rsidRPr="007811AF" w:rsidRDefault="008B0F58" w:rsidP="007811AF">
      <w:pPr>
        <w:pStyle w:val="NoSpacing"/>
        <w:rPr>
          <w:rFonts w:ascii="Times New Roman" w:hAnsi="Times New Roman" w:cs="Times New Roman"/>
          <w:sz w:val="24"/>
          <w:szCs w:val="24"/>
        </w:rPr>
      </w:pPr>
      <w:r w:rsidRPr="007811AF">
        <w:rPr>
          <w:rFonts w:ascii="Times New Roman" w:hAnsi="Times New Roman" w:cs="Times New Roman"/>
          <w:sz w:val="24"/>
          <w:szCs w:val="24"/>
        </w:rPr>
        <w:t>And</w:t>
      </w:r>
    </w:p>
    <w:p w14:paraId="2D61BBA9" w14:textId="5C8A1EAD" w:rsidR="008B0F58" w:rsidRPr="007811AF" w:rsidRDefault="008B0F58" w:rsidP="007811AF">
      <w:pPr>
        <w:pStyle w:val="NoSpacing"/>
        <w:rPr>
          <w:rFonts w:ascii="Times New Roman" w:hAnsi="Times New Roman" w:cs="Times New Roman"/>
          <w:sz w:val="24"/>
          <w:szCs w:val="24"/>
        </w:rPr>
      </w:pPr>
      <w:r w:rsidRPr="007811AF">
        <w:rPr>
          <w:rFonts w:ascii="Times New Roman" w:hAnsi="Times New Roman" w:cs="Times New Roman"/>
          <w:sz w:val="24"/>
          <w:szCs w:val="24"/>
        </w:rPr>
        <w:t>SURVEYOR GENERAL</w:t>
      </w:r>
    </w:p>
    <w:p w14:paraId="57B3B5B8" w14:textId="22EC25CF" w:rsidR="008B0F58" w:rsidRPr="007811AF" w:rsidRDefault="008B0F58" w:rsidP="007811AF">
      <w:pPr>
        <w:pStyle w:val="NoSpacing"/>
        <w:rPr>
          <w:rFonts w:ascii="Times New Roman" w:hAnsi="Times New Roman" w:cs="Times New Roman"/>
          <w:sz w:val="24"/>
          <w:szCs w:val="24"/>
        </w:rPr>
      </w:pPr>
      <w:r w:rsidRPr="007811AF">
        <w:rPr>
          <w:rFonts w:ascii="Times New Roman" w:hAnsi="Times New Roman" w:cs="Times New Roman"/>
          <w:sz w:val="24"/>
          <w:szCs w:val="24"/>
        </w:rPr>
        <w:t xml:space="preserve">And </w:t>
      </w:r>
    </w:p>
    <w:p w14:paraId="3FAF75AD" w14:textId="2391D505" w:rsidR="008B0F58" w:rsidRPr="007811AF" w:rsidRDefault="008B0F58" w:rsidP="007811AF">
      <w:pPr>
        <w:pStyle w:val="NoSpacing"/>
        <w:rPr>
          <w:rFonts w:ascii="Times New Roman" w:hAnsi="Times New Roman" w:cs="Times New Roman"/>
          <w:sz w:val="24"/>
          <w:szCs w:val="24"/>
        </w:rPr>
      </w:pPr>
      <w:r w:rsidRPr="007811AF">
        <w:rPr>
          <w:rFonts w:ascii="Times New Roman" w:hAnsi="Times New Roman" w:cs="Times New Roman"/>
          <w:sz w:val="24"/>
          <w:szCs w:val="24"/>
        </w:rPr>
        <w:t>REGISTRAR OF DEEDS</w:t>
      </w:r>
      <w:r w:rsidR="0007078D">
        <w:rPr>
          <w:rFonts w:ascii="Times New Roman" w:hAnsi="Times New Roman" w:cs="Times New Roman"/>
          <w:sz w:val="24"/>
          <w:szCs w:val="24"/>
        </w:rPr>
        <w:t xml:space="preserve"> </w:t>
      </w:r>
    </w:p>
    <w:p w14:paraId="6FD1541A" w14:textId="77777777" w:rsidR="008B0F58" w:rsidRPr="007811AF" w:rsidRDefault="008B0F58" w:rsidP="007811AF">
      <w:pPr>
        <w:spacing w:line="360" w:lineRule="auto"/>
        <w:jc w:val="both"/>
        <w:rPr>
          <w:rFonts w:ascii="Times New Roman" w:hAnsi="Times New Roman" w:cs="Times New Roman"/>
          <w:sz w:val="24"/>
          <w:szCs w:val="24"/>
        </w:rPr>
      </w:pPr>
    </w:p>
    <w:p w14:paraId="1DE631BD" w14:textId="55CBC129" w:rsidR="008B0F58" w:rsidRPr="007811AF" w:rsidRDefault="008B0F58" w:rsidP="007811AF">
      <w:pPr>
        <w:pStyle w:val="NoSpacing"/>
        <w:rPr>
          <w:rFonts w:ascii="Times New Roman" w:hAnsi="Times New Roman" w:cs="Times New Roman"/>
          <w:sz w:val="24"/>
          <w:szCs w:val="24"/>
        </w:rPr>
      </w:pPr>
      <w:r w:rsidRPr="007811AF">
        <w:rPr>
          <w:rFonts w:ascii="Times New Roman" w:hAnsi="Times New Roman" w:cs="Times New Roman"/>
          <w:sz w:val="24"/>
          <w:szCs w:val="24"/>
        </w:rPr>
        <w:t>HIGH COURT OF ZIMBABWE</w:t>
      </w:r>
    </w:p>
    <w:p w14:paraId="0C9F6872" w14:textId="35BCBAFB" w:rsidR="008B0F58" w:rsidRPr="007811AF" w:rsidRDefault="008B0F58" w:rsidP="007811AF">
      <w:pPr>
        <w:pStyle w:val="NoSpacing"/>
        <w:rPr>
          <w:rFonts w:ascii="Times New Roman" w:hAnsi="Times New Roman" w:cs="Times New Roman"/>
          <w:sz w:val="24"/>
          <w:szCs w:val="24"/>
        </w:rPr>
      </w:pPr>
      <w:r w:rsidRPr="007811AF">
        <w:rPr>
          <w:rFonts w:ascii="Times New Roman" w:hAnsi="Times New Roman" w:cs="Times New Roman"/>
          <w:sz w:val="24"/>
          <w:szCs w:val="24"/>
        </w:rPr>
        <w:t>COMMERCIAL DIVISION</w:t>
      </w:r>
    </w:p>
    <w:p w14:paraId="4428B866" w14:textId="2BACF946" w:rsidR="008B0F58" w:rsidRPr="007811AF" w:rsidRDefault="008B0F58" w:rsidP="007811AF">
      <w:pPr>
        <w:pStyle w:val="NoSpacing"/>
        <w:rPr>
          <w:rFonts w:ascii="Times New Roman" w:hAnsi="Times New Roman" w:cs="Times New Roman"/>
          <w:sz w:val="24"/>
          <w:szCs w:val="24"/>
        </w:rPr>
      </w:pPr>
      <w:r w:rsidRPr="007811AF">
        <w:rPr>
          <w:rFonts w:ascii="Times New Roman" w:hAnsi="Times New Roman" w:cs="Times New Roman"/>
          <w:sz w:val="24"/>
          <w:szCs w:val="24"/>
        </w:rPr>
        <w:t>CHILIMBE J</w:t>
      </w:r>
    </w:p>
    <w:p w14:paraId="2120C39D" w14:textId="74D1A8A4" w:rsidR="008B0F58" w:rsidRDefault="008B0F58" w:rsidP="007811AF">
      <w:pPr>
        <w:pStyle w:val="NoSpacing"/>
        <w:rPr>
          <w:rFonts w:ascii="Times New Roman" w:hAnsi="Times New Roman" w:cs="Times New Roman"/>
          <w:sz w:val="24"/>
          <w:szCs w:val="24"/>
        </w:rPr>
      </w:pPr>
      <w:r w:rsidRPr="007811AF">
        <w:rPr>
          <w:rFonts w:ascii="Times New Roman" w:hAnsi="Times New Roman" w:cs="Times New Roman"/>
          <w:sz w:val="24"/>
          <w:szCs w:val="24"/>
        </w:rPr>
        <w:t>HARARE 25 September &amp; 1</w:t>
      </w:r>
      <w:r w:rsidR="00467C58">
        <w:rPr>
          <w:rFonts w:ascii="Times New Roman" w:hAnsi="Times New Roman" w:cs="Times New Roman"/>
          <w:sz w:val="24"/>
          <w:szCs w:val="24"/>
        </w:rPr>
        <w:t>1</w:t>
      </w:r>
      <w:r w:rsidRPr="007811AF">
        <w:rPr>
          <w:rFonts w:ascii="Times New Roman" w:hAnsi="Times New Roman" w:cs="Times New Roman"/>
          <w:sz w:val="24"/>
          <w:szCs w:val="24"/>
        </w:rPr>
        <w:t xml:space="preserve"> October 2024</w:t>
      </w:r>
    </w:p>
    <w:p w14:paraId="1341D39D" w14:textId="77777777" w:rsidR="007811AF" w:rsidRDefault="007811AF" w:rsidP="007811AF">
      <w:pPr>
        <w:pStyle w:val="NoSpacing"/>
        <w:rPr>
          <w:rFonts w:ascii="Times New Roman" w:hAnsi="Times New Roman" w:cs="Times New Roman"/>
          <w:sz w:val="24"/>
          <w:szCs w:val="24"/>
        </w:rPr>
      </w:pPr>
    </w:p>
    <w:p w14:paraId="7EBC94D7" w14:textId="77777777" w:rsidR="007811AF" w:rsidRPr="007811AF" w:rsidRDefault="007811AF" w:rsidP="007811AF">
      <w:pPr>
        <w:pStyle w:val="NoSpacing"/>
        <w:rPr>
          <w:rFonts w:ascii="Times New Roman" w:hAnsi="Times New Roman" w:cs="Times New Roman"/>
          <w:sz w:val="24"/>
          <w:szCs w:val="24"/>
        </w:rPr>
      </w:pPr>
    </w:p>
    <w:p w14:paraId="41B28E59" w14:textId="68BD892D" w:rsidR="008B0F58" w:rsidRPr="007811AF" w:rsidRDefault="00205CDC" w:rsidP="007811A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E</w:t>
      </w:r>
      <w:r w:rsidR="008B0F58" w:rsidRPr="007811AF">
        <w:rPr>
          <w:rFonts w:ascii="Times New Roman" w:hAnsi="Times New Roman" w:cs="Times New Roman"/>
          <w:b/>
          <w:bCs/>
          <w:sz w:val="24"/>
          <w:szCs w:val="24"/>
        </w:rPr>
        <w:t>xception and special plea</w:t>
      </w:r>
    </w:p>
    <w:p w14:paraId="08C092D1" w14:textId="437A3C5E" w:rsidR="008B0F58" w:rsidRPr="007811AF" w:rsidRDefault="008B0F58" w:rsidP="007811AF">
      <w:pPr>
        <w:pStyle w:val="NoSpacing"/>
        <w:rPr>
          <w:rFonts w:ascii="Times New Roman" w:hAnsi="Times New Roman" w:cs="Times New Roman"/>
          <w:sz w:val="24"/>
          <w:szCs w:val="24"/>
        </w:rPr>
      </w:pPr>
      <w:r w:rsidRPr="007811AF">
        <w:rPr>
          <w:rFonts w:ascii="Times New Roman" w:hAnsi="Times New Roman" w:cs="Times New Roman"/>
          <w:i/>
          <w:iCs/>
          <w:sz w:val="24"/>
          <w:szCs w:val="24"/>
        </w:rPr>
        <w:t>A. Musona</w:t>
      </w:r>
      <w:r w:rsidRPr="007811AF">
        <w:rPr>
          <w:rFonts w:ascii="Times New Roman" w:hAnsi="Times New Roman" w:cs="Times New Roman"/>
          <w:sz w:val="24"/>
          <w:szCs w:val="24"/>
        </w:rPr>
        <w:t xml:space="preserve"> for </w:t>
      </w:r>
      <w:r w:rsidR="00AA19D1">
        <w:rPr>
          <w:rFonts w:ascii="Times New Roman" w:hAnsi="Times New Roman" w:cs="Times New Roman"/>
          <w:sz w:val="24"/>
          <w:szCs w:val="24"/>
        </w:rPr>
        <w:t>1</w:t>
      </w:r>
      <w:r w:rsidR="00AA19D1" w:rsidRPr="00AA19D1">
        <w:rPr>
          <w:rFonts w:ascii="Times New Roman" w:hAnsi="Times New Roman" w:cs="Times New Roman"/>
          <w:sz w:val="24"/>
          <w:szCs w:val="24"/>
          <w:vertAlign w:val="superscript"/>
        </w:rPr>
        <w:t>st</w:t>
      </w:r>
      <w:r w:rsidR="00AA19D1">
        <w:rPr>
          <w:rFonts w:ascii="Times New Roman" w:hAnsi="Times New Roman" w:cs="Times New Roman"/>
          <w:sz w:val="24"/>
          <w:szCs w:val="24"/>
        </w:rPr>
        <w:t xml:space="preserve"> and 2</w:t>
      </w:r>
      <w:r w:rsidR="00AA19D1" w:rsidRPr="00AA19D1">
        <w:rPr>
          <w:rFonts w:ascii="Times New Roman" w:hAnsi="Times New Roman" w:cs="Times New Roman"/>
          <w:sz w:val="24"/>
          <w:szCs w:val="24"/>
          <w:vertAlign w:val="superscript"/>
        </w:rPr>
        <w:t>nd</w:t>
      </w:r>
      <w:r w:rsidR="00AA19D1">
        <w:rPr>
          <w:rFonts w:ascii="Times New Roman" w:hAnsi="Times New Roman" w:cs="Times New Roman"/>
          <w:sz w:val="24"/>
          <w:szCs w:val="24"/>
        </w:rPr>
        <w:t xml:space="preserve"> </w:t>
      </w:r>
      <w:r w:rsidRPr="007811AF">
        <w:rPr>
          <w:rFonts w:ascii="Times New Roman" w:hAnsi="Times New Roman" w:cs="Times New Roman"/>
          <w:sz w:val="24"/>
          <w:szCs w:val="24"/>
        </w:rPr>
        <w:t>plaintiffs</w:t>
      </w:r>
    </w:p>
    <w:p w14:paraId="3EE2ADC2" w14:textId="21F8D821" w:rsidR="008B0F58" w:rsidRPr="007811AF" w:rsidRDefault="008B0F58" w:rsidP="007811AF">
      <w:pPr>
        <w:pStyle w:val="NoSpacing"/>
        <w:rPr>
          <w:rFonts w:ascii="Times New Roman" w:hAnsi="Times New Roman" w:cs="Times New Roman"/>
          <w:sz w:val="24"/>
          <w:szCs w:val="24"/>
        </w:rPr>
      </w:pPr>
      <w:r w:rsidRPr="007811AF">
        <w:rPr>
          <w:rFonts w:ascii="Times New Roman" w:hAnsi="Times New Roman" w:cs="Times New Roman"/>
          <w:i/>
          <w:iCs/>
          <w:sz w:val="24"/>
          <w:szCs w:val="24"/>
        </w:rPr>
        <w:t>T. Tandiri</w:t>
      </w:r>
      <w:r w:rsidRPr="007811AF">
        <w:rPr>
          <w:rFonts w:ascii="Times New Roman" w:hAnsi="Times New Roman" w:cs="Times New Roman"/>
          <w:sz w:val="24"/>
          <w:szCs w:val="24"/>
        </w:rPr>
        <w:t xml:space="preserve"> for </w:t>
      </w:r>
      <w:r w:rsidR="00AA19D1">
        <w:rPr>
          <w:rFonts w:ascii="Times New Roman" w:hAnsi="Times New Roman" w:cs="Times New Roman"/>
          <w:sz w:val="24"/>
          <w:szCs w:val="24"/>
        </w:rPr>
        <w:t>1</w:t>
      </w:r>
      <w:r w:rsidR="00AA19D1" w:rsidRPr="00AA19D1">
        <w:rPr>
          <w:rFonts w:ascii="Times New Roman" w:hAnsi="Times New Roman" w:cs="Times New Roman"/>
          <w:sz w:val="24"/>
          <w:szCs w:val="24"/>
          <w:vertAlign w:val="superscript"/>
        </w:rPr>
        <w:t>st</w:t>
      </w:r>
      <w:r w:rsidR="00AA19D1">
        <w:rPr>
          <w:rFonts w:ascii="Times New Roman" w:hAnsi="Times New Roman" w:cs="Times New Roman"/>
          <w:sz w:val="24"/>
          <w:szCs w:val="24"/>
        </w:rPr>
        <w:t xml:space="preserve"> </w:t>
      </w:r>
      <w:r w:rsidRPr="007811AF">
        <w:rPr>
          <w:rFonts w:ascii="Times New Roman" w:hAnsi="Times New Roman" w:cs="Times New Roman"/>
          <w:sz w:val="24"/>
          <w:szCs w:val="24"/>
        </w:rPr>
        <w:t>,2</w:t>
      </w:r>
      <w:r w:rsidR="00AA19D1" w:rsidRPr="00AA19D1">
        <w:rPr>
          <w:rFonts w:ascii="Times New Roman" w:hAnsi="Times New Roman" w:cs="Times New Roman"/>
          <w:sz w:val="24"/>
          <w:szCs w:val="24"/>
          <w:vertAlign w:val="superscript"/>
        </w:rPr>
        <w:t>nd</w:t>
      </w:r>
      <w:r w:rsidR="00AA19D1">
        <w:rPr>
          <w:rFonts w:ascii="Times New Roman" w:hAnsi="Times New Roman" w:cs="Times New Roman"/>
          <w:sz w:val="24"/>
          <w:szCs w:val="24"/>
        </w:rPr>
        <w:t xml:space="preserve"> </w:t>
      </w:r>
      <w:r w:rsidRPr="007811AF">
        <w:rPr>
          <w:rFonts w:ascii="Times New Roman" w:hAnsi="Times New Roman" w:cs="Times New Roman"/>
          <w:sz w:val="24"/>
          <w:szCs w:val="24"/>
        </w:rPr>
        <w:t>and 3</w:t>
      </w:r>
      <w:r w:rsidR="00AA19D1" w:rsidRPr="00AA19D1">
        <w:rPr>
          <w:rFonts w:ascii="Times New Roman" w:hAnsi="Times New Roman" w:cs="Times New Roman"/>
          <w:sz w:val="24"/>
          <w:szCs w:val="24"/>
          <w:vertAlign w:val="superscript"/>
        </w:rPr>
        <w:t>rd</w:t>
      </w:r>
      <w:r w:rsidR="00AA19D1">
        <w:rPr>
          <w:rFonts w:ascii="Times New Roman" w:hAnsi="Times New Roman" w:cs="Times New Roman"/>
          <w:sz w:val="24"/>
          <w:szCs w:val="24"/>
        </w:rPr>
        <w:t xml:space="preserve"> </w:t>
      </w:r>
      <w:r w:rsidRPr="007811AF">
        <w:rPr>
          <w:rFonts w:ascii="Times New Roman" w:hAnsi="Times New Roman" w:cs="Times New Roman"/>
          <w:sz w:val="24"/>
          <w:szCs w:val="24"/>
        </w:rPr>
        <w:t>defendants</w:t>
      </w:r>
    </w:p>
    <w:p w14:paraId="54586AD2" w14:textId="6378A62F" w:rsidR="00A6420A" w:rsidRPr="007811AF" w:rsidRDefault="008B0F58" w:rsidP="00AA19D1">
      <w:pPr>
        <w:pStyle w:val="NoSpacing"/>
        <w:rPr>
          <w:rFonts w:ascii="Times New Roman" w:hAnsi="Times New Roman" w:cs="Times New Roman"/>
          <w:sz w:val="24"/>
          <w:szCs w:val="24"/>
        </w:rPr>
      </w:pPr>
      <w:r w:rsidRPr="007811AF">
        <w:rPr>
          <w:rFonts w:ascii="Times New Roman" w:hAnsi="Times New Roman" w:cs="Times New Roman"/>
          <w:sz w:val="24"/>
          <w:szCs w:val="24"/>
        </w:rPr>
        <w:t>No appearance for 4</w:t>
      </w:r>
      <w:r w:rsidR="00AA19D1" w:rsidRPr="00AA19D1">
        <w:rPr>
          <w:rFonts w:ascii="Times New Roman" w:hAnsi="Times New Roman" w:cs="Times New Roman"/>
          <w:sz w:val="24"/>
          <w:szCs w:val="24"/>
          <w:vertAlign w:val="superscript"/>
        </w:rPr>
        <w:t>th</w:t>
      </w:r>
      <w:r w:rsidR="00AA19D1">
        <w:rPr>
          <w:rFonts w:ascii="Times New Roman" w:hAnsi="Times New Roman" w:cs="Times New Roman"/>
          <w:sz w:val="24"/>
          <w:szCs w:val="24"/>
        </w:rPr>
        <w:t xml:space="preserve"> </w:t>
      </w:r>
      <w:r w:rsidRPr="007811AF">
        <w:rPr>
          <w:rFonts w:ascii="Times New Roman" w:hAnsi="Times New Roman" w:cs="Times New Roman"/>
          <w:sz w:val="24"/>
          <w:szCs w:val="24"/>
        </w:rPr>
        <w:t>,5</w:t>
      </w:r>
      <w:r w:rsidR="00AA19D1" w:rsidRPr="00AA19D1">
        <w:rPr>
          <w:rFonts w:ascii="Times New Roman" w:hAnsi="Times New Roman" w:cs="Times New Roman"/>
          <w:sz w:val="24"/>
          <w:szCs w:val="24"/>
          <w:vertAlign w:val="superscript"/>
        </w:rPr>
        <w:t>th</w:t>
      </w:r>
      <w:r w:rsidR="00AA19D1">
        <w:rPr>
          <w:rFonts w:ascii="Times New Roman" w:hAnsi="Times New Roman" w:cs="Times New Roman"/>
          <w:sz w:val="24"/>
          <w:szCs w:val="24"/>
        </w:rPr>
        <w:t xml:space="preserve"> and 6</w:t>
      </w:r>
      <w:r w:rsidR="00AA19D1" w:rsidRPr="00AA19D1">
        <w:rPr>
          <w:rFonts w:ascii="Times New Roman" w:hAnsi="Times New Roman" w:cs="Times New Roman"/>
          <w:sz w:val="24"/>
          <w:szCs w:val="24"/>
          <w:vertAlign w:val="superscript"/>
        </w:rPr>
        <w:t>th</w:t>
      </w:r>
      <w:r w:rsidR="00AA19D1">
        <w:rPr>
          <w:rFonts w:ascii="Times New Roman" w:hAnsi="Times New Roman" w:cs="Times New Roman"/>
          <w:sz w:val="24"/>
          <w:szCs w:val="24"/>
        </w:rPr>
        <w:t xml:space="preserve"> </w:t>
      </w:r>
      <w:r w:rsidR="00AA19D1" w:rsidRPr="007811AF">
        <w:rPr>
          <w:rFonts w:ascii="Times New Roman" w:hAnsi="Times New Roman" w:cs="Times New Roman"/>
          <w:sz w:val="24"/>
          <w:szCs w:val="24"/>
        </w:rPr>
        <w:t>defendants</w:t>
      </w:r>
    </w:p>
    <w:p w14:paraId="228958BC" w14:textId="77777777" w:rsidR="00A6420A" w:rsidRPr="007811AF" w:rsidRDefault="00A6420A" w:rsidP="007811AF">
      <w:pPr>
        <w:pStyle w:val="NoSpacing"/>
        <w:spacing w:line="360" w:lineRule="auto"/>
        <w:jc w:val="both"/>
        <w:rPr>
          <w:rFonts w:ascii="Times New Roman" w:hAnsi="Times New Roman" w:cs="Times New Roman"/>
          <w:sz w:val="24"/>
          <w:szCs w:val="24"/>
        </w:rPr>
      </w:pPr>
    </w:p>
    <w:p w14:paraId="2513B52F" w14:textId="3A357339" w:rsidR="00A6420A" w:rsidRDefault="00A6420A" w:rsidP="007811AF">
      <w:pPr>
        <w:pStyle w:val="NoSpacing"/>
        <w:spacing w:line="360" w:lineRule="auto"/>
        <w:jc w:val="both"/>
        <w:rPr>
          <w:rFonts w:ascii="Times New Roman" w:hAnsi="Times New Roman" w:cs="Times New Roman"/>
          <w:sz w:val="24"/>
          <w:szCs w:val="24"/>
        </w:rPr>
      </w:pPr>
      <w:r w:rsidRPr="007811AF">
        <w:rPr>
          <w:rFonts w:ascii="Times New Roman" w:hAnsi="Times New Roman" w:cs="Times New Roman"/>
          <w:sz w:val="24"/>
          <w:szCs w:val="24"/>
        </w:rPr>
        <w:t>CHILIMBE J</w:t>
      </w:r>
    </w:p>
    <w:p w14:paraId="272199E9" w14:textId="77777777" w:rsidR="00AA19D1" w:rsidRDefault="00AA19D1" w:rsidP="007811AF">
      <w:pPr>
        <w:pStyle w:val="NoSpacing"/>
        <w:spacing w:line="360" w:lineRule="auto"/>
        <w:jc w:val="both"/>
        <w:rPr>
          <w:rFonts w:ascii="Times New Roman" w:hAnsi="Times New Roman" w:cs="Times New Roman"/>
          <w:sz w:val="24"/>
          <w:szCs w:val="24"/>
        </w:rPr>
      </w:pPr>
    </w:p>
    <w:p w14:paraId="3D4D10BC" w14:textId="0D788450" w:rsidR="00AA19D1" w:rsidRPr="007811AF" w:rsidRDefault="00AA19D1" w:rsidP="007811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BACKGROUND</w:t>
      </w:r>
    </w:p>
    <w:p w14:paraId="22EEB86B" w14:textId="1E56DC05" w:rsidR="0086202B" w:rsidRDefault="00A6420A" w:rsidP="007811AF">
      <w:pPr>
        <w:pStyle w:val="NoSpacing"/>
        <w:spacing w:line="360" w:lineRule="auto"/>
        <w:jc w:val="both"/>
        <w:rPr>
          <w:rFonts w:ascii="Times New Roman" w:hAnsi="Times New Roman" w:cs="Times New Roman"/>
          <w:sz w:val="24"/>
          <w:szCs w:val="24"/>
        </w:rPr>
      </w:pPr>
      <w:r w:rsidRPr="007811AF">
        <w:rPr>
          <w:rFonts w:ascii="Times New Roman" w:hAnsi="Times New Roman" w:cs="Times New Roman"/>
          <w:sz w:val="24"/>
          <w:szCs w:val="24"/>
        </w:rPr>
        <w:t xml:space="preserve">[1] </w:t>
      </w:r>
      <w:r w:rsidR="0086202B">
        <w:rPr>
          <w:rFonts w:ascii="Times New Roman" w:hAnsi="Times New Roman" w:cs="Times New Roman"/>
          <w:sz w:val="24"/>
          <w:szCs w:val="24"/>
        </w:rPr>
        <w:t>First and second p</w:t>
      </w:r>
      <w:r w:rsidR="00B3681A">
        <w:rPr>
          <w:rFonts w:ascii="Times New Roman" w:hAnsi="Times New Roman" w:cs="Times New Roman"/>
          <w:sz w:val="24"/>
          <w:szCs w:val="24"/>
        </w:rPr>
        <w:t xml:space="preserve">laintiffs Simon and Leah Chayayi (“Mr and Mrs Chayayi”) instituted </w:t>
      </w:r>
      <w:r w:rsidR="0086202B">
        <w:rPr>
          <w:rFonts w:ascii="Times New Roman" w:hAnsi="Times New Roman" w:cs="Times New Roman"/>
          <w:sz w:val="24"/>
          <w:szCs w:val="24"/>
        </w:rPr>
        <w:t xml:space="preserve">declaratory proceedings </w:t>
      </w:r>
      <w:r w:rsidR="001C0AAF">
        <w:rPr>
          <w:rFonts w:ascii="Times New Roman" w:hAnsi="Times New Roman" w:cs="Times New Roman"/>
          <w:sz w:val="24"/>
          <w:szCs w:val="24"/>
        </w:rPr>
        <w:t xml:space="preserve">for </w:t>
      </w:r>
      <w:r w:rsidR="0086202B">
        <w:rPr>
          <w:rFonts w:ascii="Times New Roman" w:hAnsi="Times New Roman" w:cs="Times New Roman"/>
          <w:sz w:val="24"/>
          <w:szCs w:val="24"/>
        </w:rPr>
        <w:t>an order confirming</w:t>
      </w:r>
      <w:r w:rsidR="00B3681A">
        <w:rPr>
          <w:rFonts w:ascii="Times New Roman" w:hAnsi="Times New Roman" w:cs="Times New Roman"/>
          <w:sz w:val="24"/>
          <w:szCs w:val="24"/>
        </w:rPr>
        <w:t xml:space="preserve"> their rights title and interest in an immovable property situate in Mutare. </w:t>
      </w:r>
    </w:p>
    <w:p w14:paraId="2BA4CCE9" w14:textId="77777777" w:rsidR="0086202B" w:rsidRDefault="0086202B" w:rsidP="007811AF">
      <w:pPr>
        <w:pStyle w:val="NoSpacing"/>
        <w:spacing w:line="360" w:lineRule="auto"/>
        <w:jc w:val="both"/>
        <w:rPr>
          <w:rFonts w:ascii="Times New Roman" w:hAnsi="Times New Roman" w:cs="Times New Roman"/>
          <w:sz w:val="24"/>
          <w:szCs w:val="24"/>
        </w:rPr>
      </w:pPr>
    </w:p>
    <w:p w14:paraId="51639ADC" w14:textId="7CE5A945" w:rsidR="00A6420A" w:rsidRDefault="0086202B" w:rsidP="007811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 The</w:t>
      </w:r>
      <w:r w:rsidR="00B3681A">
        <w:rPr>
          <w:rFonts w:ascii="Times New Roman" w:hAnsi="Times New Roman" w:cs="Times New Roman"/>
          <w:sz w:val="24"/>
          <w:szCs w:val="24"/>
        </w:rPr>
        <w:t xml:space="preserve"> action was resisted by </w:t>
      </w:r>
      <w:r w:rsidR="00A6420A" w:rsidRPr="007811AF">
        <w:rPr>
          <w:rFonts w:ascii="Times New Roman" w:hAnsi="Times New Roman" w:cs="Times New Roman"/>
          <w:sz w:val="24"/>
          <w:szCs w:val="24"/>
        </w:rPr>
        <w:t xml:space="preserve">first, second and third </w:t>
      </w:r>
      <w:r w:rsidR="002B40F7" w:rsidRPr="007811AF">
        <w:rPr>
          <w:rFonts w:ascii="Times New Roman" w:hAnsi="Times New Roman" w:cs="Times New Roman"/>
          <w:sz w:val="24"/>
          <w:szCs w:val="24"/>
        </w:rPr>
        <w:t>defendants</w:t>
      </w:r>
      <w:r w:rsidR="002B40F7">
        <w:rPr>
          <w:rFonts w:ascii="Times New Roman" w:hAnsi="Times New Roman" w:cs="Times New Roman"/>
          <w:sz w:val="24"/>
          <w:szCs w:val="24"/>
        </w:rPr>
        <w:t xml:space="preserve">. I will refer to these as </w:t>
      </w:r>
      <w:r w:rsidR="00B3681A">
        <w:rPr>
          <w:rFonts w:ascii="Times New Roman" w:hAnsi="Times New Roman" w:cs="Times New Roman"/>
          <w:sz w:val="24"/>
          <w:szCs w:val="24"/>
        </w:rPr>
        <w:t xml:space="preserve">“the Harry Trust”, “Mr. Nhiwatiwa” and “Baxter Paints” </w:t>
      </w:r>
      <w:r w:rsidR="00467C58">
        <w:rPr>
          <w:rFonts w:ascii="Times New Roman" w:hAnsi="Times New Roman" w:cs="Times New Roman"/>
          <w:sz w:val="24"/>
          <w:szCs w:val="24"/>
        </w:rPr>
        <w:t>respectively</w:t>
      </w:r>
      <w:r w:rsidR="008448FA">
        <w:rPr>
          <w:rFonts w:ascii="Times New Roman" w:hAnsi="Times New Roman" w:cs="Times New Roman"/>
          <w:sz w:val="24"/>
          <w:szCs w:val="24"/>
        </w:rPr>
        <w:t xml:space="preserve"> or just the excipients</w:t>
      </w:r>
      <w:r w:rsidR="00467C58">
        <w:rPr>
          <w:rFonts w:ascii="Times New Roman" w:hAnsi="Times New Roman" w:cs="Times New Roman"/>
          <w:sz w:val="24"/>
          <w:szCs w:val="24"/>
        </w:rPr>
        <w:t>. The fourth, fifth and sixth defendants are not participant herein.</w:t>
      </w:r>
      <w:r w:rsidR="00B3681A">
        <w:rPr>
          <w:rFonts w:ascii="Times New Roman" w:hAnsi="Times New Roman" w:cs="Times New Roman"/>
          <w:sz w:val="24"/>
          <w:szCs w:val="24"/>
        </w:rPr>
        <w:t xml:space="preserve"> Additional to a plea on the merits, the</w:t>
      </w:r>
      <w:r w:rsidR="008448FA">
        <w:rPr>
          <w:rFonts w:ascii="Times New Roman" w:hAnsi="Times New Roman" w:cs="Times New Roman"/>
          <w:sz w:val="24"/>
          <w:szCs w:val="24"/>
        </w:rPr>
        <w:t xml:space="preserve"> first </w:t>
      </w:r>
      <w:r w:rsidR="00B3681A">
        <w:rPr>
          <w:rFonts w:ascii="Times New Roman" w:hAnsi="Times New Roman" w:cs="Times New Roman"/>
          <w:sz w:val="24"/>
          <w:szCs w:val="24"/>
        </w:rPr>
        <w:t xml:space="preserve">three defendants </w:t>
      </w:r>
      <w:r w:rsidR="00B3681A" w:rsidRPr="007811AF">
        <w:rPr>
          <w:rFonts w:ascii="Times New Roman" w:hAnsi="Times New Roman" w:cs="Times New Roman"/>
          <w:sz w:val="24"/>
          <w:szCs w:val="24"/>
        </w:rPr>
        <w:t>moved</w:t>
      </w:r>
      <w:r w:rsidR="00A6420A" w:rsidRPr="007811AF">
        <w:rPr>
          <w:rFonts w:ascii="Times New Roman" w:hAnsi="Times New Roman" w:cs="Times New Roman"/>
          <w:sz w:val="24"/>
          <w:szCs w:val="24"/>
        </w:rPr>
        <w:t xml:space="preserve"> an exception and special plea</w:t>
      </w:r>
      <w:r w:rsidR="00AA19D1">
        <w:rPr>
          <w:rFonts w:ascii="Times New Roman" w:hAnsi="Times New Roman" w:cs="Times New Roman"/>
          <w:sz w:val="24"/>
          <w:szCs w:val="24"/>
        </w:rPr>
        <w:t>s</w:t>
      </w:r>
      <w:r w:rsidR="00A6420A" w:rsidRPr="007811AF">
        <w:rPr>
          <w:rFonts w:ascii="Times New Roman" w:hAnsi="Times New Roman" w:cs="Times New Roman"/>
          <w:sz w:val="24"/>
          <w:szCs w:val="24"/>
        </w:rPr>
        <w:t xml:space="preserve"> under the following heads; -</w:t>
      </w:r>
    </w:p>
    <w:p w14:paraId="3818ABA1" w14:textId="77777777" w:rsidR="00AA19D1" w:rsidRPr="007811AF" w:rsidRDefault="00AA19D1" w:rsidP="007811AF">
      <w:pPr>
        <w:pStyle w:val="NoSpacing"/>
        <w:spacing w:line="360" w:lineRule="auto"/>
        <w:jc w:val="both"/>
        <w:rPr>
          <w:rFonts w:ascii="Times New Roman" w:hAnsi="Times New Roman" w:cs="Times New Roman"/>
          <w:sz w:val="24"/>
          <w:szCs w:val="24"/>
        </w:rPr>
      </w:pPr>
    </w:p>
    <w:p w14:paraId="5B88EABD" w14:textId="257D2073" w:rsidR="007811AF" w:rsidRPr="007811AF" w:rsidRDefault="007811AF" w:rsidP="00AA19D1">
      <w:pPr>
        <w:pStyle w:val="NoSpacing"/>
        <w:spacing w:line="360" w:lineRule="auto"/>
        <w:ind w:left="851"/>
        <w:jc w:val="both"/>
        <w:rPr>
          <w:rFonts w:ascii="Times New Roman" w:hAnsi="Times New Roman" w:cs="Times New Roman"/>
          <w:sz w:val="24"/>
          <w:szCs w:val="24"/>
        </w:rPr>
      </w:pPr>
      <w:r w:rsidRPr="00AA19D1">
        <w:rPr>
          <w:rFonts w:ascii="Times New Roman" w:hAnsi="Times New Roman" w:cs="Times New Roman"/>
          <w:sz w:val="24"/>
          <w:szCs w:val="24"/>
          <w:u w:val="single"/>
        </w:rPr>
        <w:lastRenderedPageBreak/>
        <w:t>Exceptions</w:t>
      </w:r>
    </w:p>
    <w:p w14:paraId="1F4A6F8A" w14:textId="36544FDF" w:rsidR="00A6420A" w:rsidRPr="007811AF" w:rsidRDefault="00A6420A" w:rsidP="00AA19D1">
      <w:pPr>
        <w:pStyle w:val="NoSpacing"/>
        <w:numPr>
          <w:ilvl w:val="0"/>
          <w:numId w:val="1"/>
        </w:numPr>
        <w:spacing w:line="360" w:lineRule="auto"/>
        <w:ind w:left="851"/>
        <w:jc w:val="both"/>
        <w:rPr>
          <w:rFonts w:ascii="Times New Roman" w:hAnsi="Times New Roman" w:cs="Times New Roman"/>
          <w:sz w:val="24"/>
          <w:szCs w:val="24"/>
        </w:rPr>
      </w:pPr>
      <w:r w:rsidRPr="007811AF">
        <w:rPr>
          <w:rFonts w:ascii="Times New Roman" w:hAnsi="Times New Roman" w:cs="Times New Roman"/>
          <w:sz w:val="24"/>
          <w:szCs w:val="24"/>
        </w:rPr>
        <w:t>The summons are defective for want of compliance with rule 12 (5) (d) of the High Court Rules SI 202/21 (“the High Court Rules”) and Form CC 1 in that they do not give a concise statement of the nature, extent and grounds of plaintiff` cause of action.</w:t>
      </w:r>
    </w:p>
    <w:p w14:paraId="23E4DDDA" w14:textId="77777777" w:rsidR="00A6420A" w:rsidRPr="007811AF" w:rsidRDefault="00A6420A" w:rsidP="00AA19D1">
      <w:pPr>
        <w:pStyle w:val="NoSpacing"/>
        <w:spacing w:line="360" w:lineRule="auto"/>
        <w:ind w:left="851"/>
        <w:jc w:val="both"/>
        <w:rPr>
          <w:rFonts w:ascii="Times New Roman" w:hAnsi="Times New Roman" w:cs="Times New Roman"/>
          <w:sz w:val="24"/>
          <w:szCs w:val="24"/>
        </w:rPr>
      </w:pPr>
    </w:p>
    <w:p w14:paraId="0043FE33" w14:textId="5B4D1376" w:rsidR="00A6420A" w:rsidRPr="007811AF" w:rsidRDefault="00A6420A" w:rsidP="00AA19D1">
      <w:pPr>
        <w:pStyle w:val="NoSpacing"/>
        <w:numPr>
          <w:ilvl w:val="0"/>
          <w:numId w:val="1"/>
        </w:numPr>
        <w:spacing w:line="360" w:lineRule="auto"/>
        <w:ind w:left="851"/>
        <w:jc w:val="both"/>
        <w:rPr>
          <w:rFonts w:ascii="Times New Roman" w:hAnsi="Times New Roman" w:cs="Times New Roman"/>
          <w:sz w:val="24"/>
          <w:szCs w:val="24"/>
        </w:rPr>
      </w:pPr>
      <w:r w:rsidRPr="007811AF">
        <w:rPr>
          <w:rFonts w:ascii="Times New Roman" w:hAnsi="Times New Roman" w:cs="Times New Roman"/>
          <w:sz w:val="24"/>
          <w:szCs w:val="24"/>
        </w:rPr>
        <w:t xml:space="preserve">The declaration </w:t>
      </w:r>
      <w:r w:rsidR="00A17D89">
        <w:rPr>
          <w:rFonts w:ascii="Times New Roman" w:hAnsi="Times New Roman" w:cs="Times New Roman"/>
          <w:sz w:val="24"/>
          <w:szCs w:val="24"/>
        </w:rPr>
        <w:t xml:space="preserve">also </w:t>
      </w:r>
      <w:r w:rsidRPr="007811AF">
        <w:rPr>
          <w:rFonts w:ascii="Times New Roman" w:hAnsi="Times New Roman" w:cs="Times New Roman"/>
          <w:sz w:val="24"/>
          <w:szCs w:val="24"/>
        </w:rPr>
        <w:t>offends rule 13 of the High Court Rules in that it is prolix, fails to disclose the cause of action, and contains attachments.</w:t>
      </w:r>
    </w:p>
    <w:p w14:paraId="662779CC" w14:textId="77777777" w:rsidR="007811AF" w:rsidRPr="00AA19D1" w:rsidRDefault="007811AF" w:rsidP="00AA19D1">
      <w:pPr>
        <w:pStyle w:val="NoSpacing"/>
        <w:spacing w:line="360" w:lineRule="auto"/>
        <w:ind w:left="851"/>
        <w:jc w:val="both"/>
        <w:rPr>
          <w:rFonts w:ascii="Times New Roman" w:hAnsi="Times New Roman" w:cs="Times New Roman"/>
          <w:sz w:val="24"/>
          <w:szCs w:val="24"/>
          <w:u w:val="single"/>
        </w:rPr>
      </w:pPr>
      <w:r w:rsidRPr="00AA19D1">
        <w:rPr>
          <w:rFonts w:ascii="Times New Roman" w:hAnsi="Times New Roman" w:cs="Times New Roman"/>
          <w:sz w:val="24"/>
          <w:szCs w:val="24"/>
          <w:u w:val="single"/>
        </w:rPr>
        <w:t>Special pleas</w:t>
      </w:r>
    </w:p>
    <w:p w14:paraId="09868771" w14:textId="2953F7FC" w:rsidR="007811AF" w:rsidRPr="007811AF" w:rsidRDefault="007811AF" w:rsidP="00AA19D1">
      <w:pPr>
        <w:pStyle w:val="NoSpacing"/>
        <w:numPr>
          <w:ilvl w:val="0"/>
          <w:numId w:val="2"/>
        </w:numPr>
        <w:spacing w:line="360" w:lineRule="auto"/>
        <w:ind w:left="851"/>
        <w:jc w:val="both"/>
        <w:rPr>
          <w:rFonts w:ascii="Times New Roman" w:hAnsi="Times New Roman" w:cs="Times New Roman"/>
          <w:sz w:val="24"/>
          <w:szCs w:val="24"/>
        </w:rPr>
      </w:pPr>
      <w:r w:rsidRPr="007811AF">
        <w:rPr>
          <w:rFonts w:ascii="Times New Roman" w:hAnsi="Times New Roman" w:cs="Times New Roman"/>
          <w:sz w:val="24"/>
          <w:szCs w:val="24"/>
        </w:rPr>
        <w:t>Lis pendens-t</w:t>
      </w:r>
      <w:r w:rsidR="00A6420A" w:rsidRPr="007811AF">
        <w:rPr>
          <w:rFonts w:ascii="Times New Roman" w:hAnsi="Times New Roman" w:cs="Times New Roman"/>
          <w:sz w:val="24"/>
          <w:szCs w:val="24"/>
        </w:rPr>
        <w:t xml:space="preserve">he same causa between the same parties is pending litigation </w:t>
      </w:r>
      <w:r w:rsidRPr="007811AF">
        <w:rPr>
          <w:rFonts w:ascii="Times New Roman" w:hAnsi="Times New Roman" w:cs="Times New Roman"/>
          <w:sz w:val="24"/>
          <w:szCs w:val="24"/>
        </w:rPr>
        <w:t>in this court under case number HCH 5245/23.</w:t>
      </w:r>
    </w:p>
    <w:p w14:paraId="39680763" w14:textId="77777777" w:rsidR="007811AF" w:rsidRPr="007811AF" w:rsidRDefault="007811AF" w:rsidP="00AA19D1">
      <w:pPr>
        <w:pStyle w:val="NoSpacing"/>
        <w:spacing w:line="360" w:lineRule="auto"/>
        <w:ind w:left="851"/>
        <w:jc w:val="both"/>
        <w:rPr>
          <w:rFonts w:ascii="Times New Roman" w:hAnsi="Times New Roman" w:cs="Times New Roman"/>
          <w:sz w:val="24"/>
          <w:szCs w:val="24"/>
        </w:rPr>
      </w:pPr>
    </w:p>
    <w:p w14:paraId="2B9C2AF8" w14:textId="64519BAA" w:rsidR="007811AF" w:rsidRPr="007811AF" w:rsidRDefault="007811AF" w:rsidP="00AA19D1">
      <w:pPr>
        <w:pStyle w:val="NoSpacing"/>
        <w:numPr>
          <w:ilvl w:val="0"/>
          <w:numId w:val="2"/>
        </w:numPr>
        <w:spacing w:line="360" w:lineRule="auto"/>
        <w:ind w:left="851"/>
        <w:jc w:val="both"/>
        <w:rPr>
          <w:rFonts w:ascii="Times New Roman" w:hAnsi="Times New Roman" w:cs="Times New Roman"/>
          <w:sz w:val="24"/>
          <w:szCs w:val="24"/>
        </w:rPr>
      </w:pPr>
      <w:r w:rsidRPr="007811AF">
        <w:rPr>
          <w:rFonts w:ascii="Times New Roman" w:hAnsi="Times New Roman" w:cs="Times New Roman"/>
          <w:sz w:val="24"/>
          <w:szCs w:val="24"/>
        </w:rPr>
        <w:t>The matter was subject to an arbitration agreement and had been improperly instituted herein.</w:t>
      </w:r>
    </w:p>
    <w:p w14:paraId="4461B68B" w14:textId="77777777" w:rsidR="007811AF" w:rsidRPr="007811AF" w:rsidRDefault="007811AF" w:rsidP="00AA19D1">
      <w:pPr>
        <w:pStyle w:val="NoSpacing"/>
        <w:spacing w:line="360" w:lineRule="auto"/>
        <w:ind w:left="851"/>
        <w:jc w:val="both"/>
        <w:rPr>
          <w:rFonts w:ascii="Times New Roman" w:hAnsi="Times New Roman" w:cs="Times New Roman"/>
          <w:sz w:val="24"/>
          <w:szCs w:val="24"/>
        </w:rPr>
      </w:pPr>
    </w:p>
    <w:p w14:paraId="303E0C7B" w14:textId="77777777" w:rsidR="007811AF" w:rsidRPr="007811AF" w:rsidRDefault="007811AF" w:rsidP="00AA19D1">
      <w:pPr>
        <w:pStyle w:val="NoSpacing"/>
        <w:numPr>
          <w:ilvl w:val="0"/>
          <w:numId w:val="2"/>
        </w:numPr>
        <w:spacing w:line="360" w:lineRule="auto"/>
        <w:ind w:left="851"/>
        <w:jc w:val="both"/>
        <w:rPr>
          <w:rFonts w:ascii="Times New Roman" w:hAnsi="Times New Roman" w:cs="Times New Roman"/>
          <w:sz w:val="24"/>
          <w:szCs w:val="24"/>
        </w:rPr>
      </w:pPr>
      <w:r w:rsidRPr="007811AF">
        <w:rPr>
          <w:rFonts w:ascii="Times New Roman" w:hAnsi="Times New Roman" w:cs="Times New Roman"/>
          <w:sz w:val="24"/>
          <w:szCs w:val="24"/>
        </w:rPr>
        <w:t>Plaintiffs lacked locus standi</w:t>
      </w:r>
    </w:p>
    <w:p w14:paraId="3D3D404D" w14:textId="77777777" w:rsidR="007811AF" w:rsidRPr="007811AF" w:rsidRDefault="007811AF" w:rsidP="00AA19D1">
      <w:pPr>
        <w:pStyle w:val="NoSpacing"/>
        <w:spacing w:line="360" w:lineRule="auto"/>
        <w:ind w:left="851"/>
        <w:jc w:val="both"/>
        <w:rPr>
          <w:rFonts w:ascii="Times New Roman" w:hAnsi="Times New Roman" w:cs="Times New Roman"/>
          <w:sz w:val="24"/>
          <w:szCs w:val="24"/>
        </w:rPr>
      </w:pPr>
    </w:p>
    <w:p w14:paraId="7406A5E1" w14:textId="77777777" w:rsidR="007811AF" w:rsidRPr="007811AF" w:rsidRDefault="007811AF" w:rsidP="00AA19D1">
      <w:pPr>
        <w:pStyle w:val="NoSpacing"/>
        <w:numPr>
          <w:ilvl w:val="0"/>
          <w:numId w:val="2"/>
        </w:numPr>
        <w:spacing w:line="360" w:lineRule="auto"/>
        <w:ind w:left="851"/>
        <w:jc w:val="both"/>
        <w:rPr>
          <w:rFonts w:ascii="Times New Roman" w:hAnsi="Times New Roman" w:cs="Times New Roman"/>
          <w:sz w:val="24"/>
          <w:szCs w:val="24"/>
        </w:rPr>
      </w:pPr>
      <w:r w:rsidRPr="007811AF">
        <w:rPr>
          <w:rFonts w:ascii="Times New Roman" w:hAnsi="Times New Roman" w:cs="Times New Roman"/>
          <w:sz w:val="24"/>
          <w:szCs w:val="24"/>
        </w:rPr>
        <w:t>The matter had prescribed</w:t>
      </w:r>
    </w:p>
    <w:p w14:paraId="03A176A7" w14:textId="77777777" w:rsidR="007811AF" w:rsidRPr="007811AF" w:rsidRDefault="007811AF" w:rsidP="00AA19D1">
      <w:pPr>
        <w:pStyle w:val="NoSpacing"/>
        <w:spacing w:line="360" w:lineRule="auto"/>
        <w:ind w:left="851"/>
        <w:jc w:val="both"/>
        <w:rPr>
          <w:rFonts w:ascii="Times New Roman" w:hAnsi="Times New Roman" w:cs="Times New Roman"/>
          <w:sz w:val="24"/>
          <w:szCs w:val="24"/>
        </w:rPr>
      </w:pPr>
    </w:p>
    <w:p w14:paraId="2A83E198" w14:textId="043BA660" w:rsidR="007811AF" w:rsidRDefault="007811AF" w:rsidP="007811AF">
      <w:pPr>
        <w:pStyle w:val="NoSpacing"/>
        <w:spacing w:line="360" w:lineRule="auto"/>
        <w:jc w:val="both"/>
        <w:rPr>
          <w:rFonts w:ascii="Times New Roman" w:hAnsi="Times New Roman" w:cs="Times New Roman"/>
          <w:sz w:val="24"/>
          <w:szCs w:val="24"/>
        </w:rPr>
      </w:pPr>
      <w:r w:rsidRPr="007811AF">
        <w:rPr>
          <w:rFonts w:ascii="Times New Roman" w:hAnsi="Times New Roman" w:cs="Times New Roman"/>
          <w:sz w:val="24"/>
          <w:szCs w:val="24"/>
        </w:rPr>
        <w:t xml:space="preserve"> </w:t>
      </w:r>
      <w:r w:rsidR="00335D49">
        <w:rPr>
          <w:rFonts w:ascii="Times New Roman" w:hAnsi="Times New Roman" w:cs="Times New Roman"/>
          <w:sz w:val="24"/>
          <w:szCs w:val="24"/>
        </w:rPr>
        <w:t>THE DISPUTE</w:t>
      </w:r>
    </w:p>
    <w:p w14:paraId="31A98A93" w14:textId="77777777" w:rsidR="00335D49" w:rsidRDefault="00335D49" w:rsidP="007811AF">
      <w:pPr>
        <w:pStyle w:val="NoSpacing"/>
        <w:spacing w:line="360" w:lineRule="auto"/>
        <w:jc w:val="both"/>
        <w:rPr>
          <w:rFonts w:ascii="Times New Roman" w:hAnsi="Times New Roman" w:cs="Times New Roman"/>
          <w:sz w:val="24"/>
          <w:szCs w:val="24"/>
        </w:rPr>
      </w:pPr>
    </w:p>
    <w:p w14:paraId="44A536D1" w14:textId="6AC9887B" w:rsidR="004F599D" w:rsidRDefault="00335D49" w:rsidP="007811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1C0AAF">
        <w:rPr>
          <w:rFonts w:ascii="Times New Roman" w:hAnsi="Times New Roman" w:cs="Times New Roman"/>
          <w:sz w:val="24"/>
          <w:szCs w:val="24"/>
        </w:rPr>
        <w:t>3</w:t>
      </w:r>
      <w:r>
        <w:rPr>
          <w:rFonts w:ascii="Times New Roman" w:hAnsi="Times New Roman" w:cs="Times New Roman"/>
          <w:sz w:val="24"/>
          <w:szCs w:val="24"/>
        </w:rPr>
        <w:t xml:space="preserve">] </w:t>
      </w:r>
      <w:r w:rsidR="00EB28CF">
        <w:rPr>
          <w:rFonts w:ascii="Times New Roman" w:hAnsi="Times New Roman" w:cs="Times New Roman"/>
          <w:sz w:val="24"/>
          <w:szCs w:val="24"/>
        </w:rPr>
        <w:t>I will return shortly to the exception and special plea. Essentially, t</w:t>
      </w:r>
      <w:r>
        <w:rPr>
          <w:rFonts w:ascii="Times New Roman" w:hAnsi="Times New Roman" w:cs="Times New Roman"/>
          <w:sz w:val="24"/>
          <w:szCs w:val="24"/>
        </w:rPr>
        <w:t>h</w:t>
      </w:r>
      <w:r w:rsidR="00B3681A">
        <w:rPr>
          <w:rFonts w:ascii="Times New Roman" w:hAnsi="Times New Roman" w:cs="Times New Roman"/>
          <w:sz w:val="24"/>
          <w:szCs w:val="24"/>
        </w:rPr>
        <w:t xml:space="preserve">is dispute </w:t>
      </w:r>
      <w:r w:rsidR="00722D10">
        <w:rPr>
          <w:rFonts w:ascii="Times New Roman" w:hAnsi="Times New Roman" w:cs="Times New Roman"/>
          <w:sz w:val="24"/>
          <w:szCs w:val="24"/>
        </w:rPr>
        <w:t xml:space="preserve">derives from a series of </w:t>
      </w:r>
      <w:r w:rsidR="004F599D">
        <w:rPr>
          <w:rFonts w:ascii="Times New Roman" w:hAnsi="Times New Roman" w:cs="Times New Roman"/>
          <w:sz w:val="24"/>
          <w:szCs w:val="24"/>
        </w:rPr>
        <w:t>transactions over a</w:t>
      </w:r>
      <w:r w:rsidR="00B3681A">
        <w:rPr>
          <w:rFonts w:ascii="Times New Roman" w:hAnsi="Times New Roman" w:cs="Times New Roman"/>
          <w:sz w:val="24"/>
          <w:szCs w:val="24"/>
        </w:rPr>
        <w:t xml:space="preserve"> piece of </w:t>
      </w:r>
      <w:r w:rsidR="001C0AAF">
        <w:rPr>
          <w:rFonts w:ascii="Times New Roman" w:hAnsi="Times New Roman" w:cs="Times New Roman"/>
          <w:sz w:val="24"/>
          <w:szCs w:val="24"/>
        </w:rPr>
        <w:t xml:space="preserve">land </w:t>
      </w:r>
      <w:r w:rsidR="00B3681A">
        <w:rPr>
          <w:rFonts w:ascii="Times New Roman" w:hAnsi="Times New Roman" w:cs="Times New Roman"/>
          <w:sz w:val="24"/>
          <w:szCs w:val="24"/>
        </w:rPr>
        <w:t xml:space="preserve">which for convenience, may be cited as Stand 301 Umtali Township. </w:t>
      </w:r>
      <w:r w:rsidR="004F599D">
        <w:rPr>
          <w:rFonts w:ascii="Times New Roman" w:hAnsi="Times New Roman" w:cs="Times New Roman"/>
          <w:sz w:val="24"/>
          <w:szCs w:val="24"/>
        </w:rPr>
        <w:t xml:space="preserve">These transactions, </w:t>
      </w:r>
      <w:r w:rsidR="00722D10">
        <w:rPr>
          <w:rFonts w:ascii="Times New Roman" w:hAnsi="Times New Roman" w:cs="Times New Roman"/>
          <w:sz w:val="24"/>
          <w:szCs w:val="24"/>
        </w:rPr>
        <w:t xml:space="preserve">spanning a period of 37 years </w:t>
      </w:r>
      <w:r w:rsidR="004F599D">
        <w:rPr>
          <w:rFonts w:ascii="Times New Roman" w:hAnsi="Times New Roman" w:cs="Times New Roman"/>
          <w:sz w:val="24"/>
          <w:szCs w:val="24"/>
        </w:rPr>
        <w:t xml:space="preserve">involve several parties, </w:t>
      </w:r>
      <w:r w:rsidR="0083240E">
        <w:rPr>
          <w:rFonts w:ascii="Times New Roman" w:hAnsi="Times New Roman" w:cs="Times New Roman"/>
          <w:sz w:val="24"/>
          <w:szCs w:val="24"/>
        </w:rPr>
        <w:t>contracts, deeds</w:t>
      </w:r>
      <w:r w:rsidR="004F599D">
        <w:rPr>
          <w:rFonts w:ascii="Times New Roman" w:hAnsi="Times New Roman" w:cs="Times New Roman"/>
          <w:sz w:val="24"/>
          <w:szCs w:val="24"/>
        </w:rPr>
        <w:t xml:space="preserve"> of transfer</w:t>
      </w:r>
      <w:r w:rsidR="00722D10">
        <w:rPr>
          <w:rFonts w:ascii="Times New Roman" w:hAnsi="Times New Roman" w:cs="Times New Roman"/>
          <w:sz w:val="24"/>
          <w:szCs w:val="24"/>
        </w:rPr>
        <w:t>,</w:t>
      </w:r>
      <w:r w:rsidR="004F599D">
        <w:rPr>
          <w:rFonts w:ascii="Times New Roman" w:hAnsi="Times New Roman" w:cs="Times New Roman"/>
          <w:sz w:val="24"/>
          <w:szCs w:val="24"/>
        </w:rPr>
        <w:t xml:space="preserve"> and financial arrangements</w:t>
      </w:r>
      <w:r w:rsidR="00722D10">
        <w:rPr>
          <w:rFonts w:ascii="Times New Roman" w:hAnsi="Times New Roman" w:cs="Times New Roman"/>
          <w:sz w:val="24"/>
          <w:szCs w:val="24"/>
        </w:rPr>
        <w:t xml:space="preserve"> as well as buy-back structures</w:t>
      </w:r>
      <w:r w:rsidR="004F599D">
        <w:rPr>
          <w:rFonts w:ascii="Times New Roman" w:hAnsi="Times New Roman" w:cs="Times New Roman"/>
          <w:sz w:val="24"/>
          <w:szCs w:val="24"/>
        </w:rPr>
        <w:t xml:space="preserve">. </w:t>
      </w:r>
      <w:r w:rsidR="00722D10">
        <w:rPr>
          <w:rFonts w:ascii="Times New Roman" w:hAnsi="Times New Roman" w:cs="Times New Roman"/>
          <w:sz w:val="24"/>
          <w:szCs w:val="24"/>
        </w:rPr>
        <w:t>It is a history rich in detail and complexity.</w:t>
      </w:r>
      <w:r w:rsidR="004F599D">
        <w:rPr>
          <w:rFonts w:ascii="Times New Roman" w:hAnsi="Times New Roman" w:cs="Times New Roman"/>
          <w:sz w:val="24"/>
          <w:szCs w:val="24"/>
        </w:rPr>
        <w:t xml:space="preserve"> I will largely dwell on the common cause matters</w:t>
      </w:r>
      <w:r w:rsidR="00722D10">
        <w:rPr>
          <w:rFonts w:ascii="Times New Roman" w:hAnsi="Times New Roman" w:cs="Times New Roman"/>
          <w:sz w:val="24"/>
          <w:szCs w:val="24"/>
        </w:rPr>
        <w:t xml:space="preserve"> </w:t>
      </w:r>
      <w:r w:rsidR="002252A2">
        <w:rPr>
          <w:rFonts w:ascii="Times New Roman" w:hAnsi="Times New Roman" w:cs="Times New Roman"/>
          <w:sz w:val="24"/>
          <w:szCs w:val="24"/>
        </w:rPr>
        <w:t>bearing in mind that the excipients have raised an exception and special plea.</w:t>
      </w:r>
    </w:p>
    <w:p w14:paraId="3016626C" w14:textId="77777777" w:rsidR="004F599D" w:rsidRDefault="004F599D" w:rsidP="007811AF">
      <w:pPr>
        <w:pStyle w:val="NoSpacing"/>
        <w:spacing w:line="360" w:lineRule="auto"/>
        <w:jc w:val="both"/>
        <w:rPr>
          <w:rFonts w:ascii="Times New Roman" w:hAnsi="Times New Roman" w:cs="Times New Roman"/>
          <w:sz w:val="24"/>
          <w:szCs w:val="24"/>
        </w:rPr>
      </w:pPr>
    </w:p>
    <w:p w14:paraId="78559CAB" w14:textId="77777777" w:rsidR="00945BFF" w:rsidRDefault="004F599D" w:rsidP="007811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7D231A">
        <w:rPr>
          <w:rFonts w:ascii="Times New Roman" w:hAnsi="Times New Roman" w:cs="Times New Roman"/>
          <w:sz w:val="24"/>
          <w:szCs w:val="24"/>
        </w:rPr>
        <w:t xml:space="preserve">On 30 June 1988 Baxter Paints, by </w:t>
      </w:r>
      <w:r w:rsidR="00EE6009">
        <w:rPr>
          <w:rFonts w:ascii="Times New Roman" w:hAnsi="Times New Roman" w:cs="Times New Roman"/>
          <w:sz w:val="24"/>
          <w:szCs w:val="24"/>
        </w:rPr>
        <w:t xml:space="preserve">a conditional </w:t>
      </w:r>
      <w:r w:rsidR="007D231A">
        <w:rPr>
          <w:rFonts w:ascii="Times New Roman" w:hAnsi="Times New Roman" w:cs="Times New Roman"/>
          <w:sz w:val="24"/>
          <w:szCs w:val="24"/>
        </w:rPr>
        <w:t>written agreement, disposed o</w:t>
      </w:r>
      <w:r w:rsidR="00EE6009">
        <w:rPr>
          <w:rFonts w:ascii="Times New Roman" w:hAnsi="Times New Roman" w:cs="Times New Roman"/>
          <w:sz w:val="24"/>
          <w:szCs w:val="24"/>
        </w:rPr>
        <w:t>f</w:t>
      </w:r>
      <w:r w:rsidR="007D231A">
        <w:rPr>
          <w:rFonts w:ascii="Times New Roman" w:hAnsi="Times New Roman" w:cs="Times New Roman"/>
          <w:sz w:val="24"/>
          <w:szCs w:val="24"/>
        </w:rPr>
        <w:t xml:space="preserve"> Stand 301 to </w:t>
      </w:r>
      <w:r w:rsidR="00722D10">
        <w:rPr>
          <w:rFonts w:ascii="Times New Roman" w:hAnsi="Times New Roman" w:cs="Times New Roman"/>
          <w:sz w:val="24"/>
          <w:szCs w:val="24"/>
        </w:rPr>
        <w:t xml:space="preserve">an entity known as </w:t>
      </w:r>
      <w:r w:rsidR="007D231A">
        <w:rPr>
          <w:rFonts w:ascii="Times New Roman" w:hAnsi="Times New Roman" w:cs="Times New Roman"/>
          <w:sz w:val="24"/>
          <w:szCs w:val="24"/>
        </w:rPr>
        <w:t>Hubert Davies Pension Fund</w:t>
      </w:r>
      <w:r w:rsidR="00722D10">
        <w:rPr>
          <w:rFonts w:ascii="Times New Roman" w:hAnsi="Times New Roman" w:cs="Times New Roman"/>
          <w:sz w:val="24"/>
          <w:szCs w:val="24"/>
        </w:rPr>
        <w:t xml:space="preserve"> (“Hubert Davies”)</w:t>
      </w:r>
      <w:r w:rsidR="007D231A">
        <w:rPr>
          <w:rFonts w:ascii="Times New Roman" w:hAnsi="Times New Roman" w:cs="Times New Roman"/>
          <w:sz w:val="24"/>
          <w:szCs w:val="24"/>
        </w:rPr>
        <w:t>.</w:t>
      </w:r>
      <w:r w:rsidR="00EE6009">
        <w:rPr>
          <w:rFonts w:ascii="Times New Roman" w:hAnsi="Times New Roman" w:cs="Times New Roman"/>
          <w:sz w:val="24"/>
          <w:szCs w:val="24"/>
        </w:rPr>
        <w:t xml:space="preserve"> </w:t>
      </w:r>
      <w:r>
        <w:rPr>
          <w:rFonts w:ascii="Times New Roman" w:hAnsi="Times New Roman" w:cs="Times New Roman"/>
          <w:sz w:val="24"/>
          <w:szCs w:val="24"/>
        </w:rPr>
        <w:t xml:space="preserve">The condition </w:t>
      </w:r>
      <w:r w:rsidR="00722D10">
        <w:rPr>
          <w:rFonts w:ascii="Times New Roman" w:hAnsi="Times New Roman" w:cs="Times New Roman"/>
          <w:sz w:val="24"/>
          <w:szCs w:val="24"/>
        </w:rPr>
        <w:t xml:space="preserve">subsequent </w:t>
      </w:r>
      <w:r>
        <w:rPr>
          <w:rFonts w:ascii="Times New Roman" w:hAnsi="Times New Roman" w:cs="Times New Roman"/>
          <w:sz w:val="24"/>
          <w:szCs w:val="24"/>
        </w:rPr>
        <w:t>was that the parties would structure an arrangement to develop the stand. A</w:t>
      </w:r>
      <w:r w:rsidR="00EE6009">
        <w:rPr>
          <w:rFonts w:ascii="Times New Roman" w:hAnsi="Times New Roman" w:cs="Times New Roman"/>
          <w:sz w:val="24"/>
          <w:szCs w:val="24"/>
        </w:rPr>
        <w:t xml:space="preserve"> second agreement </w:t>
      </w:r>
      <w:r>
        <w:rPr>
          <w:rFonts w:ascii="Times New Roman" w:hAnsi="Times New Roman" w:cs="Times New Roman"/>
          <w:sz w:val="24"/>
          <w:szCs w:val="24"/>
        </w:rPr>
        <w:t>was duly concluded on</w:t>
      </w:r>
      <w:r w:rsidR="00EE6009">
        <w:rPr>
          <w:rFonts w:ascii="Times New Roman" w:hAnsi="Times New Roman" w:cs="Times New Roman"/>
          <w:sz w:val="24"/>
          <w:szCs w:val="24"/>
        </w:rPr>
        <w:t xml:space="preserve"> </w:t>
      </w:r>
      <w:r>
        <w:rPr>
          <w:rFonts w:ascii="Times New Roman" w:hAnsi="Times New Roman" w:cs="Times New Roman"/>
          <w:sz w:val="24"/>
          <w:szCs w:val="24"/>
        </w:rPr>
        <w:t xml:space="preserve">28 July 1988 to fulfil </w:t>
      </w:r>
      <w:r w:rsidR="007D231A">
        <w:rPr>
          <w:rFonts w:ascii="Times New Roman" w:hAnsi="Times New Roman" w:cs="Times New Roman"/>
          <w:sz w:val="24"/>
          <w:szCs w:val="24"/>
        </w:rPr>
        <w:t>the condition subsequent</w:t>
      </w:r>
      <w:r w:rsidR="00EE6009">
        <w:rPr>
          <w:rFonts w:ascii="Times New Roman" w:hAnsi="Times New Roman" w:cs="Times New Roman"/>
          <w:sz w:val="24"/>
          <w:szCs w:val="24"/>
        </w:rPr>
        <w:t xml:space="preserve"> in the earlier pact</w:t>
      </w:r>
      <w:r w:rsidR="007D231A">
        <w:rPr>
          <w:rFonts w:ascii="Times New Roman" w:hAnsi="Times New Roman" w:cs="Times New Roman"/>
          <w:sz w:val="24"/>
          <w:szCs w:val="24"/>
        </w:rPr>
        <w:t xml:space="preserve">. </w:t>
      </w:r>
      <w:r w:rsidR="00EE6009">
        <w:rPr>
          <w:rFonts w:ascii="Times New Roman" w:hAnsi="Times New Roman" w:cs="Times New Roman"/>
          <w:sz w:val="24"/>
          <w:szCs w:val="24"/>
        </w:rPr>
        <w:t xml:space="preserve"> </w:t>
      </w:r>
    </w:p>
    <w:p w14:paraId="48A38E1F" w14:textId="77777777" w:rsidR="00945BFF" w:rsidRDefault="00945BFF" w:rsidP="007811AF">
      <w:pPr>
        <w:pStyle w:val="NoSpacing"/>
        <w:spacing w:line="360" w:lineRule="auto"/>
        <w:jc w:val="both"/>
        <w:rPr>
          <w:rFonts w:ascii="Times New Roman" w:hAnsi="Times New Roman" w:cs="Times New Roman"/>
          <w:sz w:val="24"/>
          <w:szCs w:val="24"/>
        </w:rPr>
      </w:pPr>
    </w:p>
    <w:p w14:paraId="1438FCE2" w14:textId="77777777" w:rsidR="00945BFF" w:rsidRDefault="00945BFF" w:rsidP="007811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[5] </w:t>
      </w:r>
      <w:r w:rsidR="00EE6009">
        <w:rPr>
          <w:rFonts w:ascii="Times New Roman" w:hAnsi="Times New Roman" w:cs="Times New Roman"/>
          <w:sz w:val="24"/>
          <w:szCs w:val="24"/>
        </w:rPr>
        <w:t xml:space="preserve">By that second contract, the parties </w:t>
      </w:r>
      <w:r w:rsidR="007D231A">
        <w:rPr>
          <w:rFonts w:ascii="Times New Roman" w:hAnsi="Times New Roman" w:cs="Times New Roman"/>
          <w:sz w:val="24"/>
          <w:szCs w:val="24"/>
        </w:rPr>
        <w:t>agreed to jointly develop the stand</w:t>
      </w:r>
      <w:r w:rsidR="004F599D">
        <w:rPr>
          <w:rFonts w:ascii="Times New Roman" w:hAnsi="Times New Roman" w:cs="Times New Roman"/>
          <w:sz w:val="24"/>
          <w:szCs w:val="24"/>
        </w:rPr>
        <w:t>.</w:t>
      </w:r>
      <w:r w:rsidR="00EE6009">
        <w:rPr>
          <w:rFonts w:ascii="Times New Roman" w:hAnsi="Times New Roman" w:cs="Times New Roman"/>
          <w:sz w:val="24"/>
          <w:szCs w:val="24"/>
        </w:rPr>
        <w:t xml:space="preserve"> and </w:t>
      </w:r>
      <w:r w:rsidR="007D231A">
        <w:rPr>
          <w:rFonts w:ascii="Times New Roman" w:hAnsi="Times New Roman" w:cs="Times New Roman"/>
          <w:sz w:val="24"/>
          <w:szCs w:val="24"/>
        </w:rPr>
        <w:t xml:space="preserve">create and issue two </w:t>
      </w:r>
      <w:r w:rsidR="0033757B">
        <w:rPr>
          <w:rFonts w:ascii="Times New Roman" w:hAnsi="Times New Roman" w:cs="Times New Roman"/>
          <w:sz w:val="24"/>
          <w:szCs w:val="24"/>
        </w:rPr>
        <w:t xml:space="preserve">equal and </w:t>
      </w:r>
      <w:r w:rsidR="00EE6009">
        <w:rPr>
          <w:rFonts w:ascii="Times New Roman" w:hAnsi="Times New Roman" w:cs="Times New Roman"/>
          <w:sz w:val="24"/>
          <w:szCs w:val="24"/>
        </w:rPr>
        <w:t xml:space="preserve">undivided </w:t>
      </w:r>
      <w:r w:rsidR="007D231A">
        <w:rPr>
          <w:rFonts w:ascii="Times New Roman" w:hAnsi="Times New Roman" w:cs="Times New Roman"/>
          <w:sz w:val="24"/>
          <w:szCs w:val="24"/>
        </w:rPr>
        <w:t xml:space="preserve">shares </w:t>
      </w:r>
      <w:r w:rsidR="00EE6009">
        <w:rPr>
          <w:rFonts w:ascii="Times New Roman" w:hAnsi="Times New Roman" w:cs="Times New Roman"/>
          <w:sz w:val="24"/>
          <w:szCs w:val="24"/>
        </w:rPr>
        <w:t xml:space="preserve">named Share </w:t>
      </w:r>
      <w:r w:rsidR="007D231A">
        <w:rPr>
          <w:rFonts w:ascii="Times New Roman" w:hAnsi="Times New Roman" w:cs="Times New Roman"/>
          <w:sz w:val="24"/>
          <w:szCs w:val="24"/>
        </w:rPr>
        <w:t xml:space="preserve">1 and </w:t>
      </w:r>
      <w:r w:rsidR="00EE6009">
        <w:rPr>
          <w:rFonts w:ascii="Times New Roman" w:hAnsi="Times New Roman" w:cs="Times New Roman"/>
          <w:sz w:val="24"/>
          <w:szCs w:val="24"/>
        </w:rPr>
        <w:t xml:space="preserve">Share </w:t>
      </w:r>
      <w:r w:rsidR="007D231A">
        <w:rPr>
          <w:rFonts w:ascii="Times New Roman" w:hAnsi="Times New Roman" w:cs="Times New Roman"/>
          <w:sz w:val="24"/>
          <w:szCs w:val="24"/>
        </w:rPr>
        <w:t>2 on the stand</w:t>
      </w:r>
      <w:r w:rsidR="00EE6009">
        <w:rPr>
          <w:rFonts w:ascii="Times New Roman" w:hAnsi="Times New Roman" w:cs="Times New Roman"/>
          <w:sz w:val="24"/>
          <w:szCs w:val="24"/>
        </w:rPr>
        <w:t xml:space="preserve">. </w:t>
      </w:r>
      <w:r w:rsidR="004F599D">
        <w:rPr>
          <w:rFonts w:ascii="Times New Roman" w:hAnsi="Times New Roman" w:cs="Times New Roman"/>
          <w:sz w:val="24"/>
          <w:szCs w:val="24"/>
        </w:rPr>
        <w:t xml:space="preserve">A commercial building comprising of offices, storerooms, warehouses ablutions plus ancillary facilities or common areas were established the piece of land. </w:t>
      </w:r>
    </w:p>
    <w:p w14:paraId="5F79991A" w14:textId="77777777" w:rsidR="00945BFF" w:rsidRDefault="00945BFF" w:rsidP="007811AF">
      <w:pPr>
        <w:pStyle w:val="NoSpacing"/>
        <w:spacing w:line="360" w:lineRule="auto"/>
        <w:jc w:val="both"/>
        <w:rPr>
          <w:rFonts w:ascii="Times New Roman" w:hAnsi="Times New Roman" w:cs="Times New Roman"/>
          <w:sz w:val="24"/>
          <w:szCs w:val="24"/>
        </w:rPr>
      </w:pPr>
    </w:p>
    <w:p w14:paraId="7E7684AD" w14:textId="1A3F52BC" w:rsidR="00EC2341" w:rsidRDefault="00945BFF" w:rsidP="007811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0083240E">
        <w:rPr>
          <w:rFonts w:ascii="Times New Roman" w:hAnsi="Times New Roman" w:cs="Times New Roman"/>
          <w:sz w:val="24"/>
          <w:szCs w:val="24"/>
        </w:rPr>
        <w:t>] The</w:t>
      </w:r>
      <w:r w:rsidR="004F599D">
        <w:rPr>
          <w:rFonts w:ascii="Times New Roman" w:hAnsi="Times New Roman" w:cs="Times New Roman"/>
          <w:sz w:val="24"/>
          <w:szCs w:val="24"/>
        </w:rPr>
        <w:t xml:space="preserve"> parties </w:t>
      </w:r>
      <w:r w:rsidR="007B6861">
        <w:rPr>
          <w:rFonts w:ascii="Times New Roman" w:hAnsi="Times New Roman" w:cs="Times New Roman"/>
          <w:sz w:val="24"/>
          <w:szCs w:val="24"/>
        </w:rPr>
        <w:t>then executed</w:t>
      </w:r>
      <w:r w:rsidR="004F599D">
        <w:rPr>
          <w:rFonts w:ascii="Times New Roman" w:hAnsi="Times New Roman" w:cs="Times New Roman"/>
          <w:sz w:val="24"/>
          <w:szCs w:val="24"/>
        </w:rPr>
        <w:t xml:space="preserve"> </w:t>
      </w:r>
      <w:r w:rsidR="0033757B">
        <w:rPr>
          <w:rFonts w:ascii="Times New Roman" w:hAnsi="Times New Roman" w:cs="Times New Roman"/>
          <w:sz w:val="24"/>
          <w:szCs w:val="24"/>
        </w:rPr>
        <w:t>and</w:t>
      </w:r>
      <w:r w:rsidR="00EE6009">
        <w:rPr>
          <w:rFonts w:ascii="Times New Roman" w:hAnsi="Times New Roman" w:cs="Times New Roman"/>
          <w:sz w:val="24"/>
          <w:szCs w:val="24"/>
        </w:rPr>
        <w:t xml:space="preserve"> </w:t>
      </w:r>
      <w:r w:rsidR="0033757B">
        <w:rPr>
          <w:rFonts w:ascii="Times New Roman" w:hAnsi="Times New Roman" w:cs="Times New Roman"/>
          <w:sz w:val="24"/>
          <w:szCs w:val="24"/>
        </w:rPr>
        <w:t>registered a</w:t>
      </w:r>
      <w:r w:rsidR="00EE6009">
        <w:rPr>
          <w:rFonts w:ascii="Times New Roman" w:hAnsi="Times New Roman" w:cs="Times New Roman"/>
          <w:sz w:val="24"/>
          <w:szCs w:val="24"/>
        </w:rPr>
        <w:t xml:space="preserve"> notarial deed with the sixth respondent </w:t>
      </w:r>
      <w:r w:rsidR="0033757B">
        <w:rPr>
          <w:rFonts w:ascii="Times New Roman" w:hAnsi="Times New Roman" w:cs="Times New Roman"/>
          <w:sz w:val="24"/>
          <w:szCs w:val="24"/>
        </w:rPr>
        <w:t>(“</w:t>
      </w:r>
      <w:r w:rsidR="00EE6009">
        <w:rPr>
          <w:rFonts w:ascii="Times New Roman" w:hAnsi="Times New Roman" w:cs="Times New Roman"/>
          <w:sz w:val="24"/>
          <w:szCs w:val="24"/>
        </w:rPr>
        <w:t>the Registrar of Deed”</w:t>
      </w:r>
      <w:r w:rsidR="0033757B">
        <w:rPr>
          <w:rFonts w:ascii="Times New Roman" w:hAnsi="Times New Roman" w:cs="Times New Roman"/>
          <w:sz w:val="24"/>
          <w:szCs w:val="24"/>
        </w:rPr>
        <w:t>)</w:t>
      </w:r>
      <w:r w:rsidR="008C245D">
        <w:rPr>
          <w:rStyle w:val="FootnoteReference"/>
          <w:rFonts w:ascii="Times New Roman" w:hAnsi="Times New Roman" w:cs="Times New Roman"/>
          <w:sz w:val="24"/>
          <w:szCs w:val="24"/>
        </w:rPr>
        <w:footnoteReference w:id="1"/>
      </w:r>
      <w:r w:rsidR="0033757B">
        <w:rPr>
          <w:rFonts w:ascii="Times New Roman" w:hAnsi="Times New Roman" w:cs="Times New Roman"/>
          <w:sz w:val="24"/>
          <w:szCs w:val="24"/>
        </w:rPr>
        <w:t xml:space="preserve">. </w:t>
      </w:r>
      <w:r w:rsidR="008C245D">
        <w:rPr>
          <w:rFonts w:ascii="Times New Roman" w:hAnsi="Times New Roman" w:cs="Times New Roman"/>
          <w:sz w:val="24"/>
          <w:szCs w:val="24"/>
        </w:rPr>
        <w:t xml:space="preserve">This </w:t>
      </w:r>
      <w:r w:rsidR="00EE6009">
        <w:rPr>
          <w:rFonts w:ascii="Times New Roman" w:hAnsi="Times New Roman" w:cs="Times New Roman"/>
          <w:sz w:val="24"/>
          <w:szCs w:val="24"/>
        </w:rPr>
        <w:t xml:space="preserve">notarial </w:t>
      </w:r>
      <w:r w:rsidR="0033757B">
        <w:rPr>
          <w:rFonts w:ascii="Times New Roman" w:hAnsi="Times New Roman" w:cs="Times New Roman"/>
          <w:sz w:val="24"/>
          <w:szCs w:val="24"/>
        </w:rPr>
        <w:t>deed; -</w:t>
      </w:r>
      <w:r w:rsidR="00EE6009">
        <w:rPr>
          <w:rFonts w:ascii="Times New Roman" w:hAnsi="Times New Roman" w:cs="Times New Roman"/>
          <w:sz w:val="24"/>
          <w:szCs w:val="24"/>
        </w:rPr>
        <w:t>MA</w:t>
      </w:r>
      <w:r w:rsidR="0033757B">
        <w:rPr>
          <w:rFonts w:ascii="Times New Roman" w:hAnsi="Times New Roman" w:cs="Times New Roman"/>
          <w:sz w:val="24"/>
          <w:szCs w:val="24"/>
        </w:rPr>
        <w:t>348/92,</w:t>
      </w:r>
      <w:r w:rsidR="00EE6009">
        <w:rPr>
          <w:rFonts w:ascii="Times New Roman" w:hAnsi="Times New Roman" w:cs="Times New Roman"/>
          <w:sz w:val="24"/>
          <w:szCs w:val="24"/>
        </w:rPr>
        <w:t xml:space="preserve"> </w:t>
      </w:r>
      <w:r w:rsidR="00EB28CF">
        <w:rPr>
          <w:rFonts w:ascii="Times New Roman" w:hAnsi="Times New Roman" w:cs="Times New Roman"/>
          <w:sz w:val="24"/>
          <w:szCs w:val="24"/>
        </w:rPr>
        <w:t>as read with the survey diagram, confirmed</w:t>
      </w:r>
      <w:r w:rsidR="0033757B">
        <w:rPr>
          <w:rFonts w:ascii="Times New Roman" w:hAnsi="Times New Roman" w:cs="Times New Roman"/>
          <w:sz w:val="24"/>
          <w:szCs w:val="24"/>
        </w:rPr>
        <w:t xml:space="preserve"> the location of Share 1 and Share 2 </w:t>
      </w:r>
      <w:r w:rsidR="004F599D">
        <w:rPr>
          <w:rFonts w:ascii="Times New Roman" w:hAnsi="Times New Roman" w:cs="Times New Roman"/>
          <w:sz w:val="24"/>
          <w:szCs w:val="24"/>
        </w:rPr>
        <w:t xml:space="preserve">on the stand. It also </w:t>
      </w:r>
      <w:r w:rsidR="00EE6009">
        <w:rPr>
          <w:rFonts w:ascii="Times New Roman" w:hAnsi="Times New Roman" w:cs="Times New Roman"/>
          <w:sz w:val="24"/>
          <w:szCs w:val="24"/>
        </w:rPr>
        <w:t>regulate</w:t>
      </w:r>
      <w:r w:rsidR="004F599D">
        <w:rPr>
          <w:rFonts w:ascii="Times New Roman" w:hAnsi="Times New Roman" w:cs="Times New Roman"/>
          <w:sz w:val="24"/>
          <w:szCs w:val="24"/>
        </w:rPr>
        <w:t>d</w:t>
      </w:r>
      <w:r w:rsidR="00EE6009">
        <w:rPr>
          <w:rFonts w:ascii="Times New Roman" w:hAnsi="Times New Roman" w:cs="Times New Roman"/>
          <w:sz w:val="24"/>
          <w:szCs w:val="24"/>
        </w:rPr>
        <w:t xml:space="preserve"> title, rights and enjoyment of the </w:t>
      </w:r>
      <w:r w:rsidR="0083240E">
        <w:rPr>
          <w:rFonts w:ascii="Times New Roman" w:hAnsi="Times New Roman" w:cs="Times New Roman"/>
          <w:sz w:val="24"/>
          <w:szCs w:val="24"/>
        </w:rPr>
        <w:t xml:space="preserve">stand. </w:t>
      </w:r>
      <w:r w:rsidR="00EB28CF">
        <w:rPr>
          <w:rFonts w:ascii="Times New Roman" w:hAnsi="Times New Roman" w:cs="Times New Roman"/>
          <w:sz w:val="24"/>
          <w:szCs w:val="24"/>
        </w:rPr>
        <w:t xml:space="preserve">The notarial deed recorded Hubert Davies as the “owner” and “declarant”. Part of the declaration </w:t>
      </w:r>
      <w:r w:rsidR="0083240E">
        <w:rPr>
          <w:rFonts w:ascii="Times New Roman" w:hAnsi="Times New Roman" w:cs="Times New Roman"/>
          <w:sz w:val="24"/>
          <w:szCs w:val="24"/>
        </w:rPr>
        <w:t>provided thus; -</w:t>
      </w:r>
    </w:p>
    <w:p w14:paraId="074CBED1" w14:textId="77777777" w:rsidR="00EC2341" w:rsidRDefault="00EC2341" w:rsidP="007811AF">
      <w:pPr>
        <w:pStyle w:val="NoSpacing"/>
        <w:spacing w:line="360" w:lineRule="auto"/>
        <w:jc w:val="both"/>
        <w:rPr>
          <w:rFonts w:ascii="Times New Roman" w:hAnsi="Times New Roman" w:cs="Times New Roman"/>
          <w:sz w:val="24"/>
          <w:szCs w:val="24"/>
        </w:rPr>
      </w:pPr>
    </w:p>
    <w:p w14:paraId="7F611B69" w14:textId="23CCEA7F" w:rsidR="0083240E" w:rsidRDefault="0083240E" w:rsidP="00EC2341">
      <w:pPr>
        <w:pStyle w:val="NoSpacing"/>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“On the 28</w:t>
      </w:r>
      <w:r w:rsidRPr="0083240E">
        <w:rPr>
          <w:rFonts w:ascii="Times New Roman" w:hAnsi="Times New Roman" w:cs="Times New Roman"/>
          <w:sz w:val="24"/>
          <w:szCs w:val="24"/>
          <w:vertAlign w:val="superscript"/>
        </w:rPr>
        <w:t>th</w:t>
      </w:r>
      <w:r>
        <w:rPr>
          <w:rFonts w:ascii="Times New Roman" w:hAnsi="Times New Roman" w:cs="Times New Roman"/>
          <w:sz w:val="24"/>
          <w:szCs w:val="24"/>
        </w:rPr>
        <w:t xml:space="preserve"> July 1988 the owner and Baxter Paints (Private) Limited, a company with limited liability registered according to the laws of Zimbabwe (hereinafter called “Baxter Paints”) entered into a written agreement for the development of the land and the erection of a building on the land </w:t>
      </w:r>
      <w:r w:rsidR="00F76314">
        <w:rPr>
          <w:rFonts w:ascii="Times New Roman" w:hAnsi="Times New Roman" w:cs="Times New Roman"/>
          <w:sz w:val="24"/>
          <w:szCs w:val="24"/>
        </w:rPr>
        <w:t>for commercial purposes and the said agreement also provided for the management of the land and the building thereon and that the land would thereafter be owned by the parties in equal undivided shares as more fully appears from a certified copy of the agreement which is hereto annexed marked “A” ( hereinafter called “The Agreement”)</w:t>
      </w:r>
    </w:p>
    <w:p w14:paraId="278909F4" w14:textId="77777777" w:rsidR="00F76314" w:rsidRDefault="00F76314" w:rsidP="00EC2341">
      <w:pPr>
        <w:pStyle w:val="NoSpacing"/>
        <w:spacing w:line="360" w:lineRule="auto"/>
        <w:ind w:left="851"/>
        <w:jc w:val="both"/>
        <w:rPr>
          <w:rFonts w:ascii="Times New Roman" w:hAnsi="Times New Roman" w:cs="Times New Roman"/>
          <w:sz w:val="24"/>
          <w:szCs w:val="24"/>
        </w:rPr>
      </w:pPr>
    </w:p>
    <w:p w14:paraId="1DD3A5F9" w14:textId="77777777" w:rsidR="00F76314" w:rsidRDefault="00F76314" w:rsidP="00EC2341">
      <w:pPr>
        <w:pStyle w:val="NoSpacing"/>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Now therefore the Appearer declared that 2 (TWO) undivided shares in the land are hereby created and numbered consecutively as 1 (One) and 2 (Two) being </w:t>
      </w:r>
    </w:p>
    <w:p w14:paraId="30CDFADC" w14:textId="77777777" w:rsidR="00F76314" w:rsidRDefault="00F76314" w:rsidP="00EC2341">
      <w:pPr>
        <w:pStyle w:val="NoSpacing"/>
        <w:spacing w:line="360" w:lineRule="auto"/>
        <w:ind w:left="851"/>
        <w:jc w:val="both"/>
        <w:rPr>
          <w:rFonts w:ascii="Times New Roman" w:hAnsi="Times New Roman" w:cs="Times New Roman"/>
          <w:sz w:val="24"/>
          <w:szCs w:val="24"/>
        </w:rPr>
      </w:pPr>
    </w:p>
    <w:p w14:paraId="0D3D540E" w14:textId="615D2BD1" w:rsidR="00F76314" w:rsidRPr="00F76314" w:rsidRDefault="00F76314" w:rsidP="00EC2341">
      <w:pPr>
        <w:pStyle w:val="NoSpacing"/>
        <w:spacing w:line="360" w:lineRule="auto"/>
        <w:ind w:left="1134"/>
        <w:jc w:val="both"/>
        <w:rPr>
          <w:rFonts w:ascii="Times New Roman" w:hAnsi="Times New Roman" w:cs="Times New Roman"/>
          <w:sz w:val="24"/>
          <w:szCs w:val="24"/>
          <w:u w:val="single"/>
        </w:rPr>
      </w:pPr>
      <w:r w:rsidRPr="00F76314">
        <w:rPr>
          <w:rFonts w:ascii="Times New Roman" w:hAnsi="Times New Roman" w:cs="Times New Roman"/>
          <w:sz w:val="24"/>
          <w:szCs w:val="24"/>
          <w:u w:val="single"/>
        </w:rPr>
        <w:t>Share No.</w:t>
      </w:r>
      <w:r>
        <w:rPr>
          <w:rFonts w:ascii="Times New Roman" w:hAnsi="Times New Roman" w:cs="Times New Roman"/>
          <w:sz w:val="24"/>
          <w:szCs w:val="24"/>
        </w:rPr>
        <w:t xml:space="preserve">                                                        </w:t>
      </w:r>
      <w:r w:rsidRPr="00F76314">
        <w:rPr>
          <w:rFonts w:ascii="Times New Roman" w:hAnsi="Times New Roman" w:cs="Times New Roman"/>
          <w:sz w:val="24"/>
          <w:szCs w:val="24"/>
          <w:u w:val="single"/>
        </w:rPr>
        <w:t>Percentage</w:t>
      </w:r>
    </w:p>
    <w:p w14:paraId="3A37CAF7" w14:textId="2E561B5A" w:rsidR="00F76314" w:rsidRDefault="00F76314" w:rsidP="00EC2341">
      <w:pPr>
        <w:pStyle w:val="NoSpacing"/>
        <w:numPr>
          <w:ilvl w:val="0"/>
          <w:numId w:val="3"/>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50%</w:t>
      </w:r>
    </w:p>
    <w:p w14:paraId="739C5A7A" w14:textId="212A8589" w:rsidR="00F76314" w:rsidRDefault="00F76314" w:rsidP="00EC2341">
      <w:pPr>
        <w:pStyle w:val="NoSpacing"/>
        <w:numPr>
          <w:ilvl w:val="0"/>
          <w:numId w:val="3"/>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 xml:space="preserve">                                                                 50%</w:t>
      </w:r>
    </w:p>
    <w:p w14:paraId="71C58632" w14:textId="77777777" w:rsidR="007D231A" w:rsidRDefault="007D231A" w:rsidP="00EC2341">
      <w:pPr>
        <w:pStyle w:val="NoSpacing"/>
        <w:spacing w:line="360" w:lineRule="auto"/>
        <w:ind w:left="1134"/>
        <w:jc w:val="both"/>
        <w:rPr>
          <w:rFonts w:ascii="Times New Roman" w:hAnsi="Times New Roman" w:cs="Times New Roman"/>
          <w:sz w:val="24"/>
          <w:szCs w:val="24"/>
        </w:rPr>
      </w:pPr>
    </w:p>
    <w:p w14:paraId="2AF96F98" w14:textId="776BA41C" w:rsidR="0083240E" w:rsidRDefault="0078469B" w:rsidP="00EC2341">
      <w:pPr>
        <w:pStyle w:val="NoSpacing"/>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And the Appearer further declared that each undivided share shall, subject to the provisions hereinafter contained, confer upon the registered owner thereof  and its successors in title an exclusive right of occupation </w:t>
      </w:r>
      <w:r w:rsidR="0024756E">
        <w:rPr>
          <w:rFonts w:ascii="Times New Roman" w:hAnsi="Times New Roman" w:cs="Times New Roman"/>
          <w:sz w:val="24"/>
          <w:szCs w:val="24"/>
        </w:rPr>
        <w:t xml:space="preserve">of a portion of the building </w:t>
      </w:r>
      <w:r w:rsidR="00EC2341">
        <w:rPr>
          <w:rFonts w:ascii="Times New Roman" w:hAnsi="Times New Roman" w:cs="Times New Roman"/>
          <w:sz w:val="24"/>
          <w:szCs w:val="24"/>
        </w:rPr>
        <w:t xml:space="preserve">erected on the land identified as Building A on Diagram S.G Number 778/1989 annexed </w:t>
      </w:r>
      <w:r w:rsidR="00EC2341">
        <w:rPr>
          <w:rFonts w:ascii="Times New Roman" w:hAnsi="Times New Roman" w:cs="Times New Roman"/>
          <w:sz w:val="24"/>
          <w:szCs w:val="24"/>
        </w:rPr>
        <w:lastRenderedPageBreak/>
        <w:t>hereto; the said portions being depicted on the plan marked Sheet One of Plan Number 778/1989 also annexed hereto the number of each such portion corresponding with each undivided share in the land and the location of the said building in  relation to the said boundaries of the land being indicated on the said Diagram S.G Number 778/1989.”</w:t>
      </w:r>
    </w:p>
    <w:p w14:paraId="749B0D2C" w14:textId="77777777" w:rsidR="0083240E" w:rsidRDefault="0083240E" w:rsidP="007811AF">
      <w:pPr>
        <w:pStyle w:val="NoSpacing"/>
        <w:spacing w:line="360" w:lineRule="auto"/>
        <w:jc w:val="both"/>
        <w:rPr>
          <w:rFonts w:ascii="Times New Roman" w:hAnsi="Times New Roman" w:cs="Times New Roman"/>
          <w:sz w:val="24"/>
          <w:szCs w:val="24"/>
        </w:rPr>
      </w:pPr>
    </w:p>
    <w:p w14:paraId="12EA7242" w14:textId="5967E570" w:rsidR="0083240E" w:rsidRDefault="008C245D" w:rsidP="007811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00D26760">
        <w:rPr>
          <w:rFonts w:ascii="Times New Roman" w:hAnsi="Times New Roman" w:cs="Times New Roman"/>
          <w:sz w:val="24"/>
          <w:szCs w:val="24"/>
        </w:rPr>
        <w:t>Baxter Paints received deed of transfer 4718/93 dated 18 October 1993 as a consequence of notarial deed MA 348/92. Mr and Mrs Chayayi seek an order cancelling both this deed of transfer and MA348/</w:t>
      </w:r>
      <w:r w:rsidR="002D12E6">
        <w:rPr>
          <w:rFonts w:ascii="Times New Roman" w:hAnsi="Times New Roman" w:cs="Times New Roman"/>
          <w:sz w:val="24"/>
          <w:szCs w:val="24"/>
        </w:rPr>
        <w:t xml:space="preserve">92. The plaintiff aver that </w:t>
      </w:r>
      <w:r w:rsidR="00D26760">
        <w:rPr>
          <w:rFonts w:ascii="Times New Roman" w:hAnsi="Times New Roman" w:cs="Times New Roman"/>
          <w:sz w:val="24"/>
          <w:szCs w:val="24"/>
        </w:rPr>
        <w:t xml:space="preserve">neither </w:t>
      </w:r>
      <w:r w:rsidR="002D12E6">
        <w:rPr>
          <w:rFonts w:ascii="Times New Roman" w:hAnsi="Times New Roman" w:cs="Times New Roman"/>
          <w:sz w:val="24"/>
          <w:szCs w:val="24"/>
        </w:rPr>
        <w:t xml:space="preserve">instrument </w:t>
      </w:r>
      <w:r w:rsidR="00D26760">
        <w:rPr>
          <w:rFonts w:ascii="Times New Roman" w:hAnsi="Times New Roman" w:cs="Times New Roman"/>
          <w:sz w:val="24"/>
          <w:szCs w:val="24"/>
        </w:rPr>
        <w:t xml:space="preserve">reflects the true terms of the </w:t>
      </w:r>
      <w:r w:rsidR="002D12E6">
        <w:rPr>
          <w:rFonts w:ascii="Times New Roman" w:hAnsi="Times New Roman" w:cs="Times New Roman"/>
          <w:sz w:val="24"/>
          <w:szCs w:val="24"/>
        </w:rPr>
        <w:t>30 June 1988 agreement</w:t>
      </w:r>
      <w:r w:rsidR="00D26760">
        <w:rPr>
          <w:rFonts w:ascii="Times New Roman" w:hAnsi="Times New Roman" w:cs="Times New Roman"/>
          <w:sz w:val="24"/>
          <w:szCs w:val="24"/>
        </w:rPr>
        <w:t xml:space="preserve"> between </w:t>
      </w:r>
      <w:r>
        <w:rPr>
          <w:rFonts w:ascii="Times New Roman" w:hAnsi="Times New Roman" w:cs="Times New Roman"/>
          <w:sz w:val="24"/>
          <w:szCs w:val="24"/>
        </w:rPr>
        <w:t xml:space="preserve">Hubert Davies </w:t>
      </w:r>
      <w:r w:rsidR="002D12E6">
        <w:rPr>
          <w:rFonts w:ascii="Times New Roman" w:hAnsi="Times New Roman" w:cs="Times New Roman"/>
          <w:sz w:val="24"/>
          <w:szCs w:val="24"/>
        </w:rPr>
        <w:t>and Baxter Paints. From this claim lies part of the special plea of prescription.</w:t>
      </w:r>
    </w:p>
    <w:p w14:paraId="2DFE92D0" w14:textId="77777777" w:rsidR="002D12E6" w:rsidRDefault="002D12E6" w:rsidP="007811AF">
      <w:pPr>
        <w:pStyle w:val="NoSpacing"/>
        <w:spacing w:line="360" w:lineRule="auto"/>
        <w:jc w:val="both"/>
        <w:rPr>
          <w:rFonts w:ascii="Times New Roman" w:hAnsi="Times New Roman" w:cs="Times New Roman"/>
          <w:sz w:val="24"/>
          <w:szCs w:val="24"/>
        </w:rPr>
      </w:pPr>
    </w:p>
    <w:p w14:paraId="7DC52822" w14:textId="25C07A4F" w:rsidR="002D12E6" w:rsidRDefault="002D12E6" w:rsidP="007811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[ 8] Baxter Paints sold its interest in Stand 301 (effectively its undivided Share 2 in Stand 301) to Mr. Nhiwatiwa </w:t>
      </w:r>
      <w:r w:rsidR="00566C64">
        <w:rPr>
          <w:rFonts w:ascii="Times New Roman" w:hAnsi="Times New Roman" w:cs="Times New Roman"/>
          <w:sz w:val="24"/>
          <w:szCs w:val="24"/>
        </w:rPr>
        <w:t>in 2016. Transfer of this share number 2 occurred on 16 April 2016 under title deed 1712/2016. Mr and Mrs Chayayi also seek a cancellation of this title deed and were similarly met with the defence of prescription.</w:t>
      </w:r>
    </w:p>
    <w:p w14:paraId="60E6FFC1" w14:textId="77777777" w:rsidR="00566C64" w:rsidRDefault="00566C64" w:rsidP="007811AF">
      <w:pPr>
        <w:pStyle w:val="NoSpacing"/>
        <w:spacing w:line="360" w:lineRule="auto"/>
        <w:jc w:val="both"/>
        <w:rPr>
          <w:rFonts w:ascii="Times New Roman" w:hAnsi="Times New Roman" w:cs="Times New Roman"/>
          <w:sz w:val="24"/>
          <w:szCs w:val="24"/>
        </w:rPr>
      </w:pPr>
    </w:p>
    <w:p w14:paraId="76E24074" w14:textId="77777777" w:rsidR="007B6861" w:rsidRDefault="00566C64" w:rsidP="007811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[9] Mr. Nhiwatiwa then sold share number 2 to the Harry Trust in 2018. Harry Trust took title under deed 6473/2022 registered on 7 November 2022. Again, Mr and Mrs Chayayi pray for an order cancelling this title deed.  Whilst the above chronology is common cause, the question of rights, title and interest created by the various instruments is, as already noted, contested. </w:t>
      </w:r>
    </w:p>
    <w:p w14:paraId="188B3C08" w14:textId="77777777" w:rsidR="007B6861" w:rsidRDefault="007B6861" w:rsidP="007811AF">
      <w:pPr>
        <w:pStyle w:val="NoSpacing"/>
        <w:spacing w:line="360" w:lineRule="auto"/>
        <w:jc w:val="both"/>
        <w:rPr>
          <w:rFonts w:ascii="Times New Roman" w:hAnsi="Times New Roman" w:cs="Times New Roman"/>
          <w:sz w:val="24"/>
          <w:szCs w:val="24"/>
        </w:rPr>
      </w:pPr>
    </w:p>
    <w:p w14:paraId="649AA96D" w14:textId="77777777" w:rsidR="007B6861" w:rsidRDefault="007B6861" w:rsidP="007811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566C64">
        <w:rPr>
          <w:rFonts w:ascii="Times New Roman" w:hAnsi="Times New Roman" w:cs="Times New Roman"/>
          <w:sz w:val="24"/>
          <w:szCs w:val="24"/>
        </w:rPr>
        <w:t xml:space="preserve">The crux of the dispute is that Mr and Mrs Chayayi insist that share number 1 relates confers upon </w:t>
      </w:r>
      <w:r>
        <w:rPr>
          <w:rFonts w:ascii="Times New Roman" w:hAnsi="Times New Roman" w:cs="Times New Roman"/>
          <w:sz w:val="24"/>
          <w:szCs w:val="24"/>
        </w:rPr>
        <w:t>them exclusive</w:t>
      </w:r>
      <w:r w:rsidR="00566C64">
        <w:rPr>
          <w:rFonts w:ascii="Times New Roman" w:hAnsi="Times New Roman" w:cs="Times New Roman"/>
          <w:sz w:val="24"/>
          <w:szCs w:val="24"/>
        </w:rPr>
        <w:t xml:space="preserve"> rights to the building erected on the stand. </w:t>
      </w:r>
      <w:r>
        <w:rPr>
          <w:rFonts w:ascii="Times New Roman" w:hAnsi="Times New Roman" w:cs="Times New Roman"/>
          <w:sz w:val="24"/>
          <w:szCs w:val="24"/>
        </w:rPr>
        <w:t xml:space="preserve">The 15 November 2018 agreement of sale concluded between the two plaintiffs and Hubert Davies suggests so. In fact, title deed 3133/19 subsequently registered in their favour on 21 May 2015 confirmed that fact. </w:t>
      </w:r>
    </w:p>
    <w:p w14:paraId="0DC59446" w14:textId="77777777" w:rsidR="007B6861" w:rsidRDefault="007B6861" w:rsidP="007811AF">
      <w:pPr>
        <w:pStyle w:val="NoSpacing"/>
        <w:spacing w:line="360" w:lineRule="auto"/>
        <w:jc w:val="both"/>
        <w:rPr>
          <w:rFonts w:ascii="Times New Roman" w:hAnsi="Times New Roman" w:cs="Times New Roman"/>
          <w:sz w:val="24"/>
          <w:szCs w:val="24"/>
        </w:rPr>
      </w:pPr>
    </w:p>
    <w:p w14:paraId="071497C3" w14:textId="1FA973E4" w:rsidR="007B6861" w:rsidRDefault="007B6861" w:rsidP="007811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[11] It did so until a flurry of activities (including litigation)</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resulted in an endorsement being effected on the deed on 21 February 2020.The Registrar of Deeds inserted the condition that titled deed 3133/2019 reflected ownership in an undivided share in Stand 301 per notarial deed MA 348/92. Mr and Mrs Chayayi also seek to have this endorsement deleted.</w:t>
      </w:r>
    </w:p>
    <w:p w14:paraId="1D352948" w14:textId="77777777" w:rsidR="007B6861" w:rsidRDefault="007B6861" w:rsidP="007811AF">
      <w:pPr>
        <w:pStyle w:val="NoSpacing"/>
        <w:spacing w:line="360" w:lineRule="auto"/>
        <w:jc w:val="both"/>
        <w:rPr>
          <w:rFonts w:ascii="Times New Roman" w:hAnsi="Times New Roman" w:cs="Times New Roman"/>
          <w:sz w:val="24"/>
          <w:szCs w:val="24"/>
        </w:rPr>
      </w:pPr>
    </w:p>
    <w:p w14:paraId="1A908C53" w14:textId="66454A88" w:rsidR="00566C64" w:rsidRDefault="00566C64" w:rsidP="007811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B6861">
        <w:rPr>
          <w:rFonts w:ascii="Times New Roman" w:hAnsi="Times New Roman" w:cs="Times New Roman"/>
          <w:sz w:val="24"/>
          <w:szCs w:val="24"/>
        </w:rPr>
        <w:t>THE EXCEPTION.</w:t>
      </w:r>
    </w:p>
    <w:p w14:paraId="4DA6D8E6" w14:textId="7E003D7C" w:rsidR="00A42E2E" w:rsidRDefault="004178DD" w:rsidP="007811AF">
      <w:pPr>
        <w:pStyle w:val="NoSpacing"/>
        <w:spacing w:line="360" w:lineRule="auto"/>
        <w:jc w:val="both"/>
      </w:pPr>
      <w:r>
        <w:rPr>
          <w:rFonts w:ascii="Times New Roman" w:hAnsi="Times New Roman" w:cs="Times New Roman"/>
          <w:sz w:val="24"/>
          <w:szCs w:val="24"/>
        </w:rPr>
        <w:t xml:space="preserve">[12] Curiously, </w:t>
      </w:r>
      <w:r w:rsidR="00A42E2E">
        <w:rPr>
          <w:rFonts w:ascii="Times New Roman" w:hAnsi="Times New Roman" w:cs="Times New Roman"/>
          <w:sz w:val="24"/>
          <w:szCs w:val="24"/>
        </w:rPr>
        <w:t xml:space="preserve">(if not worrisomely) </w:t>
      </w:r>
      <w:r>
        <w:rPr>
          <w:rFonts w:ascii="Times New Roman" w:hAnsi="Times New Roman" w:cs="Times New Roman"/>
          <w:sz w:val="24"/>
          <w:szCs w:val="24"/>
        </w:rPr>
        <w:t xml:space="preserve">neither </w:t>
      </w:r>
      <w:r w:rsidR="00A42E2E">
        <w:rPr>
          <w:rFonts w:ascii="Times New Roman" w:hAnsi="Times New Roman" w:cs="Times New Roman"/>
          <w:sz w:val="24"/>
          <w:szCs w:val="24"/>
        </w:rPr>
        <w:t xml:space="preserve">side saw it fit to found their argument in heads and submissions on the established principles dealing with exceptions and special pleas. That aside, </w:t>
      </w:r>
      <w:r w:rsidR="00A42E2E" w:rsidRPr="00A42E2E">
        <w:rPr>
          <w:rFonts w:ascii="Times New Roman" w:hAnsi="Times New Roman" w:cs="Times New Roman"/>
          <w:sz w:val="24"/>
          <w:szCs w:val="24"/>
        </w:rPr>
        <w:t xml:space="preserve">the legal position is well-settled on the nature and purpose of exceptions and special pleas. In their work, </w:t>
      </w:r>
      <w:r w:rsidR="00A42E2E" w:rsidRPr="00A42E2E">
        <w:rPr>
          <w:rFonts w:ascii="Times New Roman" w:hAnsi="Times New Roman" w:cs="Times New Roman"/>
          <w:sz w:val="24"/>
          <w:szCs w:val="24"/>
          <w:u w:val="single"/>
        </w:rPr>
        <w:t>The Civil Practice of the Supreme Court of South Africa (4th ed</w:t>
      </w:r>
      <w:r w:rsidR="00A42E2E" w:rsidRPr="00A42E2E">
        <w:rPr>
          <w:rFonts w:ascii="Times New Roman" w:hAnsi="Times New Roman" w:cs="Times New Roman"/>
          <w:sz w:val="24"/>
          <w:szCs w:val="24"/>
        </w:rPr>
        <w:t>.), at pp. 471-472, the learned authors Herbsten and Van Winstein observed as follows:</w:t>
      </w:r>
    </w:p>
    <w:p w14:paraId="5133FD8F" w14:textId="77777777" w:rsidR="00A42E2E" w:rsidRDefault="00A42E2E" w:rsidP="007811AF">
      <w:pPr>
        <w:pStyle w:val="NoSpacing"/>
        <w:spacing w:line="360" w:lineRule="auto"/>
        <w:jc w:val="both"/>
      </w:pPr>
    </w:p>
    <w:p w14:paraId="1363387A" w14:textId="14DBD982" w:rsidR="007B6861" w:rsidRPr="00A42E2E" w:rsidRDefault="00A42E2E" w:rsidP="00A42E2E">
      <w:pPr>
        <w:pStyle w:val="NoSpacing"/>
        <w:spacing w:line="360" w:lineRule="auto"/>
        <w:ind w:left="851"/>
        <w:jc w:val="both"/>
        <w:rPr>
          <w:rFonts w:ascii="Times New Roman" w:hAnsi="Times New Roman" w:cs="Times New Roman"/>
          <w:sz w:val="24"/>
          <w:szCs w:val="24"/>
        </w:rPr>
      </w:pPr>
      <w:r w:rsidRPr="00A42E2E">
        <w:rPr>
          <w:rFonts w:ascii="Times New Roman" w:hAnsi="Times New Roman" w:cs="Times New Roman"/>
          <w:sz w:val="24"/>
          <w:szCs w:val="24"/>
        </w:rPr>
        <w:t xml:space="preserve"> “The essential difference between a special plea and an exception is that in the case of the latter the excipient is confined to the four corners of the declaration. The defence he raises on exception must appear from the declaration itself; he must accept as true the allegations contained in it and he may not introduce any fresh matter. Special pleas, on the other hand, do not appear ex facie the declaration. If they did, then the exception procedure would have to be followed. Special pleas have to be established by the introduction of fresh facts from outside the circumference of the declaration, and those facts have to be established by evidence in the usual way. Thus, as a general rule, the exception procedure is appropriate when the defect appears ex facie the pleading, whereas a special plea is appropriate when it is necessary to place facts before the court to show that there is a defect. The defence of prescription appears to be an exception to this rule, for it has been held that that defence should be raised by way of special plea even when it appears ex facie the plaintiff’s particulars of claim that the claim has prescribed, apparently because the plaintiff may wish to replicate a defence to the claim of prescription, for example an interruption.”</w:t>
      </w:r>
    </w:p>
    <w:p w14:paraId="70A113C3" w14:textId="77777777" w:rsidR="004178DD" w:rsidRDefault="004178DD" w:rsidP="007811AF">
      <w:pPr>
        <w:pStyle w:val="NoSpacing"/>
        <w:spacing w:line="360" w:lineRule="auto"/>
        <w:jc w:val="both"/>
        <w:rPr>
          <w:rFonts w:ascii="Times New Roman" w:hAnsi="Times New Roman" w:cs="Times New Roman"/>
          <w:sz w:val="24"/>
          <w:szCs w:val="24"/>
        </w:rPr>
      </w:pPr>
    </w:p>
    <w:p w14:paraId="53D80848" w14:textId="3635B0C1" w:rsidR="004178DD" w:rsidRDefault="00A42E2E" w:rsidP="004178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004178DD">
        <w:rPr>
          <w:rFonts w:ascii="Times New Roman" w:hAnsi="Times New Roman" w:cs="Times New Roman"/>
          <w:sz w:val="24"/>
          <w:szCs w:val="24"/>
        </w:rPr>
        <w:t xml:space="preserve">In the recent decision of </w:t>
      </w:r>
      <w:r w:rsidR="004178DD" w:rsidRPr="004178DD">
        <w:rPr>
          <w:rFonts w:ascii="Times New Roman" w:hAnsi="Times New Roman" w:cs="Times New Roman"/>
          <w:i/>
          <w:iCs/>
          <w:sz w:val="24"/>
          <w:szCs w:val="24"/>
        </w:rPr>
        <w:t>Kanjere v Old Mutual Life Assurance Company</w:t>
      </w:r>
      <w:r w:rsidR="004178DD">
        <w:rPr>
          <w:rFonts w:ascii="Times New Roman" w:hAnsi="Times New Roman" w:cs="Times New Roman"/>
          <w:sz w:val="24"/>
          <w:szCs w:val="24"/>
        </w:rPr>
        <w:t xml:space="preserve"> SC 31-24, the Supreme Court recognised that establishing the plaintiff`s cause of action was prerequisite to addressing a special plea. Citing Nan</w:t>
      </w:r>
      <w:r w:rsidR="004178DD" w:rsidRPr="004178DD">
        <w:rPr>
          <w:rFonts w:ascii="Times New Roman" w:eastAsia="Calibri" w:hAnsi="Times New Roman" w:cs="Times New Roman"/>
          <w:i/>
          <w:kern w:val="0"/>
          <w:sz w:val="24"/>
          <w:szCs w:val="24"/>
          <w14:ligatures w14:val="none"/>
        </w:rPr>
        <w:t xml:space="preserve"> Brooker v Mudhanda &amp; Anor</w:t>
      </w:r>
      <w:r w:rsidR="004178DD" w:rsidRPr="004178DD">
        <w:rPr>
          <w:rFonts w:ascii="Times New Roman" w:eastAsia="Calibri" w:hAnsi="Times New Roman" w:cs="Times New Roman"/>
          <w:kern w:val="0"/>
          <w:sz w:val="24"/>
          <w:szCs w:val="24"/>
          <w14:ligatures w14:val="none"/>
        </w:rPr>
        <w:t xml:space="preserve"> 2018 (1) ZLR 33 (S) at 35G-36A</w:t>
      </w:r>
      <w:r w:rsidR="004178DD">
        <w:rPr>
          <w:rFonts w:ascii="Times New Roman" w:eastAsia="Calibri" w:hAnsi="Times New Roman" w:cs="Times New Roman"/>
          <w:kern w:val="0"/>
          <w:sz w:val="24"/>
          <w:szCs w:val="24"/>
          <w14:ligatures w14:val="none"/>
        </w:rPr>
        <w:t xml:space="preserve"> on that aspect, the court concluded thus at paragraph 32; -</w:t>
      </w:r>
    </w:p>
    <w:p w14:paraId="3E5974A1" w14:textId="77777777" w:rsidR="004178DD" w:rsidRDefault="004178DD" w:rsidP="004178DD">
      <w:pPr>
        <w:spacing w:after="0" w:line="480" w:lineRule="auto"/>
        <w:ind w:left="360" w:hanging="360"/>
        <w:jc w:val="both"/>
        <w:rPr>
          <w:rFonts w:ascii="Times New Roman" w:hAnsi="Times New Roman" w:cs="Times New Roman"/>
          <w:sz w:val="24"/>
          <w:szCs w:val="24"/>
        </w:rPr>
      </w:pPr>
    </w:p>
    <w:p w14:paraId="3A957D0B" w14:textId="6327BC78" w:rsidR="004178DD" w:rsidRPr="004178DD" w:rsidRDefault="004178DD" w:rsidP="004178DD">
      <w:pPr>
        <w:spacing w:after="0" w:line="360" w:lineRule="auto"/>
        <w:ind w:left="851"/>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Pr="004178DD">
        <w:rPr>
          <w:rFonts w:ascii="Times New Roman" w:eastAsia="Calibri" w:hAnsi="Times New Roman" w:cs="Times New Roman"/>
          <w:kern w:val="0"/>
          <w:sz w:val="24"/>
          <w:szCs w:val="24"/>
          <w14:ligatures w14:val="none"/>
        </w:rPr>
        <w:t xml:space="preserve">The need for the entire set of facts entitling one to make a claim cannot be over emphasised.   It can be construed from case law that once the cause of action, which is the entire set of facts entitling one to make a claim, is established, and it is </w:t>
      </w:r>
      <w:r w:rsidRPr="004178DD">
        <w:rPr>
          <w:rFonts w:ascii="Times New Roman" w:eastAsia="Calibri" w:hAnsi="Times New Roman" w:cs="Times New Roman"/>
          <w:kern w:val="0"/>
          <w:sz w:val="24"/>
          <w:szCs w:val="24"/>
          <w14:ligatures w14:val="none"/>
        </w:rPr>
        <w:lastRenderedPageBreak/>
        <w:t>ascertained when the cause of action arose, the Court can safely determine whether or not the debt has prescribed.</w:t>
      </w:r>
      <w:r>
        <w:rPr>
          <w:rFonts w:ascii="Times New Roman" w:eastAsia="Calibri" w:hAnsi="Times New Roman" w:cs="Times New Roman"/>
          <w:kern w:val="0"/>
          <w:sz w:val="24"/>
          <w:szCs w:val="24"/>
          <w14:ligatures w14:val="none"/>
        </w:rPr>
        <w:t>”</w:t>
      </w:r>
      <w:r w:rsidRPr="004178DD">
        <w:rPr>
          <w:rFonts w:ascii="Times New Roman" w:eastAsia="Calibri" w:hAnsi="Times New Roman" w:cs="Times New Roman"/>
          <w:kern w:val="0"/>
          <w:sz w:val="24"/>
          <w:szCs w:val="24"/>
          <w14:ligatures w14:val="none"/>
        </w:rPr>
        <w:t xml:space="preserve">  </w:t>
      </w:r>
    </w:p>
    <w:p w14:paraId="37F1F9C4" w14:textId="13EAD26F" w:rsidR="004178DD" w:rsidRDefault="004178DD" w:rsidP="007811AF">
      <w:pPr>
        <w:pStyle w:val="NoSpacing"/>
        <w:spacing w:line="360" w:lineRule="auto"/>
        <w:jc w:val="both"/>
        <w:rPr>
          <w:rFonts w:ascii="Times New Roman" w:hAnsi="Times New Roman" w:cs="Times New Roman"/>
          <w:sz w:val="24"/>
          <w:szCs w:val="24"/>
        </w:rPr>
      </w:pPr>
    </w:p>
    <w:p w14:paraId="3883D6FF" w14:textId="52B34ED3" w:rsidR="0007078D" w:rsidRDefault="00A42E2E" w:rsidP="007811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[14] It stands to reason therefore that the exception must be addressed </w:t>
      </w:r>
      <w:r w:rsidR="0007078D">
        <w:rPr>
          <w:rFonts w:ascii="Times New Roman" w:hAnsi="Times New Roman" w:cs="Times New Roman"/>
          <w:sz w:val="24"/>
          <w:szCs w:val="24"/>
        </w:rPr>
        <w:t>ahead of the special plea.</w:t>
      </w:r>
      <w:r>
        <w:rPr>
          <w:rFonts w:ascii="Times New Roman" w:hAnsi="Times New Roman" w:cs="Times New Roman"/>
          <w:sz w:val="24"/>
          <w:szCs w:val="24"/>
        </w:rPr>
        <w:t xml:space="preserve"> If the exception succeeds then it follows that the matter necessarily ends there. </w:t>
      </w:r>
      <w:r w:rsidR="0007078D">
        <w:rPr>
          <w:rFonts w:ascii="Times New Roman" w:hAnsi="Times New Roman" w:cs="Times New Roman"/>
          <w:sz w:val="24"/>
          <w:szCs w:val="24"/>
        </w:rPr>
        <w:t xml:space="preserve">The plea-whether dilatory or in bar- must, as shall be seen below, be premised on a plausible, discernible cause of </w:t>
      </w:r>
      <w:r w:rsidR="009E1A46">
        <w:rPr>
          <w:rFonts w:ascii="Times New Roman" w:hAnsi="Times New Roman" w:cs="Times New Roman"/>
          <w:sz w:val="24"/>
          <w:szCs w:val="24"/>
        </w:rPr>
        <w:t>action. I therefore turn to the exception.</w:t>
      </w:r>
    </w:p>
    <w:p w14:paraId="6BB5DC38" w14:textId="77777777" w:rsidR="0007078D" w:rsidRDefault="0007078D" w:rsidP="007811AF">
      <w:pPr>
        <w:pStyle w:val="NoSpacing"/>
        <w:spacing w:line="360" w:lineRule="auto"/>
        <w:jc w:val="both"/>
        <w:rPr>
          <w:rFonts w:ascii="Times New Roman" w:hAnsi="Times New Roman" w:cs="Times New Roman"/>
          <w:sz w:val="24"/>
          <w:szCs w:val="24"/>
        </w:rPr>
      </w:pPr>
    </w:p>
    <w:p w14:paraId="099CEC43" w14:textId="43AA51D0" w:rsidR="003B51F5" w:rsidRDefault="0007078D" w:rsidP="007811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B51F5">
        <w:rPr>
          <w:rFonts w:ascii="Times New Roman" w:hAnsi="Times New Roman" w:cs="Times New Roman"/>
          <w:sz w:val="24"/>
          <w:szCs w:val="24"/>
        </w:rPr>
        <w:t xml:space="preserve">15] </w:t>
      </w:r>
      <w:r w:rsidR="00A42E2E">
        <w:rPr>
          <w:rFonts w:ascii="Times New Roman" w:hAnsi="Times New Roman" w:cs="Times New Roman"/>
          <w:sz w:val="24"/>
          <w:szCs w:val="24"/>
        </w:rPr>
        <w:t xml:space="preserve">The </w:t>
      </w:r>
      <w:r w:rsidR="009E1A46">
        <w:rPr>
          <w:rFonts w:ascii="Times New Roman" w:hAnsi="Times New Roman" w:cs="Times New Roman"/>
          <w:sz w:val="24"/>
          <w:szCs w:val="24"/>
        </w:rPr>
        <w:t xml:space="preserve">three </w:t>
      </w:r>
      <w:r w:rsidR="00A42E2E">
        <w:rPr>
          <w:rFonts w:ascii="Times New Roman" w:hAnsi="Times New Roman" w:cs="Times New Roman"/>
          <w:sz w:val="24"/>
          <w:szCs w:val="24"/>
        </w:rPr>
        <w:t>excipients</w:t>
      </w:r>
      <w:r w:rsidR="00D473C8">
        <w:rPr>
          <w:rFonts w:ascii="Times New Roman" w:hAnsi="Times New Roman" w:cs="Times New Roman"/>
          <w:sz w:val="24"/>
          <w:szCs w:val="24"/>
        </w:rPr>
        <w:t>` complaints over the plaintiffs’</w:t>
      </w:r>
      <w:r w:rsidR="00A42E2E">
        <w:rPr>
          <w:rFonts w:ascii="Times New Roman" w:hAnsi="Times New Roman" w:cs="Times New Roman"/>
          <w:sz w:val="24"/>
          <w:szCs w:val="24"/>
        </w:rPr>
        <w:t xml:space="preserve"> summons and </w:t>
      </w:r>
      <w:r w:rsidR="00D473C8">
        <w:rPr>
          <w:rFonts w:ascii="Times New Roman" w:hAnsi="Times New Roman" w:cs="Times New Roman"/>
          <w:sz w:val="24"/>
          <w:szCs w:val="24"/>
        </w:rPr>
        <w:t xml:space="preserve">declaration may be </w:t>
      </w:r>
      <w:r w:rsidR="00D473C8" w:rsidRPr="003B51F5">
        <w:rPr>
          <w:rFonts w:ascii="Times New Roman" w:hAnsi="Times New Roman" w:cs="Times New Roman"/>
          <w:sz w:val="24"/>
          <w:szCs w:val="24"/>
        </w:rPr>
        <w:t>clustered under three heads.  Firstly they aver that the summons do not</w:t>
      </w:r>
      <w:r w:rsidR="009E1A46" w:rsidRPr="003B51F5">
        <w:rPr>
          <w:rFonts w:ascii="Times New Roman" w:hAnsi="Times New Roman" w:cs="Times New Roman"/>
          <w:sz w:val="24"/>
          <w:szCs w:val="24"/>
        </w:rPr>
        <w:t>,</w:t>
      </w:r>
      <w:r w:rsidR="00D473C8" w:rsidRPr="003B51F5">
        <w:rPr>
          <w:rFonts w:ascii="Times New Roman" w:hAnsi="Times New Roman" w:cs="Times New Roman"/>
          <w:sz w:val="24"/>
          <w:szCs w:val="24"/>
        </w:rPr>
        <w:t xml:space="preserve"> on their face, disclose a cause of action. Secondly, they allege that the summons are in breach of rule 12 (5) (d</w:t>
      </w:r>
      <w:r w:rsidR="00FE02FD" w:rsidRPr="003B51F5">
        <w:rPr>
          <w:rFonts w:ascii="Times New Roman" w:hAnsi="Times New Roman" w:cs="Times New Roman"/>
          <w:sz w:val="24"/>
          <w:szCs w:val="24"/>
        </w:rPr>
        <w:t xml:space="preserve">) </w:t>
      </w:r>
      <w:r w:rsidRPr="003B51F5">
        <w:rPr>
          <w:rFonts w:ascii="Times New Roman" w:hAnsi="Times New Roman" w:cs="Times New Roman"/>
          <w:sz w:val="24"/>
          <w:szCs w:val="24"/>
        </w:rPr>
        <w:t xml:space="preserve">of the High Court Rules SI </w:t>
      </w:r>
      <w:r w:rsidR="00FE02FD" w:rsidRPr="003B51F5">
        <w:rPr>
          <w:rFonts w:ascii="Times New Roman" w:hAnsi="Times New Roman" w:cs="Times New Roman"/>
          <w:sz w:val="24"/>
          <w:szCs w:val="24"/>
        </w:rPr>
        <w:t>in</w:t>
      </w:r>
      <w:r w:rsidR="00D473C8" w:rsidRPr="003B51F5">
        <w:rPr>
          <w:rFonts w:ascii="Times New Roman" w:hAnsi="Times New Roman" w:cs="Times New Roman"/>
          <w:sz w:val="24"/>
          <w:szCs w:val="24"/>
        </w:rPr>
        <w:t xml:space="preserve"> that they are not </w:t>
      </w:r>
      <w:r w:rsidR="00FE02FD" w:rsidRPr="003B51F5">
        <w:rPr>
          <w:rFonts w:ascii="Times New Roman" w:hAnsi="Times New Roman" w:cs="Times New Roman"/>
          <w:sz w:val="24"/>
          <w:szCs w:val="24"/>
        </w:rPr>
        <w:t xml:space="preserve">precise and concise. </w:t>
      </w:r>
      <w:r>
        <w:rPr>
          <w:rFonts w:ascii="Times New Roman" w:hAnsi="Times New Roman" w:cs="Times New Roman"/>
          <w:sz w:val="24"/>
          <w:szCs w:val="24"/>
        </w:rPr>
        <w:t xml:space="preserve"> </w:t>
      </w:r>
      <w:r w:rsidR="00E67703" w:rsidRPr="009E1A46">
        <w:rPr>
          <w:rFonts w:ascii="Times New Roman" w:hAnsi="Times New Roman" w:cs="Times New Roman"/>
          <w:sz w:val="24"/>
          <w:szCs w:val="24"/>
        </w:rPr>
        <w:t xml:space="preserve">Thirdly, the excipients also </w:t>
      </w:r>
      <w:r w:rsidR="003B51F5">
        <w:rPr>
          <w:rFonts w:ascii="Times New Roman" w:hAnsi="Times New Roman" w:cs="Times New Roman"/>
          <w:sz w:val="24"/>
          <w:szCs w:val="24"/>
        </w:rPr>
        <w:t xml:space="preserve">allege that the </w:t>
      </w:r>
      <w:r w:rsidR="00E67703" w:rsidRPr="009E1A46">
        <w:rPr>
          <w:rFonts w:ascii="Times New Roman" w:hAnsi="Times New Roman" w:cs="Times New Roman"/>
          <w:sz w:val="24"/>
          <w:szCs w:val="24"/>
        </w:rPr>
        <w:t xml:space="preserve">declaration, </w:t>
      </w:r>
      <w:r w:rsidR="00E67703">
        <w:rPr>
          <w:rFonts w:ascii="Times New Roman" w:hAnsi="Times New Roman" w:cs="Times New Roman"/>
          <w:sz w:val="24"/>
          <w:szCs w:val="24"/>
        </w:rPr>
        <w:t xml:space="preserve">again failed to set out </w:t>
      </w:r>
      <w:r w:rsidR="00FE02FD">
        <w:rPr>
          <w:rFonts w:ascii="Times New Roman" w:hAnsi="Times New Roman" w:cs="Times New Roman"/>
          <w:sz w:val="24"/>
          <w:szCs w:val="24"/>
        </w:rPr>
        <w:t xml:space="preserve">cause of </w:t>
      </w:r>
      <w:r w:rsidR="00E67703">
        <w:rPr>
          <w:rFonts w:ascii="Times New Roman" w:hAnsi="Times New Roman" w:cs="Times New Roman"/>
          <w:sz w:val="24"/>
          <w:szCs w:val="24"/>
        </w:rPr>
        <w:t xml:space="preserve">action. It was </w:t>
      </w:r>
      <w:r>
        <w:rPr>
          <w:rFonts w:ascii="Times New Roman" w:hAnsi="Times New Roman" w:cs="Times New Roman"/>
          <w:sz w:val="24"/>
          <w:szCs w:val="24"/>
        </w:rPr>
        <w:t xml:space="preserve">prolix </w:t>
      </w:r>
      <w:r w:rsidR="00E67703">
        <w:rPr>
          <w:rFonts w:ascii="Times New Roman" w:hAnsi="Times New Roman" w:cs="Times New Roman"/>
          <w:sz w:val="24"/>
          <w:szCs w:val="24"/>
        </w:rPr>
        <w:t xml:space="preserve">and made </w:t>
      </w:r>
      <w:r>
        <w:rPr>
          <w:rFonts w:ascii="Times New Roman" w:hAnsi="Times New Roman" w:cs="Times New Roman"/>
          <w:sz w:val="24"/>
          <w:szCs w:val="24"/>
        </w:rPr>
        <w:t xml:space="preserve">improper reference to </w:t>
      </w:r>
      <w:r w:rsidR="008448FA">
        <w:rPr>
          <w:rFonts w:ascii="Times New Roman" w:hAnsi="Times New Roman" w:cs="Times New Roman"/>
          <w:sz w:val="24"/>
          <w:szCs w:val="24"/>
        </w:rPr>
        <w:t>annexures. These being infractions against rule 13 of the High Court Rules.</w:t>
      </w:r>
    </w:p>
    <w:p w14:paraId="4C6F9E4A" w14:textId="77777777" w:rsidR="003B51F5" w:rsidRDefault="003B51F5" w:rsidP="007811AF">
      <w:pPr>
        <w:pStyle w:val="NoSpacing"/>
        <w:spacing w:line="360" w:lineRule="auto"/>
        <w:jc w:val="both"/>
        <w:rPr>
          <w:rFonts w:ascii="Times New Roman" w:hAnsi="Times New Roman" w:cs="Times New Roman"/>
          <w:sz w:val="24"/>
          <w:szCs w:val="24"/>
        </w:rPr>
      </w:pPr>
    </w:p>
    <w:p w14:paraId="03ABD28B" w14:textId="341205D0" w:rsidR="00E67703" w:rsidRDefault="003B51F5" w:rsidP="007811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[16</w:t>
      </w:r>
      <w:r w:rsidR="009B16BA">
        <w:rPr>
          <w:rFonts w:ascii="Times New Roman" w:hAnsi="Times New Roman" w:cs="Times New Roman"/>
          <w:sz w:val="24"/>
          <w:szCs w:val="24"/>
        </w:rPr>
        <w:t>] I</w:t>
      </w:r>
      <w:r w:rsidR="009E1A46">
        <w:rPr>
          <w:rFonts w:ascii="Times New Roman" w:hAnsi="Times New Roman" w:cs="Times New Roman"/>
          <w:sz w:val="24"/>
          <w:szCs w:val="24"/>
        </w:rPr>
        <w:t xml:space="preserve"> may comment that rule 8 of the Commercial Court Rules defers to the High Court Rules on the issuance of summons. In that regard, summons sued out of the Commercial Court must comply with the provisions of rule</w:t>
      </w:r>
      <w:r w:rsidR="008448FA">
        <w:rPr>
          <w:rFonts w:ascii="Times New Roman" w:hAnsi="Times New Roman" w:cs="Times New Roman"/>
          <w:sz w:val="24"/>
          <w:szCs w:val="24"/>
        </w:rPr>
        <w:t>s</w:t>
      </w:r>
      <w:r w:rsidR="009E1A46">
        <w:rPr>
          <w:rFonts w:ascii="Times New Roman" w:hAnsi="Times New Roman" w:cs="Times New Roman"/>
          <w:sz w:val="24"/>
          <w:szCs w:val="24"/>
        </w:rPr>
        <w:t xml:space="preserve"> 12 (5) (d</w:t>
      </w:r>
      <w:r w:rsidR="00BC057E">
        <w:rPr>
          <w:rFonts w:ascii="Times New Roman" w:hAnsi="Times New Roman" w:cs="Times New Roman"/>
          <w:sz w:val="24"/>
          <w:szCs w:val="24"/>
        </w:rPr>
        <w:t>) and</w:t>
      </w:r>
      <w:r w:rsidR="008448FA">
        <w:rPr>
          <w:rFonts w:ascii="Times New Roman" w:hAnsi="Times New Roman" w:cs="Times New Roman"/>
          <w:sz w:val="24"/>
          <w:szCs w:val="24"/>
        </w:rPr>
        <w:t xml:space="preserve"> 13 (1) (</w:t>
      </w:r>
      <w:r w:rsidR="00BC057E">
        <w:rPr>
          <w:rFonts w:ascii="Times New Roman" w:hAnsi="Times New Roman" w:cs="Times New Roman"/>
          <w:sz w:val="24"/>
          <w:szCs w:val="24"/>
        </w:rPr>
        <w:t>e)</w:t>
      </w:r>
      <w:r w:rsidR="008448FA">
        <w:rPr>
          <w:rFonts w:ascii="Times New Roman" w:hAnsi="Times New Roman" w:cs="Times New Roman"/>
          <w:sz w:val="24"/>
          <w:szCs w:val="24"/>
        </w:rPr>
        <w:t xml:space="preserve"> </w:t>
      </w:r>
      <w:r w:rsidR="009E1A46">
        <w:rPr>
          <w:rFonts w:ascii="Times New Roman" w:hAnsi="Times New Roman" w:cs="Times New Roman"/>
          <w:sz w:val="24"/>
          <w:szCs w:val="24"/>
        </w:rPr>
        <w:t xml:space="preserve">of the High Court Rules. The requirement of rule 12 (5) (d) is replicated </w:t>
      </w:r>
      <w:r w:rsidR="00BC057E">
        <w:rPr>
          <w:rFonts w:ascii="Times New Roman" w:hAnsi="Times New Roman" w:cs="Times New Roman"/>
          <w:sz w:val="24"/>
          <w:szCs w:val="24"/>
        </w:rPr>
        <w:t xml:space="preserve">on </w:t>
      </w:r>
      <w:r w:rsidR="009E1A46">
        <w:rPr>
          <w:rFonts w:ascii="Times New Roman" w:hAnsi="Times New Roman" w:cs="Times New Roman"/>
          <w:sz w:val="24"/>
          <w:szCs w:val="24"/>
        </w:rPr>
        <w:t xml:space="preserve">Form CC 1 of the Commercial Court Rules to be used for summons commencing </w:t>
      </w:r>
      <w:r w:rsidR="008448FA">
        <w:rPr>
          <w:rFonts w:ascii="Times New Roman" w:hAnsi="Times New Roman" w:cs="Times New Roman"/>
          <w:sz w:val="24"/>
          <w:szCs w:val="24"/>
        </w:rPr>
        <w:t xml:space="preserve">action. </w:t>
      </w:r>
      <w:r w:rsidR="009E1A46">
        <w:rPr>
          <w:rFonts w:ascii="Times New Roman" w:hAnsi="Times New Roman" w:cs="Times New Roman"/>
          <w:sz w:val="24"/>
          <w:szCs w:val="24"/>
        </w:rPr>
        <w:t xml:space="preserve">I set out </w:t>
      </w:r>
      <w:r w:rsidR="008448FA">
        <w:rPr>
          <w:rFonts w:ascii="Times New Roman" w:hAnsi="Times New Roman" w:cs="Times New Roman"/>
          <w:sz w:val="24"/>
          <w:szCs w:val="24"/>
        </w:rPr>
        <w:t xml:space="preserve">hereunder </w:t>
      </w:r>
      <w:r w:rsidR="009E1A46">
        <w:rPr>
          <w:rFonts w:ascii="Times New Roman" w:hAnsi="Times New Roman" w:cs="Times New Roman"/>
          <w:sz w:val="24"/>
          <w:szCs w:val="24"/>
        </w:rPr>
        <w:t>both rule</w:t>
      </w:r>
      <w:r w:rsidR="008448FA">
        <w:rPr>
          <w:rFonts w:ascii="Times New Roman" w:hAnsi="Times New Roman" w:cs="Times New Roman"/>
          <w:sz w:val="24"/>
          <w:szCs w:val="24"/>
        </w:rPr>
        <w:t>s</w:t>
      </w:r>
      <w:r w:rsidR="009E1A46">
        <w:rPr>
          <w:rFonts w:ascii="Times New Roman" w:hAnsi="Times New Roman" w:cs="Times New Roman"/>
          <w:sz w:val="24"/>
          <w:szCs w:val="24"/>
        </w:rPr>
        <w:t xml:space="preserve"> 12 (5) (d) and </w:t>
      </w:r>
      <w:r w:rsidR="008448FA">
        <w:rPr>
          <w:rFonts w:ascii="Times New Roman" w:hAnsi="Times New Roman" w:cs="Times New Roman"/>
          <w:sz w:val="24"/>
          <w:szCs w:val="24"/>
        </w:rPr>
        <w:t xml:space="preserve">13 (1) </w:t>
      </w:r>
      <w:r w:rsidR="00BC057E">
        <w:rPr>
          <w:rFonts w:ascii="Times New Roman" w:hAnsi="Times New Roman" w:cs="Times New Roman"/>
          <w:sz w:val="24"/>
          <w:szCs w:val="24"/>
        </w:rPr>
        <w:t>(e</w:t>
      </w:r>
      <w:r w:rsidR="008448FA">
        <w:rPr>
          <w:rFonts w:ascii="Times New Roman" w:hAnsi="Times New Roman" w:cs="Times New Roman"/>
          <w:sz w:val="24"/>
          <w:szCs w:val="24"/>
        </w:rPr>
        <w:t xml:space="preserve">) as well as </w:t>
      </w:r>
      <w:r w:rsidR="009E1A46">
        <w:rPr>
          <w:rFonts w:ascii="Times New Roman" w:hAnsi="Times New Roman" w:cs="Times New Roman"/>
          <w:sz w:val="24"/>
          <w:szCs w:val="24"/>
        </w:rPr>
        <w:t>the direction on Form CC 1; -</w:t>
      </w:r>
    </w:p>
    <w:p w14:paraId="2DF9FD94" w14:textId="77777777" w:rsidR="009E1A46" w:rsidRDefault="009E1A46" w:rsidP="007811AF">
      <w:pPr>
        <w:pStyle w:val="NoSpacing"/>
        <w:spacing w:line="360" w:lineRule="auto"/>
        <w:jc w:val="both"/>
        <w:rPr>
          <w:rFonts w:ascii="Times New Roman" w:hAnsi="Times New Roman" w:cs="Times New Roman"/>
          <w:sz w:val="24"/>
          <w:szCs w:val="24"/>
        </w:rPr>
      </w:pPr>
    </w:p>
    <w:p w14:paraId="17CA9B9A" w14:textId="57141F3A" w:rsidR="009E1A46" w:rsidRPr="009E1A46" w:rsidRDefault="009E1A46" w:rsidP="00BC057E">
      <w:pPr>
        <w:pStyle w:val="NoSpacing"/>
        <w:numPr>
          <w:ilvl w:val="0"/>
          <w:numId w:val="7"/>
        </w:numPr>
        <w:spacing w:line="360" w:lineRule="auto"/>
        <w:jc w:val="both"/>
        <w:rPr>
          <w:rFonts w:ascii="Times New Roman" w:hAnsi="Times New Roman" w:cs="Times New Roman"/>
          <w:sz w:val="24"/>
          <w:szCs w:val="24"/>
          <w:u w:val="single"/>
        </w:rPr>
      </w:pPr>
      <w:r w:rsidRPr="009E1A46">
        <w:rPr>
          <w:rFonts w:ascii="Times New Roman" w:hAnsi="Times New Roman" w:cs="Times New Roman"/>
          <w:sz w:val="24"/>
          <w:szCs w:val="24"/>
          <w:u w:val="single"/>
        </w:rPr>
        <w:t>Rule 12 (5) requires every summons to set forth in 12 (5) (d); -</w:t>
      </w:r>
    </w:p>
    <w:p w14:paraId="16377923" w14:textId="3CC581A6" w:rsidR="009E1A46" w:rsidRDefault="009E1A46" w:rsidP="00BC057E">
      <w:pPr>
        <w:pStyle w:val="NoSpacing"/>
        <w:spacing w:line="360" w:lineRule="auto"/>
        <w:ind w:left="1571"/>
        <w:jc w:val="both"/>
        <w:rPr>
          <w:rFonts w:ascii="Times New Roman" w:hAnsi="Times New Roman" w:cs="Times New Roman"/>
          <w:sz w:val="24"/>
          <w:szCs w:val="24"/>
        </w:rPr>
      </w:pPr>
      <w:r w:rsidRPr="009E1A46">
        <w:rPr>
          <w:rFonts w:ascii="Times New Roman" w:hAnsi="Times New Roman" w:cs="Times New Roman"/>
          <w:sz w:val="24"/>
          <w:szCs w:val="24"/>
        </w:rPr>
        <w:t xml:space="preserve">“a true and concise statement of the nature, extent and grounds of the cause of action and of the relief or remedies sought in the action;” </w:t>
      </w:r>
    </w:p>
    <w:p w14:paraId="4C93A4CD" w14:textId="77777777" w:rsidR="008448FA" w:rsidRDefault="008448FA" w:rsidP="00BC057E">
      <w:pPr>
        <w:pStyle w:val="NoSpacing"/>
        <w:spacing w:line="360" w:lineRule="auto"/>
        <w:ind w:left="851"/>
        <w:jc w:val="both"/>
        <w:rPr>
          <w:rFonts w:ascii="Times New Roman" w:hAnsi="Times New Roman" w:cs="Times New Roman"/>
          <w:sz w:val="24"/>
          <w:szCs w:val="24"/>
        </w:rPr>
      </w:pPr>
    </w:p>
    <w:p w14:paraId="7086DAFA" w14:textId="6BF7D614" w:rsidR="008448FA" w:rsidRPr="00BC057E" w:rsidRDefault="008448FA" w:rsidP="00BC057E">
      <w:pPr>
        <w:pStyle w:val="NoSpacing"/>
        <w:numPr>
          <w:ilvl w:val="0"/>
          <w:numId w:val="7"/>
        </w:numPr>
        <w:spacing w:line="360" w:lineRule="auto"/>
        <w:jc w:val="both"/>
        <w:rPr>
          <w:rFonts w:ascii="Times New Roman" w:hAnsi="Times New Roman" w:cs="Times New Roman"/>
          <w:sz w:val="24"/>
          <w:szCs w:val="24"/>
        </w:rPr>
      </w:pPr>
      <w:r w:rsidRPr="00BC057E">
        <w:rPr>
          <w:rFonts w:ascii="Times New Roman" w:hAnsi="Times New Roman" w:cs="Times New Roman"/>
          <w:sz w:val="24"/>
          <w:szCs w:val="24"/>
          <w:u w:val="single"/>
        </w:rPr>
        <w:t>Rule 13 (1) (e) requires every declaration to state “truly and concisely”</w:t>
      </w:r>
      <w:r w:rsidRPr="00BC057E">
        <w:rPr>
          <w:rFonts w:ascii="Times New Roman" w:hAnsi="Times New Roman" w:cs="Times New Roman"/>
          <w:sz w:val="24"/>
          <w:szCs w:val="24"/>
        </w:rPr>
        <w:t>; -</w:t>
      </w:r>
    </w:p>
    <w:p w14:paraId="149FC67F" w14:textId="5FB544A2" w:rsidR="008448FA" w:rsidRPr="00BC057E" w:rsidRDefault="008448FA" w:rsidP="00BC057E">
      <w:pPr>
        <w:pStyle w:val="NoSpacing"/>
        <w:spacing w:line="360" w:lineRule="auto"/>
        <w:ind w:left="1571"/>
        <w:jc w:val="both"/>
        <w:rPr>
          <w:rFonts w:ascii="Times New Roman" w:hAnsi="Times New Roman" w:cs="Times New Roman"/>
          <w:sz w:val="24"/>
          <w:szCs w:val="24"/>
        </w:rPr>
      </w:pPr>
      <w:r w:rsidRPr="00BC057E">
        <w:rPr>
          <w:rFonts w:ascii="Times New Roman" w:hAnsi="Times New Roman" w:cs="Times New Roman"/>
          <w:sz w:val="24"/>
          <w:szCs w:val="24"/>
        </w:rPr>
        <w:t>“</w:t>
      </w:r>
      <w:r w:rsidR="00BC057E" w:rsidRPr="00BC057E">
        <w:rPr>
          <w:rFonts w:ascii="Times New Roman" w:hAnsi="Times New Roman" w:cs="Times New Roman"/>
          <w:sz w:val="24"/>
          <w:szCs w:val="24"/>
        </w:rPr>
        <w:t>the nature, extent and grounds of the cause of action.”</w:t>
      </w:r>
    </w:p>
    <w:p w14:paraId="34F95D66" w14:textId="77777777" w:rsidR="008448FA" w:rsidRDefault="008448FA" w:rsidP="00BC057E">
      <w:pPr>
        <w:pStyle w:val="NoSpacing"/>
        <w:spacing w:line="360" w:lineRule="auto"/>
        <w:ind w:left="851"/>
        <w:jc w:val="both"/>
        <w:rPr>
          <w:rFonts w:ascii="Times New Roman" w:hAnsi="Times New Roman" w:cs="Times New Roman"/>
          <w:sz w:val="24"/>
          <w:szCs w:val="24"/>
        </w:rPr>
      </w:pPr>
    </w:p>
    <w:p w14:paraId="1B489C6E" w14:textId="06A581E9" w:rsidR="00E67703" w:rsidRPr="009E1A46" w:rsidRDefault="009E1A46" w:rsidP="00BC057E">
      <w:pPr>
        <w:pStyle w:val="NoSpacing"/>
        <w:numPr>
          <w:ilvl w:val="0"/>
          <w:numId w:val="7"/>
        </w:numPr>
        <w:spacing w:line="360" w:lineRule="auto"/>
        <w:jc w:val="both"/>
        <w:rPr>
          <w:rFonts w:ascii="Times New Roman" w:hAnsi="Times New Roman" w:cs="Times New Roman"/>
          <w:sz w:val="24"/>
          <w:szCs w:val="24"/>
          <w:u w:val="single"/>
        </w:rPr>
      </w:pPr>
      <w:r w:rsidRPr="009E1A46">
        <w:rPr>
          <w:rFonts w:ascii="Times New Roman" w:hAnsi="Times New Roman" w:cs="Times New Roman"/>
          <w:sz w:val="24"/>
          <w:szCs w:val="24"/>
          <w:u w:val="single"/>
        </w:rPr>
        <w:t>Form CC 1 requires every plaintiff to;</w:t>
      </w:r>
    </w:p>
    <w:p w14:paraId="58CC811B" w14:textId="3791F738" w:rsidR="00E67703" w:rsidRPr="009E1A46" w:rsidRDefault="009E1A46" w:rsidP="00BC057E">
      <w:pPr>
        <w:pStyle w:val="NoSpacing"/>
        <w:spacing w:line="360" w:lineRule="auto"/>
        <w:ind w:left="1571"/>
        <w:jc w:val="both"/>
        <w:rPr>
          <w:rFonts w:ascii="Times New Roman" w:hAnsi="Times New Roman" w:cs="Times New Roman"/>
          <w:sz w:val="24"/>
          <w:szCs w:val="24"/>
        </w:rPr>
      </w:pPr>
      <w:r w:rsidRPr="009E1A46">
        <w:rPr>
          <w:rFonts w:ascii="Times New Roman" w:hAnsi="Times New Roman" w:cs="Times New Roman"/>
          <w:sz w:val="24"/>
          <w:szCs w:val="24"/>
        </w:rPr>
        <w:t>“</w:t>
      </w:r>
      <w:r w:rsidR="00E67703" w:rsidRPr="009E1A46">
        <w:rPr>
          <w:rFonts w:ascii="Times New Roman" w:hAnsi="Times New Roman" w:cs="Times New Roman"/>
          <w:sz w:val="24"/>
          <w:szCs w:val="24"/>
        </w:rPr>
        <w:t>Give a concise statement of the nature, extent and grounds of the plaintiff’s cause of action and of the relief or remedies he seeks.</w:t>
      </w:r>
      <w:r w:rsidRPr="009E1A46">
        <w:rPr>
          <w:rFonts w:ascii="Times New Roman" w:hAnsi="Times New Roman" w:cs="Times New Roman"/>
          <w:sz w:val="24"/>
          <w:szCs w:val="24"/>
        </w:rPr>
        <w:t>”</w:t>
      </w:r>
    </w:p>
    <w:p w14:paraId="64A23126" w14:textId="77777777" w:rsidR="00E67703" w:rsidRDefault="00E67703" w:rsidP="007811AF">
      <w:pPr>
        <w:pStyle w:val="NoSpacing"/>
        <w:spacing w:line="360" w:lineRule="auto"/>
        <w:jc w:val="both"/>
        <w:rPr>
          <w:rFonts w:ascii="Times New Roman" w:hAnsi="Times New Roman" w:cs="Times New Roman"/>
          <w:sz w:val="24"/>
          <w:szCs w:val="24"/>
        </w:rPr>
      </w:pPr>
    </w:p>
    <w:p w14:paraId="7CC25926" w14:textId="528D47FE" w:rsidR="00D473C8" w:rsidRDefault="003B51F5" w:rsidP="007811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[17] </w:t>
      </w:r>
      <w:r w:rsidR="00D473C8">
        <w:rPr>
          <w:rFonts w:ascii="Times New Roman" w:hAnsi="Times New Roman" w:cs="Times New Roman"/>
          <w:sz w:val="24"/>
          <w:szCs w:val="24"/>
        </w:rPr>
        <w:t xml:space="preserve">This court, per MUSITHU J, </w:t>
      </w:r>
      <w:r w:rsidR="009E1A46">
        <w:rPr>
          <w:rFonts w:ascii="Times New Roman" w:hAnsi="Times New Roman" w:cs="Times New Roman"/>
          <w:sz w:val="24"/>
          <w:szCs w:val="24"/>
        </w:rPr>
        <w:t xml:space="preserve">commented </w:t>
      </w:r>
      <w:r w:rsidR="00D473C8">
        <w:rPr>
          <w:rFonts w:ascii="Times New Roman" w:hAnsi="Times New Roman" w:cs="Times New Roman"/>
          <w:sz w:val="24"/>
          <w:szCs w:val="24"/>
        </w:rPr>
        <w:t xml:space="preserve">as follows </w:t>
      </w:r>
      <w:r w:rsidR="009E1A46">
        <w:rPr>
          <w:rFonts w:ascii="Times New Roman" w:hAnsi="Times New Roman" w:cs="Times New Roman"/>
          <w:sz w:val="24"/>
          <w:szCs w:val="24"/>
        </w:rPr>
        <w:t xml:space="preserve">on </w:t>
      </w:r>
      <w:r w:rsidR="00BC057E">
        <w:rPr>
          <w:rFonts w:ascii="Times New Roman" w:hAnsi="Times New Roman" w:cs="Times New Roman"/>
          <w:sz w:val="24"/>
          <w:szCs w:val="24"/>
        </w:rPr>
        <w:t xml:space="preserve">the </w:t>
      </w:r>
      <w:r w:rsidR="00FE63DA">
        <w:rPr>
          <w:rFonts w:ascii="Times New Roman" w:hAnsi="Times New Roman" w:cs="Times New Roman"/>
          <w:sz w:val="24"/>
          <w:szCs w:val="24"/>
        </w:rPr>
        <w:t>above, especially</w:t>
      </w:r>
      <w:r w:rsidR="00BC057E">
        <w:rPr>
          <w:rFonts w:ascii="Times New Roman" w:hAnsi="Times New Roman" w:cs="Times New Roman"/>
          <w:sz w:val="24"/>
          <w:szCs w:val="24"/>
        </w:rPr>
        <w:t xml:space="preserve"> </w:t>
      </w:r>
      <w:r w:rsidR="009E1A46">
        <w:rPr>
          <w:rFonts w:ascii="Times New Roman" w:hAnsi="Times New Roman" w:cs="Times New Roman"/>
          <w:sz w:val="24"/>
          <w:szCs w:val="24"/>
        </w:rPr>
        <w:t>rule</w:t>
      </w:r>
      <w:r w:rsidR="00D473C8">
        <w:rPr>
          <w:rFonts w:ascii="Times New Roman" w:hAnsi="Times New Roman" w:cs="Times New Roman"/>
          <w:sz w:val="24"/>
          <w:szCs w:val="24"/>
        </w:rPr>
        <w:t xml:space="preserve"> 12 (5) (d</w:t>
      </w:r>
      <w:r w:rsidR="00FE02FD">
        <w:rPr>
          <w:rFonts w:ascii="Times New Roman" w:hAnsi="Times New Roman" w:cs="Times New Roman"/>
          <w:sz w:val="24"/>
          <w:szCs w:val="24"/>
        </w:rPr>
        <w:t>)</w:t>
      </w:r>
      <w:r w:rsidR="00BC057E">
        <w:rPr>
          <w:rFonts w:ascii="Times New Roman" w:hAnsi="Times New Roman" w:cs="Times New Roman"/>
          <w:sz w:val="24"/>
          <w:szCs w:val="24"/>
        </w:rPr>
        <w:t>,</w:t>
      </w:r>
      <w:r w:rsidR="00FE02FD">
        <w:rPr>
          <w:rFonts w:ascii="Times New Roman" w:hAnsi="Times New Roman" w:cs="Times New Roman"/>
          <w:sz w:val="24"/>
          <w:szCs w:val="24"/>
        </w:rPr>
        <w:t xml:space="preserve"> in</w:t>
      </w:r>
      <w:r w:rsidR="00D473C8">
        <w:rPr>
          <w:rFonts w:ascii="Times New Roman" w:hAnsi="Times New Roman" w:cs="Times New Roman"/>
          <w:sz w:val="24"/>
          <w:szCs w:val="24"/>
        </w:rPr>
        <w:t xml:space="preserve"> </w:t>
      </w:r>
      <w:r w:rsidR="00D473C8" w:rsidRPr="00D473C8">
        <w:rPr>
          <w:rFonts w:ascii="Times New Roman" w:hAnsi="Times New Roman" w:cs="Times New Roman"/>
          <w:i/>
          <w:iCs/>
          <w:sz w:val="24"/>
          <w:szCs w:val="24"/>
        </w:rPr>
        <w:t>Chigarira and Ors v ZUPCO Pension and Life Assurance Fund &amp; Ors</w:t>
      </w:r>
      <w:r w:rsidR="00D473C8">
        <w:rPr>
          <w:rFonts w:ascii="Times New Roman" w:hAnsi="Times New Roman" w:cs="Times New Roman"/>
          <w:sz w:val="24"/>
          <w:szCs w:val="24"/>
        </w:rPr>
        <w:t xml:space="preserve"> HH 330-24 at page </w:t>
      </w:r>
      <w:r w:rsidR="00FE02FD">
        <w:rPr>
          <w:rFonts w:ascii="Times New Roman" w:hAnsi="Times New Roman" w:cs="Times New Roman"/>
          <w:sz w:val="24"/>
          <w:szCs w:val="24"/>
        </w:rPr>
        <w:t>8; -</w:t>
      </w:r>
    </w:p>
    <w:p w14:paraId="111164CD" w14:textId="77777777" w:rsidR="00D473C8" w:rsidRDefault="00D473C8" w:rsidP="007811AF">
      <w:pPr>
        <w:pStyle w:val="NoSpacing"/>
        <w:spacing w:line="360" w:lineRule="auto"/>
        <w:jc w:val="both"/>
        <w:rPr>
          <w:rFonts w:ascii="Times New Roman" w:hAnsi="Times New Roman" w:cs="Times New Roman"/>
          <w:sz w:val="24"/>
          <w:szCs w:val="24"/>
        </w:rPr>
      </w:pPr>
    </w:p>
    <w:p w14:paraId="3933B8D5" w14:textId="03C77277" w:rsidR="00D473C8" w:rsidRPr="00D473C8" w:rsidRDefault="00D473C8" w:rsidP="00D473C8">
      <w:pPr>
        <w:autoSpaceDE w:val="0"/>
        <w:autoSpaceDN w:val="0"/>
        <w:adjustRightInd w:val="0"/>
        <w:spacing w:after="0" w:line="360" w:lineRule="auto"/>
        <w:ind w:left="851"/>
        <w:jc w:val="both"/>
        <w:rPr>
          <w:rFonts w:ascii="Times New Roman" w:eastAsia="Calibri" w:hAnsi="Times New Roman" w:cs="Times New Roman"/>
          <w:color w:val="231F20"/>
          <w:kern w:val="0"/>
          <w:sz w:val="24"/>
          <w:szCs w:val="24"/>
          <w14:ligatures w14:val="none"/>
        </w:rPr>
      </w:pPr>
      <w:r>
        <w:rPr>
          <w:rFonts w:ascii="Times New Roman" w:eastAsia="Calibri" w:hAnsi="Times New Roman" w:cs="Times New Roman"/>
          <w:kern w:val="0"/>
          <w:sz w:val="24"/>
          <w:szCs w:val="24"/>
          <w14:ligatures w14:val="none"/>
        </w:rPr>
        <w:t>“</w:t>
      </w:r>
      <w:r w:rsidRPr="00D473C8">
        <w:rPr>
          <w:rFonts w:ascii="Times New Roman" w:eastAsia="Calibri" w:hAnsi="Times New Roman" w:cs="Times New Roman"/>
          <w:kern w:val="0"/>
          <w:sz w:val="24"/>
          <w:szCs w:val="24"/>
          <w14:ligatures w14:val="none"/>
        </w:rPr>
        <w:t xml:space="preserve">Rule 12(5)(d) of the High Court Rules, 2021, requires that every summons shall set forth </w:t>
      </w:r>
      <w:r w:rsidRPr="00D473C8">
        <w:rPr>
          <w:rFonts w:ascii="Times New Roman" w:eastAsia="Calibri" w:hAnsi="Times New Roman" w:cs="Times New Roman"/>
          <w:i/>
          <w:iCs/>
          <w:kern w:val="0"/>
          <w:sz w:val="24"/>
          <w:szCs w:val="24"/>
          <w14:ligatures w14:val="none"/>
        </w:rPr>
        <w:t>“</w:t>
      </w:r>
      <w:r w:rsidRPr="00D473C8">
        <w:rPr>
          <w:rFonts w:ascii="Times New Roman" w:eastAsia="Calibri" w:hAnsi="Times New Roman" w:cs="Times New Roman"/>
          <w:i/>
          <w:iCs/>
          <w:color w:val="231F20"/>
          <w:kern w:val="0"/>
          <w:sz w:val="24"/>
          <w:szCs w:val="24"/>
          <w14:ligatures w14:val="none"/>
        </w:rPr>
        <w:t>a true and concise statement of the nature, extent and grounds of the cause of action and of the relief or remedies sought in the action”</w:t>
      </w:r>
      <w:r w:rsidRPr="00D473C8">
        <w:rPr>
          <w:rFonts w:ascii="Times New Roman" w:eastAsia="Calibri" w:hAnsi="Times New Roman" w:cs="Times New Roman"/>
          <w:color w:val="231F20"/>
          <w:kern w:val="0"/>
          <w:sz w:val="24"/>
          <w:szCs w:val="24"/>
          <w14:ligatures w14:val="none"/>
        </w:rPr>
        <w:t xml:space="preserve">. Put differently, a plaintiff’s claim must be set out with sufficient clarity to inform the defendant of the exact nature of the case that he or she is required to respond to. The plaintiff is required to plead a complete cause of action which identifies the issues upon which the plaintiff seeks to rely in motivation of the claim. </w:t>
      </w:r>
    </w:p>
    <w:p w14:paraId="43915341" w14:textId="77777777" w:rsidR="00D473C8" w:rsidRDefault="00D473C8" w:rsidP="007811AF">
      <w:pPr>
        <w:pStyle w:val="NoSpacing"/>
        <w:spacing w:line="360" w:lineRule="auto"/>
        <w:jc w:val="both"/>
        <w:rPr>
          <w:rFonts w:ascii="Times New Roman" w:hAnsi="Times New Roman" w:cs="Times New Roman"/>
          <w:sz w:val="24"/>
          <w:szCs w:val="24"/>
        </w:rPr>
      </w:pPr>
    </w:p>
    <w:p w14:paraId="6036FDC9" w14:textId="68A9F93E" w:rsidR="00FE63DA" w:rsidRDefault="00FE02FD" w:rsidP="007811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2169C3">
        <w:rPr>
          <w:rFonts w:ascii="Times New Roman" w:hAnsi="Times New Roman" w:cs="Times New Roman"/>
          <w:sz w:val="24"/>
          <w:szCs w:val="24"/>
        </w:rPr>
        <w:t>8</w:t>
      </w:r>
      <w:r>
        <w:rPr>
          <w:rFonts w:ascii="Times New Roman" w:hAnsi="Times New Roman" w:cs="Times New Roman"/>
          <w:sz w:val="24"/>
          <w:szCs w:val="24"/>
        </w:rPr>
        <w:t xml:space="preserve">] </w:t>
      </w:r>
      <w:r w:rsidR="00BC057E">
        <w:rPr>
          <w:rFonts w:ascii="Times New Roman" w:hAnsi="Times New Roman" w:cs="Times New Roman"/>
          <w:sz w:val="24"/>
          <w:szCs w:val="24"/>
        </w:rPr>
        <w:t xml:space="preserve">The </w:t>
      </w:r>
      <w:r w:rsidR="002169C3">
        <w:rPr>
          <w:rFonts w:ascii="Times New Roman" w:hAnsi="Times New Roman" w:cs="Times New Roman"/>
          <w:sz w:val="24"/>
          <w:szCs w:val="24"/>
        </w:rPr>
        <w:t>standards of pleading set out in</w:t>
      </w:r>
      <w:r w:rsidR="00BC057E">
        <w:rPr>
          <w:rFonts w:ascii="Times New Roman" w:hAnsi="Times New Roman" w:cs="Times New Roman"/>
          <w:sz w:val="24"/>
          <w:szCs w:val="24"/>
        </w:rPr>
        <w:t xml:space="preserve"> rules 12, 13 and Form CC1 </w:t>
      </w:r>
      <w:r w:rsidR="002169C3">
        <w:rPr>
          <w:rFonts w:ascii="Times New Roman" w:hAnsi="Times New Roman" w:cs="Times New Roman"/>
          <w:sz w:val="24"/>
          <w:szCs w:val="24"/>
        </w:rPr>
        <w:t xml:space="preserve">are not mere </w:t>
      </w:r>
      <w:r w:rsidR="00085AC3">
        <w:rPr>
          <w:rFonts w:ascii="Times New Roman" w:hAnsi="Times New Roman" w:cs="Times New Roman"/>
          <w:sz w:val="24"/>
          <w:szCs w:val="24"/>
        </w:rPr>
        <w:t xml:space="preserve">demands for </w:t>
      </w:r>
      <w:r w:rsidR="002169C3">
        <w:rPr>
          <w:rFonts w:ascii="Times New Roman" w:hAnsi="Times New Roman" w:cs="Times New Roman"/>
          <w:sz w:val="24"/>
          <w:szCs w:val="24"/>
        </w:rPr>
        <w:t xml:space="preserve">fastidiousness. They serve a </w:t>
      </w:r>
      <w:r w:rsidR="00A721D8">
        <w:rPr>
          <w:rFonts w:ascii="Times New Roman" w:hAnsi="Times New Roman" w:cs="Times New Roman"/>
          <w:sz w:val="24"/>
          <w:szCs w:val="24"/>
        </w:rPr>
        <w:t xml:space="preserve">practical if not jurisprudential </w:t>
      </w:r>
      <w:r w:rsidR="002169C3">
        <w:rPr>
          <w:rFonts w:ascii="Times New Roman" w:hAnsi="Times New Roman" w:cs="Times New Roman"/>
          <w:sz w:val="24"/>
          <w:szCs w:val="24"/>
        </w:rPr>
        <w:t>purpose.</w:t>
      </w:r>
      <w:r w:rsidR="00BC057E">
        <w:rPr>
          <w:rFonts w:ascii="Times New Roman" w:hAnsi="Times New Roman" w:cs="Times New Roman"/>
          <w:sz w:val="24"/>
          <w:szCs w:val="24"/>
        </w:rPr>
        <w:t xml:space="preserve"> </w:t>
      </w:r>
      <w:r w:rsidR="002169C3">
        <w:rPr>
          <w:rFonts w:ascii="Times New Roman" w:hAnsi="Times New Roman" w:cs="Times New Roman"/>
          <w:sz w:val="24"/>
          <w:szCs w:val="24"/>
        </w:rPr>
        <w:t xml:space="preserve">Firstly, precision and clarity </w:t>
      </w:r>
      <w:r w:rsidR="00085AC3">
        <w:rPr>
          <w:rFonts w:ascii="Times New Roman" w:hAnsi="Times New Roman" w:cs="Times New Roman"/>
          <w:sz w:val="24"/>
          <w:szCs w:val="24"/>
        </w:rPr>
        <w:t xml:space="preserve">in pleadings help to deliver </w:t>
      </w:r>
      <w:r w:rsidR="002169C3">
        <w:rPr>
          <w:rFonts w:ascii="Times New Roman" w:hAnsi="Times New Roman" w:cs="Times New Roman"/>
          <w:sz w:val="24"/>
          <w:szCs w:val="24"/>
        </w:rPr>
        <w:t xml:space="preserve">good order, convenience and efficiency in the courts. Secondly, they oblige a plaintiff to clearly set </w:t>
      </w:r>
      <w:r w:rsidR="00BC057E">
        <w:rPr>
          <w:rFonts w:ascii="Times New Roman" w:hAnsi="Times New Roman" w:cs="Times New Roman"/>
          <w:sz w:val="24"/>
          <w:szCs w:val="24"/>
        </w:rPr>
        <w:t xml:space="preserve">out </w:t>
      </w:r>
      <w:r w:rsidR="002169C3">
        <w:rPr>
          <w:rFonts w:ascii="Times New Roman" w:hAnsi="Times New Roman" w:cs="Times New Roman"/>
          <w:sz w:val="24"/>
          <w:szCs w:val="24"/>
        </w:rPr>
        <w:t>its cause</w:t>
      </w:r>
      <w:r w:rsidR="00BC057E">
        <w:rPr>
          <w:rFonts w:ascii="Times New Roman" w:hAnsi="Times New Roman" w:cs="Times New Roman"/>
          <w:sz w:val="24"/>
          <w:szCs w:val="24"/>
        </w:rPr>
        <w:t xml:space="preserve"> of action </w:t>
      </w:r>
      <w:r w:rsidR="002169C3">
        <w:rPr>
          <w:rFonts w:ascii="Times New Roman" w:hAnsi="Times New Roman" w:cs="Times New Roman"/>
          <w:sz w:val="24"/>
          <w:szCs w:val="24"/>
        </w:rPr>
        <w:t xml:space="preserve">so as to properly define </w:t>
      </w:r>
      <w:r w:rsidR="00BC057E">
        <w:rPr>
          <w:rFonts w:ascii="Times New Roman" w:hAnsi="Times New Roman" w:cs="Times New Roman"/>
          <w:sz w:val="24"/>
          <w:szCs w:val="24"/>
        </w:rPr>
        <w:t xml:space="preserve">the </w:t>
      </w:r>
      <w:r w:rsidR="002169C3">
        <w:rPr>
          <w:rFonts w:ascii="Times New Roman" w:hAnsi="Times New Roman" w:cs="Times New Roman"/>
          <w:sz w:val="24"/>
          <w:szCs w:val="24"/>
        </w:rPr>
        <w:t xml:space="preserve">parties` </w:t>
      </w:r>
      <w:r w:rsidR="00BC057E">
        <w:rPr>
          <w:rFonts w:ascii="Times New Roman" w:hAnsi="Times New Roman" w:cs="Times New Roman"/>
          <w:sz w:val="24"/>
          <w:szCs w:val="24"/>
        </w:rPr>
        <w:t>controversy</w:t>
      </w:r>
      <w:r w:rsidR="002169C3">
        <w:rPr>
          <w:rFonts w:ascii="Times New Roman" w:hAnsi="Times New Roman" w:cs="Times New Roman"/>
          <w:sz w:val="24"/>
          <w:szCs w:val="24"/>
        </w:rPr>
        <w:t>.</w:t>
      </w:r>
      <w:r w:rsidR="00BC057E">
        <w:rPr>
          <w:rFonts w:ascii="Times New Roman" w:hAnsi="Times New Roman" w:cs="Times New Roman"/>
          <w:sz w:val="24"/>
          <w:szCs w:val="24"/>
        </w:rPr>
        <w:t xml:space="preserve"> A clear definition of the underlying dispute enables the court to resolve </w:t>
      </w:r>
      <w:r w:rsidR="00FE63DA">
        <w:rPr>
          <w:rFonts w:ascii="Times New Roman" w:hAnsi="Times New Roman" w:cs="Times New Roman"/>
          <w:sz w:val="24"/>
          <w:szCs w:val="24"/>
        </w:rPr>
        <w:t>it. Such quest</w:t>
      </w:r>
      <w:r w:rsidR="00BC057E">
        <w:rPr>
          <w:rFonts w:ascii="Times New Roman" w:hAnsi="Times New Roman" w:cs="Times New Roman"/>
          <w:sz w:val="24"/>
          <w:szCs w:val="24"/>
        </w:rPr>
        <w:t xml:space="preserve">, as </w:t>
      </w:r>
      <w:r w:rsidR="002169C3">
        <w:rPr>
          <w:rFonts w:ascii="Times New Roman" w:hAnsi="Times New Roman" w:cs="Times New Roman"/>
          <w:sz w:val="24"/>
          <w:szCs w:val="24"/>
        </w:rPr>
        <w:t xml:space="preserve">shall be </w:t>
      </w:r>
      <w:r w:rsidR="00BC057E">
        <w:rPr>
          <w:rFonts w:ascii="Times New Roman" w:hAnsi="Times New Roman" w:cs="Times New Roman"/>
          <w:sz w:val="24"/>
          <w:szCs w:val="24"/>
        </w:rPr>
        <w:t xml:space="preserve">seen further below, forms the cornerstone of our justice delivery system. </w:t>
      </w:r>
    </w:p>
    <w:p w14:paraId="45219D78" w14:textId="77777777" w:rsidR="00FE63DA" w:rsidRDefault="00FE63DA" w:rsidP="007811AF">
      <w:pPr>
        <w:pStyle w:val="NoSpacing"/>
        <w:spacing w:line="360" w:lineRule="auto"/>
        <w:jc w:val="both"/>
        <w:rPr>
          <w:rFonts w:ascii="Times New Roman" w:hAnsi="Times New Roman" w:cs="Times New Roman"/>
          <w:sz w:val="24"/>
          <w:szCs w:val="24"/>
        </w:rPr>
      </w:pPr>
    </w:p>
    <w:p w14:paraId="4A59980E" w14:textId="7FCEEC45" w:rsidR="0083240E" w:rsidRDefault="00FE63DA" w:rsidP="007811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2169C3">
        <w:rPr>
          <w:rFonts w:ascii="Times New Roman" w:hAnsi="Times New Roman" w:cs="Times New Roman"/>
          <w:sz w:val="24"/>
          <w:szCs w:val="24"/>
        </w:rPr>
        <w:t>9</w:t>
      </w:r>
      <w:r>
        <w:rPr>
          <w:rFonts w:ascii="Times New Roman" w:hAnsi="Times New Roman" w:cs="Times New Roman"/>
          <w:sz w:val="24"/>
          <w:szCs w:val="24"/>
        </w:rPr>
        <w:t xml:space="preserve">] And </w:t>
      </w:r>
      <w:r w:rsidR="00BC057E">
        <w:rPr>
          <w:rFonts w:ascii="Times New Roman" w:hAnsi="Times New Roman" w:cs="Times New Roman"/>
          <w:sz w:val="24"/>
          <w:szCs w:val="24"/>
        </w:rPr>
        <w:t xml:space="preserve">so as </w:t>
      </w:r>
      <w:r w:rsidR="003B51F5">
        <w:rPr>
          <w:rFonts w:ascii="Times New Roman" w:hAnsi="Times New Roman" w:cs="Times New Roman"/>
          <w:sz w:val="24"/>
          <w:szCs w:val="24"/>
        </w:rPr>
        <w:t xml:space="preserve">I take a further step back to </w:t>
      </w:r>
      <w:r w:rsidR="00FE02FD">
        <w:rPr>
          <w:rFonts w:ascii="Times New Roman" w:hAnsi="Times New Roman" w:cs="Times New Roman"/>
          <w:sz w:val="24"/>
          <w:szCs w:val="24"/>
        </w:rPr>
        <w:t xml:space="preserve">the authorities </w:t>
      </w:r>
      <w:r w:rsidR="003B51F5">
        <w:rPr>
          <w:rFonts w:ascii="Times New Roman" w:hAnsi="Times New Roman" w:cs="Times New Roman"/>
          <w:sz w:val="24"/>
          <w:szCs w:val="24"/>
        </w:rPr>
        <w:t>on t</w:t>
      </w:r>
      <w:r w:rsidR="00FE02FD">
        <w:rPr>
          <w:rFonts w:ascii="Times New Roman" w:hAnsi="Times New Roman" w:cs="Times New Roman"/>
          <w:sz w:val="24"/>
          <w:szCs w:val="24"/>
        </w:rPr>
        <w:t xml:space="preserve">he nature and purpose of a summons. </w:t>
      </w:r>
      <w:r w:rsidR="003B51F5">
        <w:rPr>
          <w:rFonts w:ascii="Times New Roman" w:hAnsi="Times New Roman" w:cs="Times New Roman"/>
          <w:sz w:val="24"/>
          <w:szCs w:val="24"/>
        </w:rPr>
        <w:t>T</w:t>
      </w:r>
      <w:r w:rsidR="00FE02FD">
        <w:rPr>
          <w:rFonts w:ascii="Times New Roman" w:hAnsi="Times New Roman" w:cs="Times New Roman"/>
          <w:sz w:val="24"/>
          <w:szCs w:val="24"/>
        </w:rPr>
        <w:t xml:space="preserve">he learned authors Herbstein and Van Winsen </w:t>
      </w:r>
      <w:r w:rsidR="003B51F5">
        <w:rPr>
          <w:rFonts w:ascii="Times New Roman" w:hAnsi="Times New Roman" w:cs="Times New Roman"/>
          <w:sz w:val="24"/>
          <w:szCs w:val="24"/>
        </w:rPr>
        <w:t xml:space="preserve">opine as follows </w:t>
      </w:r>
      <w:r w:rsidR="00FE02FD">
        <w:rPr>
          <w:rFonts w:ascii="Times New Roman" w:hAnsi="Times New Roman" w:cs="Times New Roman"/>
          <w:sz w:val="24"/>
          <w:szCs w:val="24"/>
        </w:rPr>
        <w:t>in the below passages; -</w:t>
      </w:r>
    </w:p>
    <w:p w14:paraId="2C4B97B8" w14:textId="77777777" w:rsidR="00FE02FD" w:rsidRDefault="00FE02FD" w:rsidP="007811AF">
      <w:pPr>
        <w:pStyle w:val="NoSpacing"/>
        <w:spacing w:line="360" w:lineRule="auto"/>
        <w:jc w:val="both"/>
        <w:rPr>
          <w:rFonts w:ascii="Times New Roman" w:hAnsi="Times New Roman" w:cs="Times New Roman"/>
          <w:sz w:val="24"/>
          <w:szCs w:val="24"/>
        </w:rPr>
      </w:pPr>
    </w:p>
    <w:p w14:paraId="34AD9909" w14:textId="7C380829" w:rsidR="00FE02FD" w:rsidRPr="00FE02FD" w:rsidRDefault="00085AC3" w:rsidP="00FE02FD">
      <w:pPr>
        <w:pStyle w:val="NoSpacing"/>
        <w:spacing w:line="360" w:lineRule="auto"/>
        <w:ind w:left="851"/>
        <w:jc w:val="both"/>
        <w:rPr>
          <w:rFonts w:ascii="Times New Roman" w:hAnsi="Times New Roman" w:cs="Times New Roman"/>
          <w:sz w:val="24"/>
          <w:szCs w:val="24"/>
          <w:u w:val="single"/>
        </w:rPr>
      </w:pPr>
      <w:r>
        <w:rPr>
          <w:rFonts w:ascii="Times New Roman" w:hAnsi="Times New Roman" w:cs="Times New Roman"/>
          <w:sz w:val="24"/>
          <w:szCs w:val="24"/>
        </w:rPr>
        <w:t>(i) “</w:t>
      </w:r>
      <w:r w:rsidR="00FE02FD" w:rsidRPr="00FE02FD">
        <w:rPr>
          <w:rFonts w:ascii="Times New Roman" w:hAnsi="Times New Roman" w:cs="Times New Roman"/>
          <w:sz w:val="24"/>
          <w:szCs w:val="24"/>
          <w:u w:val="single"/>
        </w:rPr>
        <w:t>Statement of claim</w:t>
      </w:r>
    </w:p>
    <w:p w14:paraId="31A87F7D" w14:textId="11E8633E" w:rsidR="00FE02FD" w:rsidRDefault="00FE02FD" w:rsidP="00FE02FD">
      <w:pPr>
        <w:pStyle w:val="NoSpacing"/>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(a</w:t>
      </w:r>
      <w:r w:rsidRPr="00FE02FD">
        <w:rPr>
          <w:rFonts w:ascii="Times New Roman" w:hAnsi="Times New Roman" w:cs="Times New Roman"/>
          <w:i/>
          <w:iCs/>
          <w:sz w:val="24"/>
          <w:szCs w:val="24"/>
        </w:rPr>
        <w:t>)Cause of action to be set out</w:t>
      </w:r>
    </w:p>
    <w:p w14:paraId="33C38D3E" w14:textId="54668703" w:rsidR="00FE02FD" w:rsidRDefault="00FE02FD" w:rsidP="00FE02FD">
      <w:pPr>
        <w:pStyle w:val="NoSpacing"/>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The object of a summons is not to merely bring the defendant before the court; it must also intimate to the defendant the nature of the claim or demand that he is required to meet. </w:t>
      </w:r>
      <w:r w:rsidRPr="00841BE4">
        <w:rPr>
          <w:rFonts w:ascii="Times New Roman" w:hAnsi="Times New Roman" w:cs="Times New Roman"/>
          <w:sz w:val="24"/>
          <w:szCs w:val="24"/>
          <w:u w:val="single"/>
        </w:rPr>
        <w:t>Consequently, it is insufficient to state in the summons merely the relief claimed. The plaintiff must also set out what the cause of action is and on what it is based</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00841BE4">
        <w:rPr>
          <w:rFonts w:ascii="Times New Roman" w:hAnsi="Times New Roman" w:cs="Times New Roman"/>
          <w:sz w:val="24"/>
          <w:szCs w:val="24"/>
        </w:rPr>
        <w:t xml:space="preserve"> [ Underlined for emphasis] </w:t>
      </w:r>
    </w:p>
    <w:p w14:paraId="15205784" w14:textId="77777777" w:rsidR="0083240E" w:rsidRDefault="0083240E" w:rsidP="007811AF">
      <w:pPr>
        <w:pStyle w:val="NoSpacing"/>
        <w:spacing w:line="360" w:lineRule="auto"/>
        <w:jc w:val="both"/>
        <w:rPr>
          <w:rFonts w:ascii="Times New Roman" w:hAnsi="Times New Roman" w:cs="Times New Roman"/>
          <w:sz w:val="24"/>
          <w:szCs w:val="24"/>
        </w:rPr>
      </w:pPr>
    </w:p>
    <w:p w14:paraId="112FA70B" w14:textId="4C760062" w:rsidR="007811AF" w:rsidRPr="00841BE4" w:rsidRDefault="00085AC3" w:rsidP="00841BE4">
      <w:pPr>
        <w:pStyle w:val="NoSpacing"/>
        <w:spacing w:line="360" w:lineRule="auto"/>
        <w:ind w:left="851"/>
        <w:jc w:val="both"/>
        <w:rPr>
          <w:rFonts w:ascii="Times New Roman" w:hAnsi="Times New Roman" w:cs="Times New Roman"/>
          <w:sz w:val="24"/>
          <w:szCs w:val="24"/>
          <w:u w:val="single"/>
        </w:rPr>
      </w:pPr>
      <w:r>
        <w:rPr>
          <w:rFonts w:ascii="Times New Roman" w:hAnsi="Times New Roman" w:cs="Times New Roman"/>
          <w:sz w:val="24"/>
          <w:szCs w:val="24"/>
        </w:rPr>
        <w:t>(ii) “</w:t>
      </w:r>
      <w:r w:rsidR="00841BE4" w:rsidRPr="00841BE4">
        <w:rPr>
          <w:rFonts w:ascii="Times New Roman" w:hAnsi="Times New Roman" w:cs="Times New Roman"/>
          <w:sz w:val="24"/>
          <w:szCs w:val="24"/>
          <w:u w:val="single"/>
        </w:rPr>
        <w:t xml:space="preserve">Necessary averments in a summons </w:t>
      </w:r>
    </w:p>
    <w:p w14:paraId="3F56B0C8" w14:textId="185B4E60" w:rsidR="00841BE4" w:rsidRDefault="00841BE4" w:rsidP="00841BE4">
      <w:pPr>
        <w:pStyle w:val="NoSpacing"/>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(a)</w:t>
      </w:r>
      <w:r w:rsidRPr="00085AC3">
        <w:rPr>
          <w:rFonts w:ascii="Times New Roman" w:hAnsi="Times New Roman" w:cs="Times New Roman"/>
          <w:i/>
          <w:iCs/>
          <w:sz w:val="24"/>
          <w:szCs w:val="24"/>
        </w:rPr>
        <w:t>General</w:t>
      </w:r>
    </w:p>
    <w:p w14:paraId="3595122F" w14:textId="1BEFB74E" w:rsidR="00841BE4" w:rsidRPr="007811AF" w:rsidRDefault="00841BE4" w:rsidP="00841BE4">
      <w:pPr>
        <w:pStyle w:val="NoSpacing"/>
        <w:spacing w:line="360" w:lineRule="auto"/>
        <w:ind w:left="851"/>
        <w:jc w:val="both"/>
        <w:rPr>
          <w:rFonts w:ascii="Times New Roman" w:hAnsi="Times New Roman" w:cs="Times New Roman"/>
          <w:sz w:val="24"/>
          <w:szCs w:val="24"/>
        </w:rPr>
      </w:pPr>
      <w:r>
        <w:rPr>
          <w:rFonts w:ascii="Times New Roman" w:hAnsi="Times New Roman" w:cs="Times New Roman"/>
          <w:sz w:val="24"/>
          <w:szCs w:val="24"/>
        </w:rPr>
        <w:t>The summons must further set out a legal ground on which the plaintiff can claim relief, and sufficient details should be given about it to enable the defendant to identify it.”</w:t>
      </w:r>
      <w:r>
        <w:rPr>
          <w:rStyle w:val="FootnoteReference"/>
          <w:rFonts w:ascii="Times New Roman" w:hAnsi="Times New Roman" w:cs="Times New Roman"/>
          <w:sz w:val="24"/>
          <w:szCs w:val="24"/>
        </w:rPr>
        <w:footnoteReference w:id="4"/>
      </w:r>
    </w:p>
    <w:p w14:paraId="5817D26B" w14:textId="6C0C0800" w:rsidR="007811AF" w:rsidRDefault="00841BE4" w:rsidP="007811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085AC3">
        <w:rPr>
          <w:rFonts w:ascii="Times New Roman" w:hAnsi="Times New Roman" w:cs="Times New Roman"/>
          <w:sz w:val="24"/>
          <w:szCs w:val="24"/>
        </w:rPr>
        <w:t>20</w:t>
      </w:r>
      <w:r>
        <w:rPr>
          <w:rFonts w:ascii="Times New Roman" w:hAnsi="Times New Roman" w:cs="Times New Roman"/>
          <w:sz w:val="24"/>
          <w:szCs w:val="24"/>
        </w:rPr>
        <w:t>] The summons before me did not advert to the purpose behind the relief sought. They merely listed the nature of the relief prayed for and referred the basis of the claim to the declaration stating that: - “The plaintiffs` claim, as more fully set out in the declaration and summary of evidence attached hereto is for….</w:t>
      </w:r>
      <w:r w:rsidR="004D5F20">
        <w:rPr>
          <w:rFonts w:ascii="Times New Roman" w:hAnsi="Times New Roman" w:cs="Times New Roman"/>
          <w:sz w:val="24"/>
          <w:szCs w:val="24"/>
        </w:rPr>
        <w:t>”.</w:t>
      </w:r>
      <w:r>
        <w:rPr>
          <w:rFonts w:ascii="Times New Roman" w:hAnsi="Times New Roman" w:cs="Times New Roman"/>
          <w:sz w:val="24"/>
          <w:szCs w:val="24"/>
        </w:rPr>
        <w:t xml:space="preserve"> Clearly, the summons did not, on the face of it, lay out the cause of action. They </w:t>
      </w:r>
      <w:r w:rsidR="003B51F5">
        <w:rPr>
          <w:rFonts w:ascii="Times New Roman" w:hAnsi="Times New Roman" w:cs="Times New Roman"/>
          <w:sz w:val="24"/>
          <w:szCs w:val="24"/>
        </w:rPr>
        <w:t xml:space="preserve">simply </w:t>
      </w:r>
      <w:r>
        <w:rPr>
          <w:rFonts w:ascii="Times New Roman" w:hAnsi="Times New Roman" w:cs="Times New Roman"/>
          <w:sz w:val="24"/>
          <w:szCs w:val="24"/>
        </w:rPr>
        <w:t>outlined the plaintiffs` prayers.</w:t>
      </w:r>
    </w:p>
    <w:p w14:paraId="707F2F41" w14:textId="77777777" w:rsidR="004D5F20" w:rsidRDefault="004D5F20" w:rsidP="007811AF">
      <w:pPr>
        <w:pStyle w:val="NoSpacing"/>
        <w:spacing w:line="360" w:lineRule="auto"/>
        <w:jc w:val="both"/>
        <w:rPr>
          <w:rFonts w:ascii="Times New Roman" w:hAnsi="Times New Roman" w:cs="Times New Roman"/>
          <w:sz w:val="24"/>
          <w:szCs w:val="24"/>
        </w:rPr>
      </w:pPr>
    </w:p>
    <w:p w14:paraId="01B73AFE" w14:textId="77777777" w:rsidR="002252A2" w:rsidRDefault="004D5F20" w:rsidP="007811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2252A2">
        <w:rPr>
          <w:rFonts w:ascii="Times New Roman" w:hAnsi="Times New Roman" w:cs="Times New Roman"/>
          <w:sz w:val="24"/>
          <w:szCs w:val="24"/>
        </w:rPr>
        <w:t>21</w:t>
      </w:r>
      <w:r>
        <w:rPr>
          <w:rFonts w:ascii="Times New Roman" w:hAnsi="Times New Roman" w:cs="Times New Roman"/>
          <w:sz w:val="24"/>
          <w:szCs w:val="24"/>
        </w:rPr>
        <w:t xml:space="preserve">] I turn to the declaration. Not only is this pleading guilty of the accusation of being lengthy, convoluted and reading like an affidavit, it does not explicitly set out the cause of </w:t>
      </w:r>
      <w:r w:rsidR="00A70887">
        <w:rPr>
          <w:rFonts w:ascii="Times New Roman" w:hAnsi="Times New Roman" w:cs="Times New Roman"/>
          <w:sz w:val="24"/>
          <w:szCs w:val="24"/>
        </w:rPr>
        <w:t>action. The</w:t>
      </w:r>
      <w:r>
        <w:rPr>
          <w:rFonts w:ascii="Times New Roman" w:hAnsi="Times New Roman" w:cs="Times New Roman"/>
          <w:sz w:val="24"/>
          <w:szCs w:val="24"/>
        </w:rPr>
        <w:t xml:space="preserve"> </w:t>
      </w:r>
      <w:r w:rsidR="00A70887">
        <w:rPr>
          <w:rFonts w:ascii="Times New Roman" w:hAnsi="Times New Roman" w:cs="Times New Roman"/>
          <w:sz w:val="24"/>
          <w:szCs w:val="24"/>
        </w:rPr>
        <w:t xml:space="preserve">plaintiff`s causa is founded on the claim that Mr and Mrs Chayayi purchased rights title and interest in the developed part of Stand 301 Umtali Township. </w:t>
      </w:r>
    </w:p>
    <w:p w14:paraId="6C9C5D01" w14:textId="77777777" w:rsidR="002252A2" w:rsidRDefault="002252A2" w:rsidP="007811AF">
      <w:pPr>
        <w:pStyle w:val="NoSpacing"/>
        <w:spacing w:line="360" w:lineRule="auto"/>
        <w:jc w:val="both"/>
        <w:rPr>
          <w:rFonts w:ascii="Times New Roman" w:hAnsi="Times New Roman" w:cs="Times New Roman"/>
          <w:sz w:val="24"/>
          <w:szCs w:val="24"/>
        </w:rPr>
      </w:pPr>
    </w:p>
    <w:p w14:paraId="1A11F605" w14:textId="5E807698" w:rsidR="004D5F20" w:rsidRDefault="002252A2" w:rsidP="007811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00A70887">
        <w:rPr>
          <w:rFonts w:ascii="Times New Roman" w:hAnsi="Times New Roman" w:cs="Times New Roman"/>
          <w:sz w:val="24"/>
          <w:szCs w:val="24"/>
        </w:rPr>
        <w:t xml:space="preserve">The corollary being that Harry Trust`s rights and interest are confined to </w:t>
      </w:r>
      <w:r w:rsidR="003B51F5">
        <w:rPr>
          <w:rFonts w:ascii="Times New Roman" w:hAnsi="Times New Roman" w:cs="Times New Roman"/>
          <w:sz w:val="24"/>
          <w:szCs w:val="24"/>
        </w:rPr>
        <w:t>another part of the property other than the commercial building</w:t>
      </w:r>
      <w:r w:rsidR="00A70887">
        <w:rPr>
          <w:rFonts w:ascii="Times New Roman" w:hAnsi="Times New Roman" w:cs="Times New Roman"/>
          <w:sz w:val="24"/>
          <w:szCs w:val="24"/>
        </w:rPr>
        <w:t xml:space="preserve">. Yet another way of </w:t>
      </w:r>
      <w:r w:rsidR="003B51F5">
        <w:rPr>
          <w:rFonts w:ascii="Times New Roman" w:hAnsi="Times New Roman" w:cs="Times New Roman"/>
          <w:sz w:val="24"/>
          <w:szCs w:val="24"/>
        </w:rPr>
        <w:t xml:space="preserve">viewing </w:t>
      </w:r>
      <w:r w:rsidR="00A70887">
        <w:rPr>
          <w:rFonts w:ascii="Times New Roman" w:hAnsi="Times New Roman" w:cs="Times New Roman"/>
          <w:sz w:val="24"/>
          <w:szCs w:val="24"/>
        </w:rPr>
        <w:t xml:space="preserve">this </w:t>
      </w:r>
      <w:r w:rsidR="003B51F5">
        <w:rPr>
          <w:rFonts w:ascii="Times New Roman" w:hAnsi="Times New Roman" w:cs="Times New Roman"/>
          <w:sz w:val="24"/>
          <w:szCs w:val="24"/>
        </w:rPr>
        <w:t xml:space="preserve">claim </w:t>
      </w:r>
      <w:r w:rsidR="00A70887">
        <w:rPr>
          <w:rFonts w:ascii="Times New Roman" w:hAnsi="Times New Roman" w:cs="Times New Roman"/>
          <w:sz w:val="24"/>
          <w:szCs w:val="24"/>
        </w:rPr>
        <w:t xml:space="preserve">is that according to Mr and Mrs </w:t>
      </w:r>
      <w:r w:rsidR="003B51F5">
        <w:rPr>
          <w:rFonts w:ascii="Times New Roman" w:hAnsi="Times New Roman" w:cs="Times New Roman"/>
          <w:sz w:val="24"/>
          <w:szCs w:val="24"/>
        </w:rPr>
        <w:t xml:space="preserve">Chayayi, [ their] </w:t>
      </w:r>
      <w:r w:rsidR="00A70887">
        <w:rPr>
          <w:rFonts w:ascii="Times New Roman" w:hAnsi="Times New Roman" w:cs="Times New Roman"/>
          <w:sz w:val="24"/>
          <w:szCs w:val="24"/>
        </w:rPr>
        <w:t>Share 1 comprises of the building, and</w:t>
      </w:r>
      <w:r w:rsidR="003B51F5">
        <w:rPr>
          <w:rFonts w:ascii="Times New Roman" w:hAnsi="Times New Roman" w:cs="Times New Roman"/>
          <w:sz w:val="24"/>
          <w:szCs w:val="24"/>
        </w:rPr>
        <w:t xml:space="preserve"> [</w:t>
      </w:r>
      <w:r w:rsidR="00A70887">
        <w:rPr>
          <w:rFonts w:ascii="Times New Roman" w:hAnsi="Times New Roman" w:cs="Times New Roman"/>
          <w:sz w:val="24"/>
          <w:szCs w:val="24"/>
        </w:rPr>
        <w:t xml:space="preserve"> </w:t>
      </w:r>
      <w:r w:rsidR="003B51F5">
        <w:rPr>
          <w:rFonts w:ascii="Times New Roman" w:hAnsi="Times New Roman" w:cs="Times New Roman"/>
          <w:sz w:val="24"/>
          <w:szCs w:val="24"/>
        </w:rPr>
        <w:t>Harry Trust`s ]</w:t>
      </w:r>
      <w:r w:rsidR="00A70887">
        <w:rPr>
          <w:rFonts w:ascii="Times New Roman" w:hAnsi="Times New Roman" w:cs="Times New Roman"/>
          <w:sz w:val="24"/>
          <w:szCs w:val="24"/>
        </w:rPr>
        <w:t xml:space="preserve">Share </w:t>
      </w:r>
      <w:r w:rsidR="003B51F5">
        <w:rPr>
          <w:rFonts w:ascii="Times New Roman" w:hAnsi="Times New Roman" w:cs="Times New Roman"/>
          <w:sz w:val="24"/>
          <w:szCs w:val="24"/>
        </w:rPr>
        <w:t xml:space="preserve">2 relates to </w:t>
      </w:r>
      <w:r w:rsidR="00A70887">
        <w:rPr>
          <w:rFonts w:ascii="Times New Roman" w:hAnsi="Times New Roman" w:cs="Times New Roman"/>
          <w:sz w:val="24"/>
          <w:szCs w:val="24"/>
        </w:rPr>
        <w:t xml:space="preserve">some other part of the </w:t>
      </w:r>
      <w:r w:rsidR="003B51F5">
        <w:rPr>
          <w:rFonts w:ascii="Times New Roman" w:hAnsi="Times New Roman" w:cs="Times New Roman"/>
          <w:sz w:val="24"/>
          <w:szCs w:val="24"/>
        </w:rPr>
        <w:t xml:space="preserve">property. </w:t>
      </w:r>
    </w:p>
    <w:p w14:paraId="4691FC33" w14:textId="77777777" w:rsidR="00D9191A" w:rsidRDefault="00D9191A" w:rsidP="007811AF">
      <w:pPr>
        <w:pStyle w:val="NoSpacing"/>
        <w:spacing w:line="360" w:lineRule="auto"/>
        <w:jc w:val="both"/>
        <w:rPr>
          <w:rFonts w:ascii="Times New Roman" w:hAnsi="Times New Roman" w:cs="Times New Roman"/>
          <w:sz w:val="24"/>
          <w:szCs w:val="24"/>
        </w:rPr>
      </w:pPr>
    </w:p>
    <w:p w14:paraId="4B805EB5" w14:textId="78C81E01" w:rsidR="009B16BA" w:rsidRDefault="00D9191A" w:rsidP="00D9191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2252A2">
        <w:rPr>
          <w:rFonts w:ascii="Times New Roman" w:hAnsi="Times New Roman" w:cs="Times New Roman"/>
          <w:sz w:val="24"/>
          <w:szCs w:val="24"/>
        </w:rPr>
        <w:t>23</w:t>
      </w:r>
      <w:r>
        <w:rPr>
          <w:rFonts w:ascii="Times New Roman" w:hAnsi="Times New Roman" w:cs="Times New Roman"/>
          <w:sz w:val="24"/>
          <w:szCs w:val="24"/>
        </w:rPr>
        <w:t>] Mr and Mrs Chayayi acknowledge that the</w:t>
      </w:r>
      <w:r w:rsidR="003B51F5">
        <w:rPr>
          <w:rFonts w:ascii="Times New Roman" w:hAnsi="Times New Roman" w:cs="Times New Roman"/>
          <w:sz w:val="24"/>
          <w:szCs w:val="24"/>
        </w:rPr>
        <w:t xml:space="preserve">ir agreement with Hubert Davies was preceded and succeeded by a plethora </w:t>
      </w:r>
      <w:r w:rsidR="009B16BA">
        <w:rPr>
          <w:rFonts w:ascii="Times New Roman" w:hAnsi="Times New Roman" w:cs="Times New Roman"/>
          <w:sz w:val="24"/>
          <w:szCs w:val="24"/>
        </w:rPr>
        <w:t>of other agreements, deeds</w:t>
      </w:r>
      <w:r>
        <w:rPr>
          <w:rFonts w:ascii="Times New Roman" w:hAnsi="Times New Roman" w:cs="Times New Roman"/>
          <w:sz w:val="24"/>
          <w:szCs w:val="24"/>
        </w:rPr>
        <w:t xml:space="preserve"> of </w:t>
      </w:r>
      <w:r w:rsidR="009B16BA">
        <w:rPr>
          <w:rFonts w:ascii="Times New Roman" w:hAnsi="Times New Roman" w:cs="Times New Roman"/>
          <w:sz w:val="24"/>
          <w:szCs w:val="24"/>
        </w:rPr>
        <w:t xml:space="preserve">transfer, a survey diagram </w:t>
      </w:r>
      <w:r>
        <w:rPr>
          <w:rFonts w:ascii="Times New Roman" w:hAnsi="Times New Roman" w:cs="Times New Roman"/>
          <w:sz w:val="24"/>
          <w:szCs w:val="24"/>
        </w:rPr>
        <w:t xml:space="preserve">and </w:t>
      </w:r>
      <w:r w:rsidR="009B16BA">
        <w:rPr>
          <w:rFonts w:ascii="Times New Roman" w:hAnsi="Times New Roman" w:cs="Times New Roman"/>
          <w:sz w:val="24"/>
          <w:szCs w:val="24"/>
        </w:rPr>
        <w:t xml:space="preserve">a registered </w:t>
      </w:r>
      <w:r>
        <w:rPr>
          <w:rFonts w:ascii="Times New Roman" w:hAnsi="Times New Roman" w:cs="Times New Roman"/>
          <w:sz w:val="24"/>
          <w:szCs w:val="24"/>
        </w:rPr>
        <w:t xml:space="preserve">notarial deed. </w:t>
      </w:r>
      <w:r w:rsidR="009B16BA">
        <w:rPr>
          <w:rFonts w:ascii="Times New Roman" w:hAnsi="Times New Roman" w:cs="Times New Roman"/>
          <w:sz w:val="24"/>
          <w:szCs w:val="24"/>
        </w:rPr>
        <w:t>Mr and Mrs Chayayi`s present declaratory action seeks to subordinate this compendium of legal instruments</w:t>
      </w:r>
      <w:r w:rsidR="00953BB8">
        <w:rPr>
          <w:rFonts w:ascii="Times New Roman" w:hAnsi="Times New Roman" w:cs="Times New Roman"/>
          <w:sz w:val="24"/>
          <w:szCs w:val="24"/>
        </w:rPr>
        <w:t xml:space="preserve"> to their own contract</w:t>
      </w:r>
      <w:r w:rsidR="009B16BA">
        <w:rPr>
          <w:rFonts w:ascii="Times New Roman" w:hAnsi="Times New Roman" w:cs="Times New Roman"/>
          <w:sz w:val="24"/>
          <w:szCs w:val="24"/>
        </w:rPr>
        <w:t>.</w:t>
      </w:r>
    </w:p>
    <w:p w14:paraId="15EEA5FB" w14:textId="77777777" w:rsidR="009B16BA" w:rsidRDefault="009B16BA" w:rsidP="00D9191A">
      <w:pPr>
        <w:pStyle w:val="NoSpacing"/>
        <w:spacing w:line="360" w:lineRule="auto"/>
        <w:jc w:val="both"/>
        <w:rPr>
          <w:rFonts w:ascii="Times New Roman" w:hAnsi="Times New Roman" w:cs="Times New Roman"/>
          <w:sz w:val="24"/>
          <w:szCs w:val="24"/>
        </w:rPr>
      </w:pPr>
    </w:p>
    <w:p w14:paraId="0ACF30F6" w14:textId="7E37240E" w:rsidR="00A721D8" w:rsidRDefault="009B16BA" w:rsidP="00D9191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2252A2">
        <w:rPr>
          <w:rFonts w:ascii="Times New Roman" w:hAnsi="Times New Roman" w:cs="Times New Roman"/>
          <w:sz w:val="24"/>
          <w:szCs w:val="24"/>
        </w:rPr>
        <w:t>4</w:t>
      </w:r>
      <w:r>
        <w:rPr>
          <w:rFonts w:ascii="Times New Roman" w:hAnsi="Times New Roman" w:cs="Times New Roman"/>
          <w:sz w:val="24"/>
          <w:szCs w:val="24"/>
        </w:rPr>
        <w:t xml:space="preserve">] Mr and Mrs Chayayi </w:t>
      </w:r>
      <w:r w:rsidR="00D9191A">
        <w:rPr>
          <w:rFonts w:ascii="Times New Roman" w:hAnsi="Times New Roman" w:cs="Times New Roman"/>
          <w:sz w:val="24"/>
          <w:szCs w:val="24"/>
        </w:rPr>
        <w:t xml:space="preserve">may have a valid reason for laying such claims. But the </w:t>
      </w:r>
      <w:r w:rsidR="00A70887">
        <w:rPr>
          <w:rFonts w:ascii="Times New Roman" w:hAnsi="Times New Roman" w:cs="Times New Roman"/>
          <w:sz w:val="24"/>
          <w:szCs w:val="24"/>
        </w:rPr>
        <w:t xml:space="preserve">basis </w:t>
      </w:r>
      <w:r w:rsidR="00D9191A">
        <w:rPr>
          <w:rFonts w:ascii="Times New Roman" w:hAnsi="Times New Roman" w:cs="Times New Roman"/>
          <w:sz w:val="24"/>
          <w:szCs w:val="24"/>
        </w:rPr>
        <w:t xml:space="preserve">thereof </w:t>
      </w:r>
      <w:r w:rsidR="00A70887">
        <w:rPr>
          <w:rFonts w:ascii="Times New Roman" w:hAnsi="Times New Roman" w:cs="Times New Roman"/>
          <w:sz w:val="24"/>
          <w:szCs w:val="24"/>
        </w:rPr>
        <w:t xml:space="preserve">is </w:t>
      </w:r>
      <w:r>
        <w:rPr>
          <w:rFonts w:ascii="Times New Roman" w:hAnsi="Times New Roman" w:cs="Times New Roman"/>
          <w:sz w:val="24"/>
          <w:szCs w:val="24"/>
        </w:rPr>
        <w:t>neither set out in the summons nor declaration</w:t>
      </w:r>
      <w:r w:rsidR="002252A2">
        <w:rPr>
          <w:rFonts w:ascii="Times New Roman" w:hAnsi="Times New Roman" w:cs="Times New Roman"/>
          <w:sz w:val="24"/>
          <w:szCs w:val="24"/>
        </w:rPr>
        <w:t xml:space="preserve"> with sufficient clarity</w:t>
      </w:r>
      <w:r>
        <w:rPr>
          <w:rFonts w:ascii="Times New Roman" w:hAnsi="Times New Roman" w:cs="Times New Roman"/>
          <w:sz w:val="24"/>
          <w:szCs w:val="24"/>
        </w:rPr>
        <w:t xml:space="preserve">. Mr and Mrs Chayayi </w:t>
      </w:r>
      <w:r w:rsidR="00953BB8">
        <w:rPr>
          <w:rFonts w:ascii="Times New Roman" w:hAnsi="Times New Roman" w:cs="Times New Roman"/>
          <w:sz w:val="24"/>
          <w:szCs w:val="24"/>
        </w:rPr>
        <w:t xml:space="preserve">also </w:t>
      </w:r>
      <w:r>
        <w:rPr>
          <w:rFonts w:ascii="Times New Roman" w:hAnsi="Times New Roman" w:cs="Times New Roman"/>
          <w:sz w:val="24"/>
          <w:szCs w:val="24"/>
        </w:rPr>
        <w:t xml:space="preserve">appear to anchor their rights on the first two agreements between Hubert Davies and Baxter paints. Despite the subsequent consummation of these agreements, Mr and Mrs Chayayi </w:t>
      </w:r>
      <w:r>
        <w:rPr>
          <w:rFonts w:ascii="Times New Roman" w:hAnsi="Times New Roman" w:cs="Times New Roman"/>
          <w:sz w:val="24"/>
          <w:szCs w:val="24"/>
        </w:rPr>
        <w:lastRenderedPageBreak/>
        <w:t xml:space="preserve">intimate </w:t>
      </w:r>
      <w:r w:rsidR="00A721D8">
        <w:rPr>
          <w:rFonts w:ascii="Times New Roman" w:hAnsi="Times New Roman" w:cs="Times New Roman"/>
          <w:sz w:val="24"/>
          <w:szCs w:val="24"/>
        </w:rPr>
        <w:t>that breach</w:t>
      </w:r>
      <w:r>
        <w:rPr>
          <w:rFonts w:ascii="Times New Roman" w:hAnsi="Times New Roman" w:cs="Times New Roman"/>
          <w:sz w:val="24"/>
          <w:szCs w:val="24"/>
        </w:rPr>
        <w:t xml:space="preserve"> thereof</w:t>
      </w:r>
      <w:r w:rsidR="00A721D8">
        <w:rPr>
          <w:rFonts w:ascii="Times New Roman" w:hAnsi="Times New Roman" w:cs="Times New Roman"/>
          <w:sz w:val="24"/>
          <w:szCs w:val="24"/>
        </w:rPr>
        <w:t xml:space="preserve"> by Baxter Paints gave rise to the rights they now seek to enforce. Further, the said alleged breach is obliquely pleaded.</w:t>
      </w:r>
    </w:p>
    <w:p w14:paraId="27306ED8" w14:textId="49960B08" w:rsidR="009B16BA" w:rsidRDefault="009B16BA" w:rsidP="00D9191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91E84AF" w14:textId="6010ADCB" w:rsidR="002252A2" w:rsidRDefault="009B16BA" w:rsidP="00D9191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2252A2">
        <w:rPr>
          <w:rFonts w:ascii="Times New Roman" w:hAnsi="Times New Roman" w:cs="Times New Roman"/>
          <w:sz w:val="24"/>
          <w:szCs w:val="24"/>
        </w:rPr>
        <w:t>5</w:t>
      </w:r>
      <w:r>
        <w:rPr>
          <w:rFonts w:ascii="Times New Roman" w:hAnsi="Times New Roman" w:cs="Times New Roman"/>
          <w:sz w:val="24"/>
          <w:szCs w:val="24"/>
        </w:rPr>
        <w:t xml:space="preserve">] How the rights created under those agreements appropriate to the plaintiffs is </w:t>
      </w:r>
      <w:r w:rsidR="00A721D8">
        <w:rPr>
          <w:rFonts w:ascii="Times New Roman" w:hAnsi="Times New Roman" w:cs="Times New Roman"/>
          <w:sz w:val="24"/>
          <w:szCs w:val="24"/>
        </w:rPr>
        <w:t xml:space="preserve">also </w:t>
      </w:r>
      <w:r>
        <w:rPr>
          <w:rFonts w:ascii="Times New Roman" w:hAnsi="Times New Roman" w:cs="Times New Roman"/>
          <w:sz w:val="24"/>
          <w:szCs w:val="24"/>
        </w:rPr>
        <w:t xml:space="preserve">not clearly borne out in the declaration. Beyond that, Mr and Mrs Chayayi allege that the Registrar of Deeds committed a string of errors in </w:t>
      </w:r>
      <w:r w:rsidR="002252A2">
        <w:rPr>
          <w:rFonts w:ascii="Times New Roman" w:hAnsi="Times New Roman" w:cs="Times New Roman"/>
          <w:sz w:val="24"/>
          <w:szCs w:val="24"/>
        </w:rPr>
        <w:t xml:space="preserve">registering the notarial deed as well as title in the various </w:t>
      </w:r>
      <w:r>
        <w:rPr>
          <w:rFonts w:ascii="Times New Roman" w:hAnsi="Times New Roman" w:cs="Times New Roman"/>
          <w:sz w:val="24"/>
          <w:szCs w:val="24"/>
        </w:rPr>
        <w:t xml:space="preserve">deeds of transfer associated with this </w:t>
      </w:r>
      <w:r w:rsidR="00E52DFA">
        <w:rPr>
          <w:rFonts w:ascii="Times New Roman" w:hAnsi="Times New Roman" w:cs="Times New Roman"/>
          <w:sz w:val="24"/>
          <w:szCs w:val="24"/>
        </w:rPr>
        <w:t xml:space="preserve">stand. </w:t>
      </w:r>
    </w:p>
    <w:p w14:paraId="44503F3C" w14:textId="77777777" w:rsidR="002252A2" w:rsidRDefault="002252A2" w:rsidP="00D9191A">
      <w:pPr>
        <w:pStyle w:val="NoSpacing"/>
        <w:spacing w:line="360" w:lineRule="auto"/>
        <w:jc w:val="both"/>
        <w:rPr>
          <w:rFonts w:ascii="Times New Roman" w:hAnsi="Times New Roman" w:cs="Times New Roman"/>
          <w:sz w:val="24"/>
          <w:szCs w:val="24"/>
        </w:rPr>
      </w:pPr>
    </w:p>
    <w:p w14:paraId="0185D61D" w14:textId="41E35F2D" w:rsidR="002252A2" w:rsidRDefault="002252A2" w:rsidP="002252A2">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[26] </w:t>
      </w:r>
      <w:r w:rsidR="00E52DFA">
        <w:rPr>
          <w:rFonts w:ascii="Times New Roman" w:hAnsi="Times New Roman" w:cs="Times New Roman"/>
          <w:sz w:val="24"/>
          <w:szCs w:val="24"/>
        </w:rPr>
        <w:t>Given the legal position on the presumption of validity</w:t>
      </w:r>
      <w:r>
        <w:rPr>
          <w:rFonts w:ascii="Times New Roman" w:hAnsi="Times New Roman" w:cs="Times New Roman"/>
          <w:sz w:val="24"/>
          <w:szCs w:val="24"/>
        </w:rPr>
        <w:t xml:space="preserve"> of administrative action</w:t>
      </w:r>
      <w:r w:rsidR="00E52DFA">
        <w:rPr>
          <w:rFonts w:ascii="Times New Roman" w:hAnsi="Times New Roman" w:cs="Times New Roman"/>
          <w:sz w:val="24"/>
          <w:szCs w:val="24"/>
        </w:rPr>
        <w:t xml:space="preserve">, (see </w:t>
      </w:r>
      <w:r w:rsidR="00E52DFA" w:rsidRPr="00E52DFA">
        <w:rPr>
          <w:rFonts w:ascii="Times New Roman" w:hAnsi="Times New Roman" w:cs="Times New Roman"/>
          <w:i/>
          <w:iCs/>
          <w:sz w:val="24"/>
          <w:szCs w:val="24"/>
        </w:rPr>
        <w:t>Econet</w:t>
      </w:r>
      <w:r w:rsidR="00E52DFA" w:rsidRPr="00E52DFA">
        <w:rPr>
          <w:rFonts w:ascii="Times New Roman" w:eastAsia="Calibri" w:hAnsi="Times New Roman" w:cs="Times New Roman"/>
          <w:i/>
          <w:iCs/>
          <w:kern w:val="0"/>
          <w:sz w:val="24"/>
          <w:szCs w:val="24"/>
          <w14:ligatures w14:val="none"/>
        </w:rPr>
        <w:t xml:space="preserve"> </w:t>
      </w:r>
      <w:r w:rsidR="00E52DFA" w:rsidRPr="00E52DFA">
        <w:rPr>
          <w:rFonts w:ascii="Times New Roman" w:eastAsia="Calibri" w:hAnsi="Times New Roman" w:cs="Times New Roman"/>
          <w:i/>
          <w:kern w:val="0"/>
          <w:sz w:val="24"/>
          <w:szCs w:val="24"/>
          <w14:ligatures w14:val="none"/>
        </w:rPr>
        <w:t xml:space="preserve">Wireless (Pvt) Ltd </w:t>
      </w:r>
      <w:r w:rsidR="00E52DFA" w:rsidRPr="00E52DFA">
        <w:rPr>
          <w:rFonts w:ascii="Times New Roman" w:eastAsia="Calibri" w:hAnsi="Times New Roman" w:cs="Times New Roman"/>
          <w:kern w:val="0"/>
          <w:sz w:val="24"/>
          <w:szCs w:val="24"/>
          <w14:ligatures w14:val="none"/>
        </w:rPr>
        <w:t>v</w:t>
      </w:r>
      <w:r w:rsidR="00E52DFA" w:rsidRPr="00E52DFA">
        <w:rPr>
          <w:rFonts w:ascii="Times New Roman" w:eastAsia="Calibri" w:hAnsi="Times New Roman" w:cs="Times New Roman"/>
          <w:i/>
          <w:kern w:val="0"/>
          <w:sz w:val="24"/>
          <w:szCs w:val="24"/>
          <w14:ligatures w14:val="none"/>
        </w:rPr>
        <w:t xml:space="preserve"> The Minister of Public Service Labour and Social Welfare &amp; Others</w:t>
      </w:r>
      <w:r w:rsidR="00E52DFA">
        <w:rPr>
          <w:rFonts w:ascii="Times New Roman" w:eastAsia="Calibri" w:hAnsi="Times New Roman" w:cs="Times New Roman"/>
          <w:i/>
          <w:kern w:val="0"/>
          <w:sz w:val="24"/>
          <w:szCs w:val="24"/>
          <w14:ligatures w14:val="none"/>
        </w:rPr>
        <w:t xml:space="preserve"> </w:t>
      </w:r>
      <w:r w:rsidR="00E52DFA" w:rsidRPr="00E52DFA">
        <w:rPr>
          <w:rFonts w:ascii="Times New Roman" w:eastAsia="Calibri" w:hAnsi="Times New Roman" w:cs="Times New Roman"/>
          <w:iCs/>
          <w:kern w:val="0"/>
          <w:sz w:val="24"/>
          <w:szCs w:val="24"/>
          <w14:ligatures w14:val="none"/>
        </w:rPr>
        <w:t>SC 31-16)</w:t>
      </w:r>
      <w:r w:rsidR="00E52DFA">
        <w:rPr>
          <w:rFonts w:ascii="Times New Roman" w:eastAsia="Calibri" w:hAnsi="Times New Roman" w:cs="Times New Roman"/>
          <w:i/>
          <w:kern w:val="0"/>
          <w:sz w:val="24"/>
          <w:szCs w:val="24"/>
          <w14:ligatures w14:val="none"/>
        </w:rPr>
        <w:t xml:space="preserve"> </w:t>
      </w:r>
      <w:r w:rsidR="00E52DFA" w:rsidRPr="00E52DFA">
        <w:rPr>
          <w:rFonts w:ascii="Times New Roman" w:eastAsia="Calibri" w:hAnsi="Times New Roman" w:cs="Times New Roman"/>
          <w:iCs/>
          <w:kern w:val="0"/>
          <w:sz w:val="24"/>
          <w:szCs w:val="24"/>
          <w14:ligatures w14:val="none"/>
        </w:rPr>
        <w:t>the plaintiffs needed to accentuate their cause of action with clarity.</w:t>
      </w:r>
      <w:r w:rsidR="00E52DFA">
        <w:rPr>
          <w:rFonts w:ascii="Times New Roman" w:hAnsi="Times New Roman" w:cs="Times New Roman"/>
          <w:sz w:val="24"/>
          <w:szCs w:val="24"/>
        </w:rPr>
        <w:t xml:space="preserve"> As</w:t>
      </w:r>
      <w:r w:rsidR="009B16BA">
        <w:rPr>
          <w:rFonts w:ascii="Times New Roman" w:hAnsi="Times New Roman" w:cs="Times New Roman"/>
          <w:sz w:val="24"/>
          <w:szCs w:val="24"/>
        </w:rPr>
        <w:t xml:space="preserve"> correctly submitted by Mr </w:t>
      </w:r>
      <w:r w:rsidR="009B16BA" w:rsidRPr="00E52DFA">
        <w:rPr>
          <w:rFonts w:ascii="Times New Roman" w:hAnsi="Times New Roman" w:cs="Times New Roman"/>
          <w:i/>
          <w:iCs/>
          <w:sz w:val="24"/>
          <w:szCs w:val="24"/>
        </w:rPr>
        <w:t>Tandiri</w:t>
      </w:r>
      <w:r w:rsidR="009B16BA">
        <w:rPr>
          <w:rFonts w:ascii="Times New Roman" w:hAnsi="Times New Roman" w:cs="Times New Roman"/>
          <w:sz w:val="24"/>
          <w:szCs w:val="24"/>
        </w:rPr>
        <w:t xml:space="preserve"> for the excipients, the plaintiffs did not set out whether the cause of action arose from contract, statute or common </w:t>
      </w:r>
      <w:r w:rsidR="00E52DFA">
        <w:rPr>
          <w:rFonts w:ascii="Times New Roman" w:hAnsi="Times New Roman" w:cs="Times New Roman"/>
          <w:sz w:val="24"/>
          <w:szCs w:val="24"/>
        </w:rPr>
        <w:t xml:space="preserve">law. </w:t>
      </w:r>
    </w:p>
    <w:p w14:paraId="24449951" w14:textId="77777777" w:rsidR="002252A2" w:rsidRDefault="002252A2" w:rsidP="002252A2">
      <w:pPr>
        <w:pStyle w:val="NoSpacing"/>
        <w:spacing w:line="360" w:lineRule="auto"/>
        <w:jc w:val="both"/>
        <w:rPr>
          <w:rFonts w:ascii="Times New Roman" w:hAnsi="Times New Roman" w:cs="Times New Roman"/>
          <w:sz w:val="24"/>
          <w:szCs w:val="24"/>
        </w:rPr>
      </w:pPr>
    </w:p>
    <w:p w14:paraId="2D44A0A6" w14:textId="3E8D13E1" w:rsidR="008448FA" w:rsidRDefault="002252A2" w:rsidP="002252A2">
      <w:pPr>
        <w:pStyle w:val="NoSpacing"/>
        <w:spacing w:line="360" w:lineRule="auto"/>
        <w:jc w:val="both"/>
        <w:rPr>
          <w:rFonts w:ascii="Times New Roman" w:eastAsia="Calibri" w:hAnsi="Times New Roman" w:cs="Times New Roman"/>
          <w:kern w:val="0"/>
          <w:sz w:val="24"/>
          <w:szCs w:val="24"/>
          <w14:ligatures w14:val="none"/>
        </w:rPr>
      </w:pPr>
      <w:r>
        <w:rPr>
          <w:rFonts w:ascii="Times New Roman" w:hAnsi="Times New Roman" w:cs="Times New Roman"/>
          <w:sz w:val="24"/>
          <w:szCs w:val="24"/>
        </w:rPr>
        <w:t xml:space="preserve">[27] </w:t>
      </w:r>
      <w:r w:rsidR="00E52DFA">
        <w:rPr>
          <w:rFonts w:ascii="Times New Roman" w:hAnsi="Times New Roman" w:cs="Times New Roman"/>
          <w:sz w:val="24"/>
          <w:szCs w:val="24"/>
        </w:rPr>
        <w:t xml:space="preserve">What constitutes cause of action </w:t>
      </w:r>
      <w:r w:rsidR="00A721D8">
        <w:rPr>
          <w:rFonts w:ascii="Times New Roman" w:hAnsi="Times New Roman" w:cs="Times New Roman"/>
          <w:sz w:val="24"/>
          <w:szCs w:val="24"/>
        </w:rPr>
        <w:t xml:space="preserve">is well established, having been </w:t>
      </w:r>
      <w:r w:rsidR="00E52DFA">
        <w:rPr>
          <w:rFonts w:ascii="Times New Roman" w:hAnsi="Times New Roman" w:cs="Times New Roman"/>
          <w:sz w:val="24"/>
          <w:szCs w:val="24"/>
        </w:rPr>
        <w:t>articulated in</w:t>
      </w:r>
      <w:r w:rsidR="00A721D8">
        <w:rPr>
          <w:rFonts w:ascii="Times New Roman" w:hAnsi="Times New Roman" w:cs="Times New Roman"/>
          <w:sz w:val="24"/>
          <w:szCs w:val="24"/>
        </w:rPr>
        <w:t xml:space="preserve"> diverse authorities including Peebles</w:t>
      </w:r>
      <w:r w:rsidR="00E52DFA" w:rsidRPr="00E52DFA">
        <w:rPr>
          <w:rFonts w:ascii="Times New Roman" w:hAnsi="Times New Roman" w:cs="Times New Roman"/>
          <w:i/>
          <w:iCs/>
          <w:sz w:val="24"/>
          <w:szCs w:val="24"/>
        </w:rPr>
        <w:t xml:space="preserve"> v Dairibord Zimbabwe (Pvt) Ltd</w:t>
      </w:r>
      <w:r w:rsidR="00E52DFA" w:rsidRPr="00E52DFA">
        <w:rPr>
          <w:rFonts w:ascii="Times New Roman" w:hAnsi="Times New Roman" w:cs="Times New Roman"/>
          <w:sz w:val="24"/>
          <w:szCs w:val="24"/>
        </w:rPr>
        <w:t xml:space="preserve"> 1999 (1) ZLR 41 (H). </w:t>
      </w:r>
      <w:r w:rsidR="00E52DFA">
        <w:rPr>
          <w:rFonts w:ascii="Times New Roman" w:hAnsi="Times New Roman" w:cs="Times New Roman"/>
          <w:sz w:val="24"/>
          <w:szCs w:val="24"/>
        </w:rPr>
        <w:t xml:space="preserve">Further, it must be remembered that Mr and Mrs Chayayi herein seen a declaration of rights. This is a special discretional remedy whose requirements were </w:t>
      </w:r>
      <w:r w:rsidR="00A721D8">
        <w:rPr>
          <w:rFonts w:ascii="Times New Roman" w:hAnsi="Times New Roman" w:cs="Times New Roman"/>
          <w:sz w:val="24"/>
          <w:szCs w:val="24"/>
        </w:rPr>
        <w:t xml:space="preserve">similarly </w:t>
      </w:r>
      <w:r w:rsidR="00E52DFA">
        <w:rPr>
          <w:rFonts w:ascii="Times New Roman" w:hAnsi="Times New Roman" w:cs="Times New Roman"/>
          <w:sz w:val="24"/>
          <w:szCs w:val="24"/>
        </w:rPr>
        <w:t xml:space="preserve">set out in </w:t>
      </w:r>
      <w:r w:rsidR="008448FA" w:rsidRPr="008B04A7">
        <w:rPr>
          <w:rFonts w:ascii="Times New Roman" w:eastAsia="Calibri" w:hAnsi="Times New Roman" w:cs="Times New Roman"/>
          <w:i/>
          <w:iCs/>
          <w:kern w:val="0"/>
          <w:sz w:val="24"/>
          <w:szCs w:val="24"/>
          <w14:ligatures w14:val="none"/>
        </w:rPr>
        <w:t>Johns</w:t>
      </w:r>
      <w:r w:rsidR="008448FA">
        <w:rPr>
          <w:rFonts w:ascii="Times New Roman" w:eastAsia="Calibri" w:hAnsi="Times New Roman" w:cs="Times New Roman"/>
          <w:i/>
          <w:iCs/>
          <w:kern w:val="0"/>
          <w:sz w:val="24"/>
          <w:szCs w:val="24"/>
          <w14:ligatures w14:val="none"/>
        </w:rPr>
        <w:t>e</w:t>
      </w:r>
      <w:r w:rsidR="008448FA" w:rsidRPr="008B04A7">
        <w:rPr>
          <w:rFonts w:ascii="Times New Roman" w:eastAsia="Calibri" w:hAnsi="Times New Roman" w:cs="Times New Roman"/>
          <w:i/>
          <w:iCs/>
          <w:kern w:val="0"/>
          <w:sz w:val="24"/>
          <w:szCs w:val="24"/>
          <w14:ligatures w14:val="none"/>
        </w:rPr>
        <w:t>n v AFC</w:t>
      </w:r>
      <w:r w:rsidR="008448FA" w:rsidRPr="0011289F">
        <w:rPr>
          <w:rFonts w:ascii="Times New Roman" w:eastAsia="Calibri" w:hAnsi="Times New Roman" w:cs="Times New Roman"/>
          <w:kern w:val="0"/>
          <w:sz w:val="24"/>
          <w:szCs w:val="24"/>
          <w14:ligatures w14:val="none"/>
        </w:rPr>
        <w:t xml:space="preserve"> 1995 (1) ZLR 65 (S) </w:t>
      </w:r>
      <w:r w:rsidR="008448FA">
        <w:rPr>
          <w:rFonts w:ascii="Times New Roman" w:eastAsia="Calibri" w:hAnsi="Times New Roman" w:cs="Times New Roman"/>
          <w:kern w:val="0"/>
          <w:sz w:val="24"/>
          <w:szCs w:val="24"/>
          <w14:ligatures w14:val="none"/>
        </w:rPr>
        <w:t>at page 72 as follows; -</w:t>
      </w:r>
    </w:p>
    <w:p w14:paraId="3CD3CCBB" w14:textId="77777777" w:rsidR="008448FA" w:rsidRDefault="008448FA" w:rsidP="008448FA">
      <w:pPr>
        <w:spacing w:after="0" w:line="360" w:lineRule="auto"/>
        <w:jc w:val="both"/>
        <w:rPr>
          <w:rFonts w:ascii="Times New Roman" w:eastAsia="Calibri" w:hAnsi="Times New Roman" w:cs="Times New Roman"/>
          <w:kern w:val="0"/>
          <w:sz w:val="24"/>
          <w:szCs w:val="24"/>
          <w14:ligatures w14:val="none"/>
        </w:rPr>
      </w:pPr>
    </w:p>
    <w:p w14:paraId="24620644" w14:textId="77777777" w:rsidR="008448FA" w:rsidRDefault="008448FA" w:rsidP="008448FA">
      <w:pPr>
        <w:spacing w:after="0" w:line="360" w:lineRule="auto"/>
        <w:ind w:left="1134"/>
        <w:jc w:val="both"/>
        <w:rPr>
          <w:rFonts w:ascii="Times New Roman" w:hAnsi="Times New Roman" w:cs="Times New Roman"/>
          <w:sz w:val="24"/>
          <w:szCs w:val="24"/>
        </w:rPr>
      </w:pPr>
      <w:r w:rsidRPr="006578B1">
        <w:rPr>
          <w:rFonts w:ascii="Times New Roman" w:hAnsi="Times New Roman" w:cs="Times New Roman"/>
          <w:sz w:val="24"/>
          <w:szCs w:val="24"/>
        </w:rPr>
        <w:t xml:space="preserve">“The </w:t>
      </w:r>
      <w:r w:rsidRPr="006578B1">
        <w:rPr>
          <w:rFonts w:ascii="Times New Roman" w:hAnsi="Times New Roman" w:cs="Times New Roman"/>
          <w:sz w:val="24"/>
          <w:szCs w:val="24"/>
          <w:u w:val="single"/>
        </w:rPr>
        <w:t>condition precedent to the grant of a declaratory order under s 14 of the High Court of Zimbabwe Act 1981 is that the applicant must be an ―interested person,</w:t>
      </w:r>
      <w:r w:rsidRPr="006578B1">
        <w:rPr>
          <w:rFonts w:ascii="Times New Roman" w:hAnsi="Times New Roman" w:cs="Times New Roman"/>
          <w:sz w:val="24"/>
          <w:szCs w:val="24"/>
        </w:rPr>
        <w:t xml:space="preserve"> in the sense of </w:t>
      </w:r>
      <w:r w:rsidRPr="006578B1">
        <w:rPr>
          <w:rFonts w:ascii="Times New Roman" w:hAnsi="Times New Roman" w:cs="Times New Roman"/>
          <w:sz w:val="24"/>
          <w:szCs w:val="24"/>
          <w:u w:val="single"/>
        </w:rPr>
        <w:t>having a direct and substantial interest in the subject matter of the suit</w:t>
      </w:r>
      <w:r w:rsidRPr="006578B1">
        <w:rPr>
          <w:rFonts w:ascii="Times New Roman" w:hAnsi="Times New Roman" w:cs="Times New Roman"/>
          <w:sz w:val="24"/>
          <w:szCs w:val="24"/>
        </w:rPr>
        <w:t xml:space="preserve"> which could be prejudicially affected by the judgment of the court. </w:t>
      </w:r>
      <w:r w:rsidRPr="006578B1">
        <w:rPr>
          <w:rFonts w:ascii="Times New Roman" w:hAnsi="Times New Roman" w:cs="Times New Roman"/>
          <w:sz w:val="24"/>
          <w:szCs w:val="24"/>
          <w:u w:val="single"/>
        </w:rPr>
        <w:t>The interest must concern an existing, future or contingent right.</w:t>
      </w:r>
      <w:r w:rsidRPr="006578B1">
        <w:rPr>
          <w:rFonts w:ascii="Times New Roman" w:hAnsi="Times New Roman" w:cs="Times New Roman"/>
          <w:sz w:val="24"/>
          <w:szCs w:val="24"/>
        </w:rPr>
        <w:t xml:space="preserve"> The court will not decide abstract, academic or hypothetical questions unrelated thereto. But the presence of an actual dispute or controversy between the parties interested is not a prerequisite to the exercise of jurisdiction. See </w:t>
      </w:r>
      <w:r w:rsidRPr="006578B1">
        <w:rPr>
          <w:rFonts w:ascii="Times New Roman" w:hAnsi="Times New Roman" w:cs="Times New Roman"/>
          <w:i/>
          <w:iCs/>
          <w:sz w:val="24"/>
          <w:szCs w:val="24"/>
        </w:rPr>
        <w:t>Ex parte Chief Immigration Officer</w:t>
      </w:r>
      <w:r w:rsidRPr="006578B1">
        <w:rPr>
          <w:rFonts w:ascii="Times New Roman" w:hAnsi="Times New Roman" w:cs="Times New Roman"/>
          <w:sz w:val="24"/>
          <w:szCs w:val="24"/>
        </w:rPr>
        <w:t xml:space="preserve"> 1993 (1) ZLR 122 (S) at 129F-G; 1994 (1) SA 370 (ZS) at 376G-H; </w:t>
      </w:r>
      <w:r w:rsidRPr="006578B1">
        <w:rPr>
          <w:rFonts w:ascii="Times New Roman" w:hAnsi="Times New Roman" w:cs="Times New Roman"/>
          <w:i/>
          <w:iCs/>
          <w:sz w:val="24"/>
          <w:szCs w:val="24"/>
        </w:rPr>
        <w:t>Munn Publishing (Pvt) Ltd v ZBC</w:t>
      </w:r>
      <w:r w:rsidRPr="006578B1">
        <w:rPr>
          <w:rFonts w:ascii="Times New Roman" w:hAnsi="Times New Roman" w:cs="Times New Roman"/>
          <w:sz w:val="24"/>
          <w:szCs w:val="24"/>
        </w:rPr>
        <w:t xml:space="preserve"> 1994 (1) ZLR 337 (S) and the cases cited. It was rightly not in contention before the court a quo that the appellant was an interested person. Accordingly, the first stage in the determination of whether it was competent to grant a declarator was met. </w:t>
      </w:r>
    </w:p>
    <w:p w14:paraId="5F971A7F" w14:textId="77777777" w:rsidR="008448FA" w:rsidRDefault="008448FA" w:rsidP="008448FA">
      <w:pPr>
        <w:spacing w:after="0" w:line="360" w:lineRule="auto"/>
        <w:ind w:left="1134"/>
        <w:jc w:val="both"/>
        <w:rPr>
          <w:rFonts w:ascii="Times New Roman" w:hAnsi="Times New Roman" w:cs="Times New Roman"/>
          <w:sz w:val="24"/>
          <w:szCs w:val="24"/>
        </w:rPr>
      </w:pPr>
    </w:p>
    <w:p w14:paraId="53E50D21" w14:textId="03D956A1" w:rsidR="00E52DFA" w:rsidRDefault="008448FA" w:rsidP="008448FA">
      <w:pPr>
        <w:spacing w:after="0" w:line="360" w:lineRule="auto"/>
        <w:ind w:left="1134"/>
        <w:jc w:val="both"/>
        <w:rPr>
          <w:rFonts w:ascii="Times New Roman" w:hAnsi="Times New Roman" w:cs="Times New Roman"/>
          <w:sz w:val="24"/>
          <w:szCs w:val="24"/>
        </w:rPr>
      </w:pPr>
      <w:r w:rsidRPr="006578B1">
        <w:rPr>
          <w:rFonts w:ascii="Times New Roman" w:hAnsi="Times New Roman" w:cs="Times New Roman"/>
          <w:sz w:val="24"/>
          <w:szCs w:val="24"/>
          <w:u w:val="single"/>
        </w:rPr>
        <w:t>At the second stage of the enquiry, the court is obliged to decide whether the case before it is a proper one for the exercise of its discretion</w:t>
      </w:r>
      <w:r w:rsidRPr="006578B1">
        <w:rPr>
          <w:rFonts w:ascii="Times New Roman" w:hAnsi="Times New Roman" w:cs="Times New Roman"/>
          <w:sz w:val="24"/>
          <w:szCs w:val="24"/>
        </w:rPr>
        <w:t xml:space="preserve"> under s 14 of the </w:t>
      </w:r>
      <w:r w:rsidRPr="008448FA">
        <w:rPr>
          <w:rFonts w:ascii="Times New Roman" w:hAnsi="Times New Roman" w:cs="Times New Roman"/>
          <w:sz w:val="24"/>
          <w:szCs w:val="24"/>
        </w:rPr>
        <w:t xml:space="preserve">Act. </w:t>
      </w:r>
      <w:r w:rsidRPr="008448FA">
        <w:rPr>
          <w:rFonts w:ascii="Times New Roman" w:hAnsi="Times New Roman" w:cs="Times New Roman"/>
          <w:sz w:val="24"/>
          <w:szCs w:val="24"/>
          <w:u w:val="single"/>
        </w:rPr>
        <w:t>It must take account of all the circumstances of the matte</w:t>
      </w:r>
      <w:r w:rsidRPr="008448FA">
        <w:rPr>
          <w:rFonts w:ascii="Times New Roman" w:hAnsi="Times New Roman" w:cs="Times New Roman"/>
          <w:sz w:val="24"/>
          <w:szCs w:val="24"/>
        </w:rPr>
        <w:t>r. See Reinecke v Inc Gen</w:t>
      </w:r>
      <w:r w:rsidRPr="006578B1">
        <w:rPr>
          <w:rFonts w:ascii="Times New Roman" w:hAnsi="Times New Roman" w:cs="Times New Roman"/>
          <w:sz w:val="24"/>
          <w:szCs w:val="24"/>
        </w:rPr>
        <w:t xml:space="preserve"> Insurances Ltd 1974 (2) SA 84 (A) at 95C; Dyson v A-G Page 73 of 1995 (1) ZLR 65 (H) [1911] 1 KB 410 (CA) at 417; Burghes v A-G [1911] 2 Ch 139 at 156. </w:t>
      </w:r>
      <w:r w:rsidRPr="006578B1">
        <w:rPr>
          <w:rFonts w:ascii="Times New Roman" w:hAnsi="Times New Roman" w:cs="Times New Roman"/>
          <w:sz w:val="24"/>
          <w:szCs w:val="24"/>
          <w:u w:val="single"/>
        </w:rPr>
        <w:t>What, in the end, constitutes a proper case is where some tangible and justifiable advantage to the applicant is shown to exist.</w:t>
      </w:r>
      <w:r w:rsidRPr="006578B1">
        <w:rPr>
          <w:rFonts w:ascii="Times New Roman" w:hAnsi="Times New Roman" w:cs="Times New Roman"/>
          <w:sz w:val="24"/>
          <w:szCs w:val="24"/>
        </w:rPr>
        <w:t xml:space="preserve"> See Adbro Invtm Co Ltd v Min of Interior &amp; Ors 1961 (3) SA 283 (T) at 285B-C; Reinecke v Inc Gen Insurances Ltd supra at 93D-E.”</w:t>
      </w:r>
      <w:r>
        <w:rPr>
          <w:rFonts w:ascii="Times New Roman" w:hAnsi="Times New Roman" w:cs="Times New Roman"/>
          <w:sz w:val="24"/>
          <w:szCs w:val="24"/>
        </w:rPr>
        <w:t xml:space="preserve"> [ Underlined for emphasis] </w:t>
      </w:r>
      <w:r w:rsidR="00E52DFA">
        <w:rPr>
          <w:rFonts w:ascii="Times New Roman" w:hAnsi="Times New Roman" w:cs="Times New Roman"/>
          <w:sz w:val="24"/>
          <w:szCs w:val="24"/>
        </w:rPr>
        <w:t xml:space="preserve"> </w:t>
      </w:r>
    </w:p>
    <w:p w14:paraId="42EA7708" w14:textId="77777777" w:rsidR="00E52DFA" w:rsidRDefault="00E52DFA" w:rsidP="00D9191A">
      <w:pPr>
        <w:pStyle w:val="NoSpacing"/>
        <w:spacing w:line="360" w:lineRule="auto"/>
        <w:jc w:val="both"/>
        <w:rPr>
          <w:rFonts w:ascii="Times New Roman" w:hAnsi="Times New Roman" w:cs="Times New Roman"/>
          <w:sz w:val="24"/>
          <w:szCs w:val="24"/>
        </w:rPr>
      </w:pPr>
    </w:p>
    <w:p w14:paraId="44B3C131" w14:textId="2946CD4F" w:rsidR="00A70887" w:rsidRPr="00A70887" w:rsidRDefault="008448FA" w:rsidP="00D9191A">
      <w:pPr>
        <w:pStyle w:val="NoSpacing"/>
        <w:spacing w:line="360" w:lineRule="auto"/>
        <w:jc w:val="both"/>
        <w:rPr>
          <w:rFonts w:ascii="Times New Roman" w:eastAsia="Calibri" w:hAnsi="Times New Roman" w:cs="Times New Roman"/>
          <w:kern w:val="0"/>
          <w:sz w:val="24"/>
          <w:szCs w:val="24"/>
          <w14:ligatures w14:val="none"/>
        </w:rPr>
      </w:pPr>
      <w:r>
        <w:rPr>
          <w:rFonts w:ascii="Times New Roman" w:hAnsi="Times New Roman" w:cs="Times New Roman"/>
          <w:sz w:val="24"/>
          <w:szCs w:val="24"/>
        </w:rPr>
        <w:t>[2</w:t>
      </w:r>
      <w:r w:rsidR="002252A2">
        <w:rPr>
          <w:rFonts w:ascii="Times New Roman" w:hAnsi="Times New Roman" w:cs="Times New Roman"/>
          <w:sz w:val="24"/>
          <w:szCs w:val="24"/>
        </w:rPr>
        <w:t>8</w:t>
      </w:r>
      <w:r>
        <w:rPr>
          <w:rFonts w:ascii="Times New Roman" w:hAnsi="Times New Roman" w:cs="Times New Roman"/>
          <w:sz w:val="24"/>
          <w:szCs w:val="24"/>
        </w:rPr>
        <w:t xml:space="preserve">] </w:t>
      </w:r>
      <w:r w:rsidR="00E52DFA">
        <w:rPr>
          <w:rFonts w:ascii="Times New Roman" w:hAnsi="Times New Roman" w:cs="Times New Roman"/>
          <w:sz w:val="24"/>
          <w:szCs w:val="24"/>
        </w:rPr>
        <w:t xml:space="preserve">On the basis of the aforegoing, </w:t>
      </w:r>
      <w:r w:rsidR="00A70887">
        <w:rPr>
          <w:rFonts w:ascii="Times New Roman" w:hAnsi="Times New Roman" w:cs="Times New Roman"/>
          <w:sz w:val="24"/>
          <w:szCs w:val="24"/>
        </w:rPr>
        <w:t xml:space="preserve">I find the exception meritable. I am </w:t>
      </w:r>
      <w:r w:rsidR="00E52DFA">
        <w:rPr>
          <w:rFonts w:ascii="Times New Roman" w:hAnsi="Times New Roman" w:cs="Times New Roman"/>
          <w:sz w:val="24"/>
          <w:szCs w:val="24"/>
        </w:rPr>
        <w:t xml:space="preserve">however </w:t>
      </w:r>
      <w:r w:rsidR="00A70887">
        <w:rPr>
          <w:rFonts w:ascii="Times New Roman" w:hAnsi="Times New Roman" w:cs="Times New Roman"/>
          <w:sz w:val="24"/>
          <w:szCs w:val="24"/>
        </w:rPr>
        <w:t xml:space="preserve">mindful of the principle enunciated in </w:t>
      </w:r>
      <w:r w:rsidR="00A70887" w:rsidRPr="00A70887">
        <w:rPr>
          <w:rFonts w:ascii="Times New Roman" w:hAnsi="Times New Roman" w:cs="Times New Roman"/>
          <w:i/>
          <w:iCs/>
          <w:sz w:val="24"/>
          <w:szCs w:val="24"/>
        </w:rPr>
        <w:t>McKelvey</w:t>
      </w:r>
      <w:r w:rsidR="00A70887" w:rsidRPr="00A70887">
        <w:rPr>
          <w:rFonts w:ascii="Times New Roman" w:eastAsia="Calibri" w:hAnsi="Times New Roman" w:cs="Times New Roman"/>
          <w:i/>
          <w:iCs/>
          <w:kern w:val="0"/>
          <w:sz w:val="24"/>
          <w:szCs w:val="24"/>
          <w14:ligatures w14:val="none"/>
        </w:rPr>
        <w:t xml:space="preserve"> </w:t>
      </w:r>
      <w:r w:rsidR="00A70887" w:rsidRPr="00A70887">
        <w:rPr>
          <w:rFonts w:ascii="Times New Roman" w:eastAsia="Calibri" w:hAnsi="Times New Roman" w:cs="Times New Roman"/>
          <w:kern w:val="0"/>
          <w:sz w:val="24"/>
          <w:szCs w:val="24"/>
          <w14:ligatures w14:val="none"/>
        </w:rPr>
        <w:t xml:space="preserve">v </w:t>
      </w:r>
      <w:r w:rsidR="00A70887" w:rsidRPr="00A70887">
        <w:rPr>
          <w:rFonts w:ascii="Times New Roman" w:eastAsia="Calibri" w:hAnsi="Times New Roman" w:cs="Times New Roman"/>
          <w:i/>
          <w:kern w:val="0"/>
          <w:sz w:val="24"/>
          <w:szCs w:val="24"/>
          <w14:ligatures w14:val="none"/>
        </w:rPr>
        <w:t>Cowan N.O</w:t>
      </w:r>
      <w:r w:rsidR="00A70887" w:rsidRPr="00A70887">
        <w:rPr>
          <w:rFonts w:ascii="Times New Roman" w:eastAsia="Calibri" w:hAnsi="Times New Roman" w:cs="Times New Roman"/>
          <w:kern w:val="0"/>
          <w:sz w:val="24"/>
          <w:szCs w:val="24"/>
          <w14:ligatures w14:val="none"/>
        </w:rPr>
        <w:t xml:space="preserve"> 1980 (4) SA 525 (Z)</w:t>
      </w:r>
      <w:r w:rsidR="00A70887">
        <w:rPr>
          <w:rFonts w:ascii="Times New Roman" w:eastAsia="Calibri" w:hAnsi="Times New Roman" w:cs="Times New Roman"/>
          <w:kern w:val="0"/>
          <w:sz w:val="24"/>
          <w:szCs w:val="24"/>
          <w14:ligatures w14:val="none"/>
        </w:rPr>
        <w:t xml:space="preserve"> where the court held that; -</w:t>
      </w:r>
    </w:p>
    <w:p w14:paraId="3F07450D" w14:textId="77777777" w:rsidR="00A70887" w:rsidRPr="00A70887" w:rsidRDefault="00A70887" w:rsidP="00A70887">
      <w:pPr>
        <w:spacing w:after="0" w:line="360" w:lineRule="auto"/>
        <w:ind w:firstLine="720"/>
        <w:jc w:val="both"/>
        <w:rPr>
          <w:rFonts w:ascii="Times New Roman" w:eastAsia="Calibri" w:hAnsi="Times New Roman" w:cs="Times New Roman"/>
          <w:kern w:val="0"/>
          <w:sz w:val="24"/>
          <w:szCs w:val="24"/>
          <w14:ligatures w14:val="none"/>
        </w:rPr>
      </w:pPr>
    </w:p>
    <w:p w14:paraId="14F0CBCE" w14:textId="77777777" w:rsidR="00A70887" w:rsidRPr="00A70887" w:rsidRDefault="00A70887" w:rsidP="00A70887">
      <w:pPr>
        <w:spacing w:after="0" w:line="360" w:lineRule="auto"/>
        <w:ind w:left="851"/>
        <w:jc w:val="both"/>
        <w:rPr>
          <w:rFonts w:ascii="Times New Roman" w:eastAsia="Calibri" w:hAnsi="Times New Roman" w:cs="Times New Roman"/>
          <w:kern w:val="0"/>
          <w:sz w:val="24"/>
          <w:szCs w:val="24"/>
          <w14:ligatures w14:val="none"/>
        </w:rPr>
      </w:pPr>
      <w:r w:rsidRPr="00A70887">
        <w:rPr>
          <w:rFonts w:ascii="Times New Roman" w:eastAsia="Calibri" w:hAnsi="Times New Roman" w:cs="Times New Roman"/>
          <w:kern w:val="0"/>
          <w:sz w:val="24"/>
          <w:szCs w:val="24"/>
          <w14:ligatures w14:val="none"/>
        </w:rPr>
        <w:t>“It is a first principle in dealing with matters of exception that if evidence can be led which can disclose a cause of action alleged in the pleading, that particular pleading is only excipiable on the basis that no possible evidence led on the pleading can disclose a cause of action.  That is the manner in which I approach this case.”</w:t>
      </w:r>
    </w:p>
    <w:p w14:paraId="1E7A2533" w14:textId="77777777" w:rsidR="00A70887" w:rsidRPr="007811AF" w:rsidRDefault="00A70887" w:rsidP="00A70887">
      <w:pPr>
        <w:pStyle w:val="NoSpacing"/>
        <w:spacing w:line="360" w:lineRule="auto"/>
        <w:ind w:left="851"/>
        <w:jc w:val="both"/>
        <w:rPr>
          <w:rFonts w:ascii="Times New Roman" w:hAnsi="Times New Roman" w:cs="Times New Roman"/>
          <w:sz w:val="24"/>
          <w:szCs w:val="24"/>
        </w:rPr>
      </w:pPr>
    </w:p>
    <w:p w14:paraId="1964AE10" w14:textId="3C9142AC" w:rsidR="00FF6CD9" w:rsidRDefault="00A70887" w:rsidP="007811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2252A2">
        <w:rPr>
          <w:rFonts w:ascii="Times New Roman" w:hAnsi="Times New Roman" w:cs="Times New Roman"/>
          <w:sz w:val="24"/>
          <w:szCs w:val="24"/>
        </w:rPr>
        <w:t>9</w:t>
      </w:r>
      <w:r>
        <w:rPr>
          <w:rFonts w:ascii="Times New Roman" w:hAnsi="Times New Roman" w:cs="Times New Roman"/>
          <w:sz w:val="24"/>
          <w:szCs w:val="24"/>
        </w:rPr>
        <w:t xml:space="preserve">] Herein, I am unable to </w:t>
      </w:r>
      <w:r w:rsidR="00D9191A">
        <w:rPr>
          <w:rFonts w:ascii="Times New Roman" w:hAnsi="Times New Roman" w:cs="Times New Roman"/>
          <w:sz w:val="24"/>
          <w:szCs w:val="24"/>
        </w:rPr>
        <w:t xml:space="preserve">find how the summons and declaration can be cured by evidence. I </w:t>
      </w:r>
      <w:r w:rsidR="00FF6CD9">
        <w:rPr>
          <w:rFonts w:ascii="Times New Roman" w:hAnsi="Times New Roman" w:cs="Times New Roman"/>
          <w:sz w:val="24"/>
          <w:szCs w:val="24"/>
        </w:rPr>
        <w:t xml:space="preserve">am aware of the plea which the excipients have mounted. Indeed in seriatim, they slug it out with the lengthy declaration toe to toe. One may possibly conclude that the defendants were therefore not substantially prejudiced. </w:t>
      </w:r>
    </w:p>
    <w:p w14:paraId="434B4160" w14:textId="77777777" w:rsidR="00FF6CD9" w:rsidRDefault="00FF6CD9" w:rsidP="007811AF">
      <w:pPr>
        <w:pStyle w:val="NoSpacing"/>
        <w:spacing w:line="360" w:lineRule="auto"/>
        <w:jc w:val="both"/>
        <w:rPr>
          <w:rFonts w:ascii="Times New Roman" w:hAnsi="Times New Roman" w:cs="Times New Roman"/>
          <w:sz w:val="24"/>
          <w:szCs w:val="24"/>
        </w:rPr>
      </w:pPr>
    </w:p>
    <w:p w14:paraId="4CED804D" w14:textId="33FDFD23" w:rsidR="00D9191A" w:rsidRDefault="00FF6CD9" w:rsidP="007811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2252A2">
        <w:rPr>
          <w:rFonts w:ascii="Times New Roman" w:hAnsi="Times New Roman" w:cs="Times New Roman"/>
          <w:sz w:val="24"/>
          <w:szCs w:val="24"/>
        </w:rPr>
        <w:t>30</w:t>
      </w:r>
      <w:r>
        <w:rPr>
          <w:rFonts w:ascii="Times New Roman" w:hAnsi="Times New Roman" w:cs="Times New Roman"/>
          <w:sz w:val="24"/>
          <w:szCs w:val="24"/>
        </w:rPr>
        <w:t xml:space="preserve">] But the reason why a proper summons and declaration must found a dispute goes deeper than just judicial tidiness. It attaches itself to the very foundation of litigation in the jurisdiction. I refer to the remarks of CONRADIE J in </w:t>
      </w:r>
      <w:r w:rsidRPr="00FF6CD9">
        <w:rPr>
          <w:rFonts w:ascii="Times New Roman" w:hAnsi="Times New Roman" w:cs="Times New Roman"/>
          <w:i/>
          <w:iCs/>
          <w:sz w:val="24"/>
          <w:szCs w:val="24"/>
        </w:rPr>
        <w:t>Levitan v New Holiday Enterprises CC</w:t>
      </w:r>
      <w:r>
        <w:rPr>
          <w:rFonts w:ascii="Times New Roman" w:hAnsi="Times New Roman" w:cs="Times New Roman"/>
          <w:sz w:val="24"/>
          <w:szCs w:val="24"/>
        </w:rPr>
        <w:t xml:space="preserve"> 1991 (2) SA (C) 297 at page 299 A-D; -</w:t>
      </w:r>
    </w:p>
    <w:p w14:paraId="71F7AE91" w14:textId="77777777" w:rsidR="00FF6CD9" w:rsidRDefault="00FF6CD9" w:rsidP="007811AF">
      <w:pPr>
        <w:pStyle w:val="NoSpacing"/>
        <w:spacing w:line="360" w:lineRule="auto"/>
        <w:jc w:val="both"/>
        <w:rPr>
          <w:rFonts w:ascii="Times New Roman" w:hAnsi="Times New Roman" w:cs="Times New Roman"/>
          <w:sz w:val="24"/>
          <w:szCs w:val="24"/>
        </w:rPr>
      </w:pPr>
    </w:p>
    <w:p w14:paraId="439E4438" w14:textId="5E829D3E" w:rsidR="00FF6CD9" w:rsidRPr="00FF6CD9" w:rsidRDefault="00FF6CD9" w:rsidP="00FF6CD9">
      <w:pPr>
        <w:pStyle w:val="NoSpacing"/>
        <w:spacing w:line="360" w:lineRule="auto"/>
        <w:ind w:left="851"/>
        <w:jc w:val="both"/>
        <w:rPr>
          <w:rFonts w:ascii="Times New Roman" w:hAnsi="Times New Roman" w:cs="Times New Roman"/>
          <w:sz w:val="24"/>
          <w:szCs w:val="24"/>
        </w:rPr>
      </w:pPr>
      <w:r w:rsidRPr="00FF6CD9">
        <w:rPr>
          <w:rFonts w:ascii="Times New Roman" w:hAnsi="Times New Roman" w:cs="Times New Roman"/>
          <w:sz w:val="24"/>
          <w:szCs w:val="24"/>
        </w:rPr>
        <w:t xml:space="preserve">“So, even though it might be possible to draft an unobjectionable plea to an objectionable declaration, this might lead nowhere </w:t>
      </w:r>
      <w:r w:rsidRPr="00FF6CD9">
        <w:rPr>
          <w:rFonts w:ascii="Times New Roman" w:hAnsi="Times New Roman" w:cs="Times New Roman"/>
          <w:sz w:val="24"/>
          <w:szCs w:val="24"/>
          <w:u w:val="single"/>
        </w:rPr>
        <w:t xml:space="preserve">because the pleadings, read together, must contain the outlines of a triable case.  It is the resolution of the parties' </w:t>
      </w:r>
      <w:r w:rsidRPr="00FF6CD9">
        <w:rPr>
          <w:rFonts w:ascii="Times New Roman" w:hAnsi="Times New Roman" w:cs="Times New Roman"/>
          <w:sz w:val="24"/>
          <w:szCs w:val="24"/>
          <w:u w:val="single"/>
        </w:rPr>
        <w:lastRenderedPageBreak/>
        <w:t>dispute that matters. If the effect of the plea is that no intelligible dispute remains there is nothing on which a court can sensibly adjudicate</w:t>
      </w:r>
      <w:r w:rsidRPr="00FF6CD9">
        <w:rPr>
          <w:rFonts w:ascii="Times New Roman" w:hAnsi="Times New Roman" w:cs="Times New Roman"/>
          <w:sz w:val="24"/>
          <w:szCs w:val="24"/>
        </w:rPr>
        <w:t>. If a defendant pleads to a plaintiff's particulars of claim in such a way that the remaining disputed facts no longer sustain the plaintiff's claim, there is something seriously wrong with the particulars of claim. This creates embarrassment for a defendant who is now obliged to proceed to trial on a claim which he knows to be bad in law, but to which he cannot except as disclosing no cause of action. Of course, he could at the trial apply to argue the point in terms of Rule 33(4), but this might not protect him from incurring the costs of preparing for trial in case the point is decided against him.”</w:t>
      </w:r>
    </w:p>
    <w:p w14:paraId="41D904E1" w14:textId="77777777" w:rsidR="00FF6CD9" w:rsidRDefault="00FF6CD9" w:rsidP="007811AF">
      <w:pPr>
        <w:pStyle w:val="NoSpacing"/>
        <w:spacing w:line="360" w:lineRule="auto"/>
        <w:jc w:val="both"/>
        <w:rPr>
          <w:rFonts w:ascii="Times New Roman" w:hAnsi="Times New Roman" w:cs="Times New Roman"/>
          <w:sz w:val="24"/>
          <w:szCs w:val="24"/>
        </w:rPr>
      </w:pPr>
    </w:p>
    <w:p w14:paraId="0EB692CA" w14:textId="77777777" w:rsidR="000A3F85" w:rsidRDefault="000A3F85" w:rsidP="007811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DISPOSITION </w:t>
      </w:r>
    </w:p>
    <w:p w14:paraId="0DF7FE15" w14:textId="77777777" w:rsidR="00A721D8" w:rsidRDefault="00F51CFA" w:rsidP="007811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2252A2">
        <w:rPr>
          <w:rFonts w:ascii="Times New Roman" w:hAnsi="Times New Roman" w:cs="Times New Roman"/>
          <w:sz w:val="24"/>
          <w:szCs w:val="24"/>
        </w:rPr>
        <w:t>31</w:t>
      </w:r>
      <w:r>
        <w:rPr>
          <w:rFonts w:ascii="Times New Roman" w:hAnsi="Times New Roman" w:cs="Times New Roman"/>
          <w:sz w:val="24"/>
          <w:szCs w:val="24"/>
        </w:rPr>
        <w:t xml:space="preserve">] Generally, the plaintiff faced with a successful exception is </w:t>
      </w:r>
      <w:r w:rsidR="000A3F85">
        <w:rPr>
          <w:rFonts w:ascii="Times New Roman" w:hAnsi="Times New Roman" w:cs="Times New Roman"/>
          <w:sz w:val="24"/>
          <w:szCs w:val="24"/>
        </w:rPr>
        <w:t xml:space="preserve">accorded an opportunity to purge his default. This approach was taken in </w:t>
      </w:r>
      <w:r w:rsidR="000A3F85" w:rsidRPr="00FF6CD9">
        <w:rPr>
          <w:rFonts w:ascii="Times New Roman" w:hAnsi="Times New Roman" w:cs="Times New Roman"/>
          <w:i/>
          <w:iCs/>
          <w:sz w:val="24"/>
          <w:szCs w:val="24"/>
        </w:rPr>
        <w:t>Levitan v New Holiday Enterprises CC</w:t>
      </w:r>
      <w:r w:rsidR="000A3F85">
        <w:rPr>
          <w:rFonts w:ascii="Times New Roman" w:hAnsi="Times New Roman" w:cs="Times New Roman"/>
          <w:sz w:val="24"/>
          <w:szCs w:val="24"/>
        </w:rPr>
        <w:t xml:space="preserve"> (supra) and </w:t>
      </w:r>
      <w:r w:rsidR="00A721D8">
        <w:rPr>
          <w:rFonts w:ascii="Times New Roman" w:hAnsi="Times New Roman" w:cs="Times New Roman"/>
          <w:sz w:val="24"/>
          <w:szCs w:val="24"/>
        </w:rPr>
        <w:t xml:space="preserve">recognised in </w:t>
      </w:r>
      <w:r w:rsidR="00A721D8" w:rsidRPr="00A721D8">
        <w:rPr>
          <w:rFonts w:ascii="Times New Roman" w:hAnsi="Times New Roman" w:cs="Times New Roman"/>
          <w:i/>
          <w:iCs/>
          <w:sz w:val="24"/>
          <w:szCs w:val="24"/>
        </w:rPr>
        <w:t>M</w:t>
      </w:r>
      <w:r w:rsidR="000A3F85" w:rsidRPr="00A721D8">
        <w:rPr>
          <w:rFonts w:ascii="Times New Roman" w:hAnsi="Times New Roman" w:cs="Times New Roman"/>
          <w:i/>
          <w:iCs/>
          <w:sz w:val="24"/>
          <w:szCs w:val="24"/>
        </w:rPr>
        <w:t>atewa v ZETDC</w:t>
      </w:r>
      <w:r w:rsidR="000A3F85">
        <w:rPr>
          <w:rFonts w:ascii="Times New Roman" w:hAnsi="Times New Roman" w:cs="Times New Roman"/>
          <w:sz w:val="24"/>
          <w:szCs w:val="24"/>
        </w:rPr>
        <w:t xml:space="preserve"> HH 304-13 a</w:t>
      </w:r>
      <w:r w:rsidR="00A721D8">
        <w:rPr>
          <w:rFonts w:ascii="Times New Roman" w:hAnsi="Times New Roman" w:cs="Times New Roman"/>
          <w:sz w:val="24"/>
          <w:szCs w:val="24"/>
        </w:rPr>
        <w:t xml:space="preserve">nd recommended by </w:t>
      </w:r>
      <w:r w:rsidR="000A3F85">
        <w:rPr>
          <w:rFonts w:ascii="Times New Roman" w:hAnsi="Times New Roman" w:cs="Times New Roman"/>
          <w:sz w:val="24"/>
          <w:szCs w:val="24"/>
        </w:rPr>
        <w:t>Herbstein and Van Winsen</w:t>
      </w:r>
      <w:r w:rsidR="000A3F85">
        <w:rPr>
          <w:rStyle w:val="FootnoteReference"/>
          <w:rFonts w:ascii="Times New Roman" w:hAnsi="Times New Roman" w:cs="Times New Roman"/>
          <w:sz w:val="24"/>
          <w:szCs w:val="24"/>
        </w:rPr>
        <w:footnoteReference w:id="5"/>
      </w:r>
      <w:r w:rsidR="000A3F85">
        <w:rPr>
          <w:rFonts w:ascii="Times New Roman" w:hAnsi="Times New Roman" w:cs="Times New Roman"/>
          <w:sz w:val="24"/>
          <w:szCs w:val="24"/>
        </w:rPr>
        <w:t>.</w:t>
      </w:r>
    </w:p>
    <w:p w14:paraId="5C5048F1" w14:textId="77777777" w:rsidR="00A721D8" w:rsidRDefault="00A721D8" w:rsidP="007811AF">
      <w:pPr>
        <w:pStyle w:val="NoSpacing"/>
        <w:spacing w:line="360" w:lineRule="auto"/>
        <w:jc w:val="both"/>
        <w:rPr>
          <w:rFonts w:ascii="Times New Roman" w:hAnsi="Times New Roman" w:cs="Times New Roman"/>
          <w:sz w:val="24"/>
          <w:szCs w:val="24"/>
        </w:rPr>
      </w:pPr>
    </w:p>
    <w:p w14:paraId="4C05AF46" w14:textId="7CDE9BA6" w:rsidR="00FF6CD9" w:rsidRDefault="00A721D8" w:rsidP="007811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[32] </w:t>
      </w:r>
      <w:r w:rsidR="000A3F85">
        <w:rPr>
          <w:rFonts w:ascii="Times New Roman" w:hAnsi="Times New Roman" w:cs="Times New Roman"/>
          <w:sz w:val="24"/>
          <w:szCs w:val="24"/>
        </w:rPr>
        <w:t xml:space="preserve">Accordingly, the plaintiffs will be granted </w:t>
      </w:r>
      <w:r>
        <w:rPr>
          <w:rFonts w:ascii="Times New Roman" w:hAnsi="Times New Roman" w:cs="Times New Roman"/>
          <w:sz w:val="24"/>
          <w:szCs w:val="24"/>
        </w:rPr>
        <w:t xml:space="preserve">leave </w:t>
      </w:r>
      <w:r w:rsidR="000A3F85">
        <w:rPr>
          <w:rFonts w:ascii="Times New Roman" w:hAnsi="Times New Roman" w:cs="Times New Roman"/>
          <w:sz w:val="24"/>
          <w:szCs w:val="24"/>
        </w:rPr>
        <w:t>to file an amended summons and declaration. In closing, I will mention</w:t>
      </w:r>
      <w:r>
        <w:rPr>
          <w:rFonts w:ascii="Times New Roman" w:hAnsi="Times New Roman" w:cs="Times New Roman"/>
          <w:sz w:val="24"/>
          <w:szCs w:val="24"/>
        </w:rPr>
        <w:t xml:space="preserve"> without lingering on the point, that</w:t>
      </w:r>
      <w:r w:rsidR="000A3F85">
        <w:rPr>
          <w:rFonts w:ascii="Times New Roman" w:hAnsi="Times New Roman" w:cs="Times New Roman"/>
          <w:sz w:val="24"/>
          <w:szCs w:val="24"/>
        </w:rPr>
        <w:t xml:space="preserve"> </w:t>
      </w:r>
      <w:r>
        <w:rPr>
          <w:rFonts w:ascii="Times New Roman" w:hAnsi="Times New Roman" w:cs="Times New Roman"/>
          <w:sz w:val="24"/>
          <w:szCs w:val="24"/>
        </w:rPr>
        <w:t xml:space="preserve">based on established principles and authorities, </w:t>
      </w:r>
      <w:r w:rsidR="000A3F85">
        <w:rPr>
          <w:rFonts w:ascii="Times New Roman" w:hAnsi="Times New Roman" w:cs="Times New Roman"/>
          <w:sz w:val="24"/>
          <w:szCs w:val="24"/>
        </w:rPr>
        <w:t xml:space="preserve">the </w:t>
      </w:r>
      <w:r w:rsidR="00C27343">
        <w:rPr>
          <w:rFonts w:ascii="Times New Roman" w:hAnsi="Times New Roman" w:cs="Times New Roman"/>
          <w:sz w:val="24"/>
          <w:szCs w:val="24"/>
        </w:rPr>
        <w:t xml:space="preserve">first, second and third excipients` prayer for </w:t>
      </w:r>
      <w:r w:rsidR="000A3F85">
        <w:rPr>
          <w:rFonts w:ascii="Times New Roman" w:hAnsi="Times New Roman" w:cs="Times New Roman"/>
          <w:sz w:val="24"/>
          <w:szCs w:val="24"/>
        </w:rPr>
        <w:t>costs on a higher scale are no</w:t>
      </w:r>
      <w:r>
        <w:rPr>
          <w:rFonts w:ascii="Times New Roman" w:hAnsi="Times New Roman" w:cs="Times New Roman"/>
          <w:sz w:val="24"/>
          <w:szCs w:val="24"/>
        </w:rPr>
        <w:t>t</w:t>
      </w:r>
      <w:r w:rsidR="000A3F85">
        <w:rPr>
          <w:rFonts w:ascii="Times New Roman" w:hAnsi="Times New Roman" w:cs="Times New Roman"/>
          <w:sz w:val="24"/>
          <w:szCs w:val="24"/>
        </w:rPr>
        <w:t xml:space="preserve"> </w:t>
      </w:r>
      <w:r w:rsidR="00283907">
        <w:rPr>
          <w:rFonts w:ascii="Times New Roman" w:hAnsi="Times New Roman" w:cs="Times New Roman"/>
          <w:sz w:val="24"/>
          <w:szCs w:val="24"/>
        </w:rPr>
        <w:t xml:space="preserve">herein </w:t>
      </w:r>
      <w:r w:rsidR="000A3F85">
        <w:rPr>
          <w:rFonts w:ascii="Times New Roman" w:hAnsi="Times New Roman" w:cs="Times New Roman"/>
          <w:sz w:val="24"/>
          <w:szCs w:val="24"/>
        </w:rPr>
        <w:t>warranted.</w:t>
      </w:r>
      <w:r>
        <w:rPr>
          <w:rStyle w:val="FootnoteReference"/>
          <w:rFonts w:ascii="Times New Roman" w:hAnsi="Times New Roman" w:cs="Times New Roman"/>
          <w:sz w:val="24"/>
          <w:szCs w:val="24"/>
        </w:rPr>
        <w:footnoteReference w:id="6"/>
      </w:r>
    </w:p>
    <w:p w14:paraId="306B4171" w14:textId="77777777" w:rsidR="000A3F85" w:rsidRDefault="000A3F85" w:rsidP="007811AF">
      <w:pPr>
        <w:pStyle w:val="NoSpacing"/>
        <w:spacing w:line="360" w:lineRule="auto"/>
        <w:jc w:val="both"/>
        <w:rPr>
          <w:rFonts w:ascii="Times New Roman" w:hAnsi="Times New Roman" w:cs="Times New Roman"/>
          <w:sz w:val="24"/>
          <w:szCs w:val="24"/>
        </w:rPr>
      </w:pPr>
    </w:p>
    <w:p w14:paraId="0ED5FC31" w14:textId="0046952D" w:rsidR="000A3F85" w:rsidRDefault="000A3F85" w:rsidP="007811A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It is therefore ordered that; -</w:t>
      </w:r>
    </w:p>
    <w:p w14:paraId="72CEC8D8" w14:textId="77777777" w:rsidR="000A3F85" w:rsidRDefault="000A3F85" w:rsidP="007811AF">
      <w:pPr>
        <w:pStyle w:val="NoSpacing"/>
        <w:spacing w:line="360" w:lineRule="auto"/>
        <w:jc w:val="both"/>
        <w:rPr>
          <w:rFonts w:ascii="Times New Roman" w:hAnsi="Times New Roman" w:cs="Times New Roman"/>
          <w:sz w:val="24"/>
          <w:szCs w:val="24"/>
        </w:rPr>
      </w:pPr>
    </w:p>
    <w:p w14:paraId="38461819" w14:textId="3F96D08F" w:rsidR="000A3F85" w:rsidRDefault="000A3F85" w:rsidP="000A3F85">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exception raised by first, second and third defendants</w:t>
      </w:r>
      <w:r w:rsidR="00913543">
        <w:rPr>
          <w:rFonts w:ascii="Times New Roman" w:hAnsi="Times New Roman" w:cs="Times New Roman"/>
          <w:sz w:val="24"/>
          <w:szCs w:val="24"/>
        </w:rPr>
        <w:t xml:space="preserve"> regarding failure by first and second plaintiffs to set out their cause of action concisely and precisely in the summons and declaration,</w:t>
      </w:r>
      <w:r>
        <w:rPr>
          <w:rFonts w:ascii="Times New Roman" w:hAnsi="Times New Roman" w:cs="Times New Roman"/>
          <w:sz w:val="24"/>
          <w:szCs w:val="24"/>
        </w:rPr>
        <w:t xml:space="preserve"> be and upheld.</w:t>
      </w:r>
    </w:p>
    <w:p w14:paraId="01C45205" w14:textId="77777777" w:rsidR="000A3F85" w:rsidRDefault="000A3F85" w:rsidP="007811AF">
      <w:pPr>
        <w:pStyle w:val="NoSpacing"/>
        <w:spacing w:line="360" w:lineRule="auto"/>
        <w:jc w:val="both"/>
        <w:rPr>
          <w:rFonts w:ascii="Times New Roman" w:hAnsi="Times New Roman" w:cs="Times New Roman"/>
          <w:sz w:val="24"/>
          <w:szCs w:val="24"/>
        </w:rPr>
      </w:pPr>
    </w:p>
    <w:p w14:paraId="71E8DED4" w14:textId="5E425E2E" w:rsidR="000A3F85" w:rsidRDefault="000A3F85" w:rsidP="000A3F85">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plaintiff`s summons and declaration be and hereby struck off and </w:t>
      </w:r>
      <w:r w:rsidR="00913543">
        <w:rPr>
          <w:rFonts w:ascii="Times New Roman" w:hAnsi="Times New Roman" w:cs="Times New Roman"/>
          <w:sz w:val="24"/>
          <w:szCs w:val="24"/>
        </w:rPr>
        <w:t xml:space="preserve">first and second </w:t>
      </w:r>
      <w:r>
        <w:rPr>
          <w:rFonts w:ascii="Times New Roman" w:hAnsi="Times New Roman" w:cs="Times New Roman"/>
          <w:sz w:val="24"/>
          <w:szCs w:val="24"/>
        </w:rPr>
        <w:t xml:space="preserve">plaintiffs </w:t>
      </w:r>
      <w:r w:rsidR="00913543">
        <w:rPr>
          <w:rFonts w:ascii="Times New Roman" w:hAnsi="Times New Roman" w:cs="Times New Roman"/>
          <w:sz w:val="24"/>
          <w:szCs w:val="24"/>
        </w:rPr>
        <w:t xml:space="preserve">are </w:t>
      </w:r>
      <w:r>
        <w:rPr>
          <w:rFonts w:ascii="Times New Roman" w:hAnsi="Times New Roman" w:cs="Times New Roman"/>
          <w:sz w:val="24"/>
          <w:szCs w:val="24"/>
        </w:rPr>
        <w:t xml:space="preserve">granted leave to file, should they be so advised, an amended summons and declaration </w:t>
      </w:r>
      <w:r w:rsidR="00913543">
        <w:rPr>
          <w:rFonts w:ascii="Times New Roman" w:hAnsi="Times New Roman" w:cs="Times New Roman"/>
          <w:sz w:val="24"/>
          <w:szCs w:val="24"/>
        </w:rPr>
        <w:t>complying with the rules of court, within</w:t>
      </w:r>
      <w:r>
        <w:rPr>
          <w:rFonts w:ascii="Times New Roman" w:hAnsi="Times New Roman" w:cs="Times New Roman"/>
          <w:sz w:val="24"/>
          <w:szCs w:val="24"/>
        </w:rPr>
        <w:t xml:space="preserve"> 14 days from the date of this order.</w:t>
      </w:r>
    </w:p>
    <w:p w14:paraId="05A2DC96" w14:textId="77777777" w:rsidR="000A3F85" w:rsidRDefault="000A3F85" w:rsidP="007811AF">
      <w:pPr>
        <w:pStyle w:val="NoSpacing"/>
        <w:spacing w:line="360" w:lineRule="auto"/>
        <w:jc w:val="both"/>
        <w:rPr>
          <w:rFonts w:ascii="Times New Roman" w:hAnsi="Times New Roman" w:cs="Times New Roman"/>
          <w:sz w:val="24"/>
          <w:szCs w:val="24"/>
        </w:rPr>
      </w:pPr>
    </w:p>
    <w:p w14:paraId="7D622BB8" w14:textId="3AA90EAF" w:rsidR="000A3F85" w:rsidRDefault="000A3F85" w:rsidP="000A3F85">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Thereafter, the matter to proceed in terms of the rules.</w:t>
      </w:r>
    </w:p>
    <w:p w14:paraId="16D6464D" w14:textId="77777777" w:rsidR="000A3F85" w:rsidRDefault="000A3F85" w:rsidP="007811AF">
      <w:pPr>
        <w:pStyle w:val="NoSpacing"/>
        <w:spacing w:line="360" w:lineRule="auto"/>
        <w:jc w:val="both"/>
        <w:rPr>
          <w:rFonts w:ascii="Times New Roman" w:hAnsi="Times New Roman" w:cs="Times New Roman"/>
          <w:sz w:val="24"/>
          <w:szCs w:val="24"/>
        </w:rPr>
      </w:pPr>
    </w:p>
    <w:p w14:paraId="67A5AF46" w14:textId="445558B3" w:rsidR="000A3F85" w:rsidRDefault="00913543" w:rsidP="000A3F85">
      <w:pPr>
        <w:pStyle w:val="NoSpacing"/>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First and second </w:t>
      </w:r>
      <w:r w:rsidR="000A3F85">
        <w:rPr>
          <w:rFonts w:ascii="Times New Roman" w:hAnsi="Times New Roman" w:cs="Times New Roman"/>
          <w:sz w:val="24"/>
          <w:szCs w:val="24"/>
        </w:rPr>
        <w:t>plaintiffs</w:t>
      </w:r>
      <w:r>
        <w:rPr>
          <w:rFonts w:ascii="Times New Roman" w:hAnsi="Times New Roman" w:cs="Times New Roman"/>
          <w:sz w:val="24"/>
          <w:szCs w:val="24"/>
        </w:rPr>
        <w:t>,</w:t>
      </w:r>
      <w:r w:rsidR="000A3F85">
        <w:rPr>
          <w:rFonts w:ascii="Times New Roman" w:hAnsi="Times New Roman" w:cs="Times New Roman"/>
          <w:sz w:val="24"/>
          <w:szCs w:val="24"/>
        </w:rPr>
        <w:t xml:space="preserve"> jointly or severally the one paying and the other being absolved, to meet first, second and third defendants` costs.</w:t>
      </w:r>
    </w:p>
    <w:p w14:paraId="0EE6E927" w14:textId="77777777" w:rsidR="000A3F85" w:rsidRDefault="000A3F85" w:rsidP="007811AF">
      <w:pPr>
        <w:pStyle w:val="NoSpacing"/>
        <w:spacing w:line="360" w:lineRule="auto"/>
        <w:jc w:val="both"/>
        <w:rPr>
          <w:rFonts w:ascii="Times New Roman" w:hAnsi="Times New Roman" w:cs="Times New Roman"/>
          <w:sz w:val="24"/>
          <w:szCs w:val="24"/>
        </w:rPr>
      </w:pPr>
    </w:p>
    <w:p w14:paraId="56F91714" w14:textId="4E55FF11" w:rsidR="000A3F85" w:rsidRPr="00467C58" w:rsidRDefault="000A3F85" w:rsidP="00467C58">
      <w:pPr>
        <w:pStyle w:val="NoSpacing"/>
        <w:rPr>
          <w:rFonts w:ascii="Times New Roman" w:hAnsi="Times New Roman" w:cs="Times New Roman"/>
          <w:sz w:val="24"/>
          <w:szCs w:val="24"/>
        </w:rPr>
      </w:pPr>
      <w:r w:rsidRPr="00467C58">
        <w:rPr>
          <w:rFonts w:ascii="Times New Roman" w:hAnsi="Times New Roman" w:cs="Times New Roman"/>
          <w:i/>
          <w:iCs/>
          <w:sz w:val="24"/>
          <w:szCs w:val="24"/>
        </w:rPr>
        <w:t>MC Mukome Legal Practitioners</w:t>
      </w:r>
      <w:r w:rsidRPr="00467C58">
        <w:rPr>
          <w:rFonts w:ascii="Times New Roman" w:hAnsi="Times New Roman" w:cs="Times New Roman"/>
          <w:sz w:val="24"/>
          <w:szCs w:val="24"/>
        </w:rPr>
        <w:t>-plaintiffs` legal practitioners</w:t>
      </w:r>
    </w:p>
    <w:p w14:paraId="7BADEC4C" w14:textId="77777777" w:rsidR="000A3F85" w:rsidRPr="00467C58" w:rsidRDefault="000A3F85" w:rsidP="00467C58">
      <w:pPr>
        <w:pStyle w:val="NoSpacing"/>
        <w:rPr>
          <w:rFonts w:ascii="Times New Roman" w:hAnsi="Times New Roman" w:cs="Times New Roman"/>
          <w:sz w:val="24"/>
          <w:szCs w:val="24"/>
        </w:rPr>
      </w:pPr>
    </w:p>
    <w:p w14:paraId="29DA50FF" w14:textId="65038EDA" w:rsidR="000A3F85" w:rsidRPr="00467C58" w:rsidRDefault="000A3F85" w:rsidP="00467C58">
      <w:pPr>
        <w:pStyle w:val="NoSpacing"/>
        <w:rPr>
          <w:rFonts w:ascii="Times New Roman" w:hAnsi="Times New Roman" w:cs="Times New Roman"/>
          <w:sz w:val="24"/>
          <w:szCs w:val="24"/>
        </w:rPr>
      </w:pPr>
      <w:r w:rsidRPr="00467C58">
        <w:rPr>
          <w:rFonts w:ascii="Times New Roman" w:hAnsi="Times New Roman" w:cs="Times New Roman"/>
          <w:i/>
          <w:iCs/>
          <w:sz w:val="24"/>
          <w:szCs w:val="24"/>
        </w:rPr>
        <w:t>Tandiri Law Chambers</w:t>
      </w:r>
      <w:r w:rsidRPr="00467C58">
        <w:rPr>
          <w:rFonts w:ascii="Times New Roman" w:hAnsi="Times New Roman" w:cs="Times New Roman"/>
          <w:sz w:val="24"/>
          <w:szCs w:val="24"/>
        </w:rPr>
        <w:t xml:space="preserve"> -first, second and third defendants` legal practitioners</w:t>
      </w:r>
    </w:p>
    <w:p w14:paraId="1F2C6BFA" w14:textId="77777777" w:rsidR="000A3F85" w:rsidRDefault="000A3F85" w:rsidP="007811AF">
      <w:pPr>
        <w:pStyle w:val="NoSpacing"/>
        <w:spacing w:line="360" w:lineRule="auto"/>
        <w:jc w:val="both"/>
        <w:rPr>
          <w:rFonts w:ascii="Times New Roman" w:hAnsi="Times New Roman" w:cs="Times New Roman"/>
          <w:sz w:val="24"/>
          <w:szCs w:val="24"/>
        </w:rPr>
      </w:pPr>
    </w:p>
    <w:p w14:paraId="0AA5A0AE" w14:textId="63743484" w:rsidR="000A3F85" w:rsidRPr="000A3F85" w:rsidRDefault="000A3F85" w:rsidP="007811AF">
      <w:pPr>
        <w:pStyle w:val="NoSpacing"/>
        <w:spacing w:line="360" w:lineRule="auto"/>
        <w:jc w:val="both"/>
        <w:rPr>
          <w:rFonts w:ascii="Times New Roman" w:hAnsi="Times New Roman" w:cs="Times New Roman"/>
          <w:b/>
          <w:bCs/>
          <w:sz w:val="16"/>
          <w:szCs w:val="16"/>
        </w:rPr>
      </w:pPr>
      <w:r>
        <w:rPr>
          <w:rFonts w:ascii="Times New Roman" w:hAnsi="Times New Roman" w:cs="Times New Roman"/>
          <w:sz w:val="24"/>
          <w:szCs w:val="24"/>
        </w:rPr>
        <w:t xml:space="preserve">                                                                                                      </w:t>
      </w:r>
      <w:r w:rsidRPr="000A3F85">
        <w:rPr>
          <w:rFonts w:ascii="Times New Roman" w:hAnsi="Times New Roman" w:cs="Times New Roman"/>
          <w:b/>
          <w:bCs/>
          <w:sz w:val="16"/>
          <w:szCs w:val="16"/>
        </w:rPr>
        <w:t>[CHILIMBE J___11/10/24]</w:t>
      </w:r>
    </w:p>
    <w:p w14:paraId="009566FC" w14:textId="77777777" w:rsidR="000A3F85" w:rsidRDefault="000A3F85" w:rsidP="007811AF">
      <w:pPr>
        <w:pStyle w:val="NoSpacing"/>
        <w:spacing w:line="360" w:lineRule="auto"/>
        <w:jc w:val="both"/>
        <w:rPr>
          <w:rFonts w:ascii="Times New Roman" w:hAnsi="Times New Roman" w:cs="Times New Roman"/>
          <w:sz w:val="24"/>
          <w:szCs w:val="24"/>
        </w:rPr>
      </w:pPr>
    </w:p>
    <w:p w14:paraId="54FB9C1C" w14:textId="77777777" w:rsidR="000A3F85" w:rsidRDefault="000A3F85" w:rsidP="007811AF">
      <w:pPr>
        <w:pStyle w:val="NoSpacing"/>
        <w:spacing w:line="360" w:lineRule="auto"/>
        <w:jc w:val="both"/>
        <w:rPr>
          <w:rFonts w:ascii="Times New Roman" w:hAnsi="Times New Roman" w:cs="Times New Roman"/>
          <w:sz w:val="24"/>
          <w:szCs w:val="24"/>
        </w:rPr>
      </w:pPr>
    </w:p>
    <w:p w14:paraId="5D44C950" w14:textId="77777777" w:rsidR="00FF6CD9" w:rsidRDefault="00FF6CD9" w:rsidP="007811AF">
      <w:pPr>
        <w:pStyle w:val="NoSpacing"/>
        <w:spacing w:line="360" w:lineRule="auto"/>
        <w:jc w:val="both"/>
        <w:rPr>
          <w:rFonts w:ascii="Times New Roman" w:hAnsi="Times New Roman" w:cs="Times New Roman"/>
          <w:sz w:val="24"/>
          <w:szCs w:val="24"/>
        </w:rPr>
      </w:pPr>
    </w:p>
    <w:p w14:paraId="2203292E" w14:textId="77777777" w:rsidR="00FF6CD9" w:rsidRDefault="00FF6CD9" w:rsidP="007811AF">
      <w:pPr>
        <w:pStyle w:val="NoSpacing"/>
        <w:spacing w:line="360" w:lineRule="auto"/>
        <w:jc w:val="both"/>
        <w:rPr>
          <w:rFonts w:ascii="Times New Roman" w:hAnsi="Times New Roman" w:cs="Times New Roman"/>
          <w:sz w:val="24"/>
          <w:szCs w:val="24"/>
        </w:rPr>
      </w:pPr>
    </w:p>
    <w:p w14:paraId="4E2F65B1" w14:textId="77777777" w:rsidR="00D9191A" w:rsidRDefault="00D9191A" w:rsidP="007811AF">
      <w:pPr>
        <w:pStyle w:val="NoSpacing"/>
        <w:spacing w:line="360" w:lineRule="auto"/>
        <w:jc w:val="both"/>
        <w:rPr>
          <w:rFonts w:ascii="Times New Roman" w:hAnsi="Times New Roman" w:cs="Times New Roman"/>
          <w:sz w:val="24"/>
          <w:szCs w:val="24"/>
        </w:rPr>
      </w:pPr>
    </w:p>
    <w:p w14:paraId="40C933A3" w14:textId="617132F2" w:rsidR="00A6420A" w:rsidRPr="007811AF" w:rsidRDefault="00D9191A" w:rsidP="00F51CFA">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164D277" w14:textId="77777777" w:rsidR="00A6420A" w:rsidRPr="007811AF" w:rsidRDefault="00A6420A" w:rsidP="007811AF">
      <w:pPr>
        <w:pStyle w:val="NoSpacing"/>
        <w:spacing w:line="360" w:lineRule="auto"/>
        <w:jc w:val="both"/>
        <w:rPr>
          <w:rFonts w:ascii="Times New Roman" w:hAnsi="Times New Roman" w:cs="Times New Roman"/>
          <w:sz w:val="24"/>
          <w:szCs w:val="24"/>
        </w:rPr>
      </w:pPr>
    </w:p>
    <w:p w14:paraId="770908BA" w14:textId="77777777" w:rsidR="00A6420A" w:rsidRPr="007811AF" w:rsidRDefault="00A6420A" w:rsidP="007811AF">
      <w:pPr>
        <w:pStyle w:val="NoSpacing"/>
        <w:spacing w:line="360" w:lineRule="auto"/>
        <w:jc w:val="both"/>
        <w:rPr>
          <w:rFonts w:ascii="Times New Roman" w:hAnsi="Times New Roman" w:cs="Times New Roman"/>
          <w:sz w:val="24"/>
          <w:szCs w:val="24"/>
        </w:rPr>
      </w:pPr>
    </w:p>
    <w:p w14:paraId="17A9C736" w14:textId="6C228A5D" w:rsidR="00A6420A" w:rsidRPr="007811AF" w:rsidRDefault="00A6420A" w:rsidP="007811AF">
      <w:pPr>
        <w:pStyle w:val="NoSpacing"/>
        <w:spacing w:line="360" w:lineRule="auto"/>
        <w:jc w:val="both"/>
        <w:rPr>
          <w:rFonts w:ascii="Times New Roman" w:hAnsi="Times New Roman" w:cs="Times New Roman"/>
          <w:sz w:val="24"/>
          <w:szCs w:val="24"/>
        </w:rPr>
      </w:pPr>
      <w:r w:rsidRPr="007811AF">
        <w:rPr>
          <w:rFonts w:ascii="Times New Roman" w:hAnsi="Times New Roman" w:cs="Times New Roman"/>
          <w:sz w:val="24"/>
          <w:szCs w:val="24"/>
        </w:rPr>
        <w:t xml:space="preserve"> </w:t>
      </w:r>
    </w:p>
    <w:p w14:paraId="00A83E8F" w14:textId="77777777" w:rsidR="008B0F58" w:rsidRPr="007811AF" w:rsidRDefault="008B0F58" w:rsidP="007811AF">
      <w:pPr>
        <w:spacing w:line="360" w:lineRule="auto"/>
        <w:jc w:val="both"/>
        <w:rPr>
          <w:rFonts w:ascii="Times New Roman" w:hAnsi="Times New Roman" w:cs="Times New Roman"/>
          <w:sz w:val="24"/>
          <w:szCs w:val="24"/>
        </w:rPr>
      </w:pPr>
    </w:p>
    <w:sectPr w:rsidR="008B0F58" w:rsidRPr="007811A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A898C" w14:textId="77777777" w:rsidR="00890C9E" w:rsidRDefault="00890C9E" w:rsidP="008B0F58">
      <w:pPr>
        <w:spacing w:after="0" w:line="240" w:lineRule="auto"/>
      </w:pPr>
      <w:r>
        <w:separator/>
      </w:r>
    </w:p>
  </w:endnote>
  <w:endnote w:type="continuationSeparator" w:id="0">
    <w:p w14:paraId="7A373EED" w14:textId="77777777" w:rsidR="00890C9E" w:rsidRDefault="00890C9E" w:rsidP="008B0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176B2" w14:textId="77777777" w:rsidR="00890C9E" w:rsidRDefault="00890C9E" w:rsidP="008B0F58">
      <w:pPr>
        <w:spacing w:after="0" w:line="240" w:lineRule="auto"/>
      </w:pPr>
      <w:r>
        <w:separator/>
      </w:r>
    </w:p>
  </w:footnote>
  <w:footnote w:type="continuationSeparator" w:id="0">
    <w:p w14:paraId="2341067E" w14:textId="77777777" w:rsidR="00890C9E" w:rsidRDefault="00890C9E" w:rsidP="008B0F58">
      <w:pPr>
        <w:spacing w:after="0" w:line="240" w:lineRule="auto"/>
      </w:pPr>
      <w:r>
        <w:continuationSeparator/>
      </w:r>
    </w:p>
  </w:footnote>
  <w:footnote w:id="1">
    <w:p w14:paraId="673DA187" w14:textId="56B7B18D" w:rsidR="008C245D" w:rsidRPr="008C245D" w:rsidRDefault="008C245D" w:rsidP="008C245D">
      <w:pPr>
        <w:pStyle w:val="FootnoteText"/>
        <w:jc w:val="both"/>
        <w:rPr>
          <w:rFonts w:cstheme="minorHAnsi"/>
          <w:sz w:val="18"/>
          <w:szCs w:val="18"/>
        </w:rPr>
      </w:pPr>
      <w:r>
        <w:rPr>
          <w:rStyle w:val="FootnoteReference"/>
        </w:rPr>
        <w:footnoteRef/>
      </w:r>
      <w:r>
        <w:t xml:space="preserve"> </w:t>
      </w:r>
      <w:r w:rsidRPr="008C245D">
        <w:rPr>
          <w:rFonts w:cstheme="minorHAnsi"/>
          <w:sz w:val="18"/>
          <w:szCs w:val="18"/>
        </w:rPr>
        <w:t>This was a requirement in terms of section 25A of the old Deeds Registries Act Chapter 139 whose corresponding provision is now section 27 in the new Deeds Registries Act [ Chapter 20:05].</w:t>
      </w:r>
    </w:p>
  </w:footnote>
  <w:footnote w:id="2">
    <w:p w14:paraId="01E35AD9" w14:textId="2B00736E" w:rsidR="007B6861" w:rsidRDefault="007B6861">
      <w:pPr>
        <w:pStyle w:val="FootnoteText"/>
      </w:pPr>
      <w:r>
        <w:rPr>
          <w:rStyle w:val="FootnoteReference"/>
        </w:rPr>
        <w:footnoteRef/>
      </w:r>
      <w:r>
        <w:t xml:space="preserve"> </w:t>
      </w:r>
    </w:p>
  </w:footnote>
  <w:footnote w:id="3">
    <w:p w14:paraId="56D40739" w14:textId="4A5EE438" w:rsidR="00FE02FD" w:rsidRDefault="00FE02FD">
      <w:pPr>
        <w:pStyle w:val="FootnoteText"/>
      </w:pPr>
      <w:r>
        <w:rPr>
          <w:rStyle w:val="FootnoteReference"/>
        </w:rPr>
        <w:footnoteRef/>
      </w:r>
      <w:r>
        <w:t xml:space="preserve"> </w:t>
      </w:r>
      <w:r w:rsidR="00085AC3">
        <w:t xml:space="preserve">Herbstein and Van Winsen </w:t>
      </w:r>
      <w:r w:rsidR="00085AC3" w:rsidRPr="002252A2">
        <w:rPr>
          <w:u w:val="single"/>
        </w:rPr>
        <w:t xml:space="preserve">The </w:t>
      </w:r>
      <w:r w:rsidR="002252A2" w:rsidRPr="002252A2">
        <w:rPr>
          <w:u w:val="single"/>
        </w:rPr>
        <w:t>Civil Practice of the High Courts and the Supreme Court of Appeal of South Africa ,</w:t>
      </w:r>
      <w:r>
        <w:t>5</w:t>
      </w:r>
      <w:r w:rsidRPr="00FE02FD">
        <w:rPr>
          <w:vertAlign w:val="superscript"/>
        </w:rPr>
        <w:t>th</w:t>
      </w:r>
      <w:r>
        <w:t xml:space="preserve"> Edition at page 477.</w:t>
      </w:r>
    </w:p>
  </w:footnote>
  <w:footnote w:id="4">
    <w:p w14:paraId="5657E6E7" w14:textId="357E1BE7" w:rsidR="00841BE4" w:rsidRDefault="00841BE4">
      <w:pPr>
        <w:pStyle w:val="FootnoteText"/>
      </w:pPr>
      <w:r>
        <w:rPr>
          <w:rStyle w:val="FootnoteReference"/>
        </w:rPr>
        <w:footnoteRef/>
      </w:r>
      <w:r>
        <w:t xml:space="preserve"> </w:t>
      </w:r>
      <w:r w:rsidR="002252A2">
        <w:t xml:space="preserve">Herbstein and Van Winsen </w:t>
      </w:r>
      <w:r w:rsidR="002252A2" w:rsidRPr="002252A2">
        <w:rPr>
          <w:i/>
          <w:iCs/>
        </w:rPr>
        <w:t>op cit</w:t>
      </w:r>
      <w:r w:rsidR="002252A2">
        <w:t xml:space="preserve"> </w:t>
      </w:r>
      <w:r>
        <w:t>at page 480.</w:t>
      </w:r>
    </w:p>
  </w:footnote>
  <w:footnote w:id="5">
    <w:p w14:paraId="1B818F8C" w14:textId="2EE779A4" w:rsidR="000A3F85" w:rsidRDefault="000A3F85">
      <w:pPr>
        <w:pStyle w:val="FootnoteText"/>
      </w:pPr>
      <w:r>
        <w:rPr>
          <w:rStyle w:val="FootnoteReference"/>
        </w:rPr>
        <w:footnoteRef/>
      </w:r>
      <w:r>
        <w:t xml:space="preserve"> </w:t>
      </w:r>
      <w:r w:rsidRPr="002252A2">
        <w:rPr>
          <w:i/>
          <w:iCs/>
        </w:rPr>
        <w:t>Op cit</w:t>
      </w:r>
      <w:r>
        <w:t xml:space="preserve"> at page 646.</w:t>
      </w:r>
    </w:p>
  </w:footnote>
  <w:footnote w:id="6">
    <w:p w14:paraId="51FA20E7" w14:textId="0D7DDB2A" w:rsidR="00A721D8" w:rsidRDefault="00A721D8">
      <w:pPr>
        <w:pStyle w:val="FootnoteText"/>
      </w:pPr>
      <w:r>
        <w:rPr>
          <w:rStyle w:val="FootnoteReference"/>
        </w:rPr>
        <w:footnoteRef/>
      </w:r>
      <w:r>
        <w:t xml:space="preserve"> </w:t>
      </w:r>
      <w:r w:rsidR="00283907">
        <w:t xml:space="preserve">See </w:t>
      </w:r>
      <w:r w:rsidR="00283907" w:rsidRPr="00283907">
        <w:rPr>
          <w:i/>
          <w:iCs/>
        </w:rPr>
        <w:t>Kandongwe v Muketiwa &amp; Anor</w:t>
      </w:r>
      <w:r w:rsidR="00283907">
        <w:t xml:space="preserve"> HCC 5-23 and the authorities cited therein.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20"/>
        <w:szCs w:val="20"/>
      </w:rPr>
      <w:id w:val="748467866"/>
      <w:docPartObj>
        <w:docPartGallery w:val="Page Numbers (Top of Page)"/>
        <w:docPartUnique/>
      </w:docPartObj>
    </w:sdtPr>
    <w:sdtEndPr>
      <w:rPr>
        <w:noProof/>
      </w:rPr>
    </w:sdtEndPr>
    <w:sdtContent>
      <w:p w14:paraId="517DD4F7" w14:textId="04F1B1C8" w:rsidR="008B0F58" w:rsidRPr="009B16BA" w:rsidRDefault="008B0F58" w:rsidP="00BE036A">
        <w:pPr>
          <w:pStyle w:val="Header"/>
          <w:jc w:val="right"/>
          <w:rPr>
            <w:b/>
            <w:bCs/>
            <w:noProof/>
            <w:sz w:val="20"/>
            <w:szCs w:val="20"/>
          </w:rPr>
        </w:pPr>
        <w:r w:rsidRPr="009B16BA">
          <w:rPr>
            <w:b/>
            <w:bCs/>
            <w:sz w:val="20"/>
            <w:szCs w:val="20"/>
          </w:rPr>
          <w:fldChar w:fldCharType="begin"/>
        </w:r>
        <w:r w:rsidRPr="009B16BA">
          <w:rPr>
            <w:b/>
            <w:bCs/>
            <w:sz w:val="20"/>
            <w:szCs w:val="20"/>
          </w:rPr>
          <w:instrText xml:space="preserve"> PAGE   \* MERGEFORMAT </w:instrText>
        </w:r>
        <w:r w:rsidRPr="009B16BA">
          <w:rPr>
            <w:b/>
            <w:bCs/>
            <w:sz w:val="20"/>
            <w:szCs w:val="20"/>
          </w:rPr>
          <w:fldChar w:fldCharType="separate"/>
        </w:r>
        <w:r w:rsidR="00BE036A">
          <w:rPr>
            <w:b/>
            <w:bCs/>
            <w:noProof/>
            <w:sz w:val="20"/>
            <w:szCs w:val="20"/>
          </w:rPr>
          <w:t>1</w:t>
        </w:r>
        <w:r w:rsidRPr="009B16BA">
          <w:rPr>
            <w:b/>
            <w:bCs/>
            <w:noProof/>
            <w:sz w:val="20"/>
            <w:szCs w:val="20"/>
          </w:rPr>
          <w:fldChar w:fldCharType="end"/>
        </w:r>
      </w:p>
      <w:p w14:paraId="04273D3B" w14:textId="37BD89FE" w:rsidR="008B0F58" w:rsidRPr="009B16BA" w:rsidRDefault="008B0F58" w:rsidP="00BE036A">
        <w:pPr>
          <w:pStyle w:val="Header"/>
          <w:jc w:val="right"/>
          <w:rPr>
            <w:b/>
            <w:bCs/>
            <w:noProof/>
            <w:sz w:val="20"/>
            <w:szCs w:val="20"/>
          </w:rPr>
        </w:pPr>
        <w:r w:rsidRPr="009B16BA">
          <w:rPr>
            <w:b/>
            <w:bCs/>
            <w:noProof/>
            <w:sz w:val="20"/>
            <w:szCs w:val="20"/>
          </w:rPr>
          <w:t>HH</w:t>
        </w:r>
        <w:r w:rsidR="009B16BA" w:rsidRPr="009B16BA">
          <w:rPr>
            <w:b/>
            <w:bCs/>
            <w:noProof/>
            <w:sz w:val="20"/>
            <w:szCs w:val="20"/>
          </w:rPr>
          <w:t xml:space="preserve"> 461-24</w:t>
        </w:r>
      </w:p>
      <w:p w14:paraId="60737216" w14:textId="30CB5922" w:rsidR="008B0F58" w:rsidRPr="009B16BA" w:rsidRDefault="008B0F58" w:rsidP="00BE036A">
        <w:pPr>
          <w:pStyle w:val="Header"/>
          <w:jc w:val="right"/>
          <w:rPr>
            <w:b/>
            <w:bCs/>
            <w:sz w:val="20"/>
            <w:szCs w:val="20"/>
          </w:rPr>
        </w:pPr>
        <w:r w:rsidRPr="009B16BA">
          <w:rPr>
            <w:b/>
            <w:bCs/>
            <w:noProof/>
            <w:sz w:val="20"/>
            <w:szCs w:val="20"/>
          </w:rPr>
          <w:t>HCHC 322/24</w:t>
        </w:r>
      </w:p>
    </w:sdtContent>
  </w:sdt>
  <w:p w14:paraId="56055470" w14:textId="77777777" w:rsidR="008B0F58" w:rsidRDefault="008B0F5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E4B15"/>
    <w:multiLevelType w:val="hybridMultilevel"/>
    <w:tmpl w:val="9B9E7D06"/>
    <w:lvl w:ilvl="0" w:tplc="CE923BFC">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004019A"/>
    <w:multiLevelType w:val="hybridMultilevel"/>
    <w:tmpl w:val="5630C036"/>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4F61B03"/>
    <w:multiLevelType w:val="hybridMultilevel"/>
    <w:tmpl w:val="F1C22F70"/>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20B11CF"/>
    <w:multiLevelType w:val="hybridMultilevel"/>
    <w:tmpl w:val="C22E01A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6603CC5"/>
    <w:multiLevelType w:val="hybridMultilevel"/>
    <w:tmpl w:val="0A2C894E"/>
    <w:lvl w:ilvl="0" w:tplc="C9A2E710">
      <w:start w:val="1"/>
      <w:numFmt w:val="decimal"/>
      <w:lvlText w:val="%1."/>
      <w:lvlJc w:val="left"/>
      <w:pPr>
        <w:ind w:left="480" w:hanging="360"/>
      </w:pPr>
      <w:rPr>
        <w:rFonts w:hint="default"/>
      </w:rPr>
    </w:lvl>
    <w:lvl w:ilvl="1" w:tplc="30090019" w:tentative="1">
      <w:start w:val="1"/>
      <w:numFmt w:val="lowerLetter"/>
      <w:lvlText w:val="%2."/>
      <w:lvlJc w:val="left"/>
      <w:pPr>
        <w:ind w:left="1200" w:hanging="360"/>
      </w:pPr>
    </w:lvl>
    <w:lvl w:ilvl="2" w:tplc="3009001B" w:tentative="1">
      <w:start w:val="1"/>
      <w:numFmt w:val="lowerRoman"/>
      <w:lvlText w:val="%3."/>
      <w:lvlJc w:val="right"/>
      <w:pPr>
        <w:ind w:left="1920" w:hanging="180"/>
      </w:pPr>
    </w:lvl>
    <w:lvl w:ilvl="3" w:tplc="3009000F" w:tentative="1">
      <w:start w:val="1"/>
      <w:numFmt w:val="decimal"/>
      <w:lvlText w:val="%4."/>
      <w:lvlJc w:val="left"/>
      <w:pPr>
        <w:ind w:left="2640" w:hanging="360"/>
      </w:pPr>
    </w:lvl>
    <w:lvl w:ilvl="4" w:tplc="30090019" w:tentative="1">
      <w:start w:val="1"/>
      <w:numFmt w:val="lowerLetter"/>
      <w:lvlText w:val="%5."/>
      <w:lvlJc w:val="left"/>
      <w:pPr>
        <w:ind w:left="3360" w:hanging="360"/>
      </w:pPr>
    </w:lvl>
    <w:lvl w:ilvl="5" w:tplc="3009001B" w:tentative="1">
      <w:start w:val="1"/>
      <w:numFmt w:val="lowerRoman"/>
      <w:lvlText w:val="%6."/>
      <w:lvlJc w:val="right"/>
      <w:pPr>
        <w:ind w:left="4080" w:hanging="180"/>
      </w:pPr>
    </w:lvl>
    <w:lvl w:ilvl="6" w:tplc="3009000F" w:tentative="1">
      <w:start w:val="1"/>
      <w:numFmt w:val="decimal"/>
      <w:lvlText w:val="%7."/>
      <w:lvlJc w:val="left"/>
      <w:pPr>
        <w:ind w:left="4800" w:hanging="360"/>
      </w:pPr>
    </w:lvl>
    <w:lvl w:ilvl="7" w:tplc="30090019" w:tentative="1">
      <w:start w:val="1"/>
      <w:numFmt w:val="lowerLetter"/>
      <w:lvlText w:val="%8."/>
      <w:lvlJc w:val="left"/>
      <w:pPr>
        <w:ind w:left="5520" w:hanging="360"/>
      </w:pPr>
    </w:lvl>
    <w:lvl w:ilvl="8" w:tplc="3009001B" w:tentative="1">
      <w:start w:val="1"/>
      <w:numFmt w:val="lowerRoman"/>
      <w:lvlText w:val="%9."/>
      <w:lvlJc w:val="right"/>
      <w:pPr>
        <w:ind w:left="6240" w:hanging="180"/>
      </w:pPr>
    </w:lvl>
  </w:abstractNum>
  <w:abstractNum w:abstractNumId="5" w15:restartNumberingAfterBreak="0">
    <w:nsid w:val="6F6F3858"/>
    <w:multiLevelType w:val="hybridMultilevel"/>
    <w:tmpl w:val="A1ACEFE8"/>
    <w:lvl w:ilvl="0" w:tplc="3009001B">
      <w:start w:val="1"/>
      <w:numFmt w:val="lowerRoman"/>
      <w:lvlText w:val="%1."/>
      <w:lvlJc w:val="right"/>
      <w:pPr>
        <w:ind w:left="1571" w:hanging="360"/>
      </w:pPr>
    </w:lvl>
    <w:lvl w:ilvl="1" w:tplc="30090019" w:tentative="1">
      <w:start w:val="1"/>
      <w:numFmt w:val="lowerLetter"/>
      <w:lvlText w:val="%2."/>
      <w:lvlJc w:val="left"/>
      <w:pPr>
        <w:ind w:left="2291" w:hanging="360"/>
      </w:pPr>
    </w:lvl>
    <w:lvl w:ilvl="2" w:tplc="3009001B" w:tentative="1">
      <w:start w:val="1"/>
      <w:numFmt w:val="lowerRoman"/>
      <w:lvlText w:val="%3."/>
      <w:lvlJc w:val="right"/>
      <w:pPr>
        <w:ind w:left="3011" w:hanging="180"/>
      </w:pPr>
    </w:lvl>
    <w:lvl w:ilvl="3" w:tplc="3009000F" w:tentative="1">
      <w:start w:val="1"/>
      <w:numFmt w:val="decimal"/>
      <w:lvlText w:val="%4."/>
      <w:lvlJc w:val="left"/>
      <w:pPr>
        <w:ind w:left="3731" w:hanging="360"/>
      </w:pPr>
    </w:lvl>
    <w:lvl w:ilvl="4" w:tplc="30090019" w:tentative="1">
      <w:start w:val="1"/>
      <w:numFmt w:val="lowerLetter"/>
      <w:lvlText w:val="%5."/>
      <w:lvlJc w:val="left"/>
      <w:pPr>
        <w:ind w:left="4451" w:hanging="360"/>
      </w:pPr>
    </w:lvl>
    <w:lvl w:ilvl="5" w:tplc="3009001B" w:tentative="1">
      <w:start w:val="1"/>
      <w:numFmt w:val="lowerRoman"/>
      <w:lvlText w:val="%6."/>
      <w:lvlJc w:val="right"/>
      <w:pPr>
        <w:ind w:left="5171" w:hanging="180"/>
      </w:pPr>
    </w:lvl>
    <w:lvl w:ilvl="6" w:tplc="3009000F" w:tentative="1">
      <w:start w:val="1"/>
      <w:numFmt w:val="decimal"/>
      <w:lvlText w:val="%7."/>
      <w:lvlJc w:val="left"/>
      <w:pPr>
        <w:ind w:left="5891" w:hanging="360"/>
      </w:pPr>
    </w:lvl>
    <w:lvl w:ilvl="7" w:tplc="30090019" w:tentative="1">
      <w:start w:val="1"/>
      <w:numFmt w:val="lowerLetter"/>
      <w:lvlText w:val="%8."/>
      <w:lvlJc w:val="left"/>
      <w:pPr>
        <w:ind w:left="6611" w:hanging="360"/>
      </w:pPr>
    </w:lvl>
    <w:lvl w:ilvl="8" w:tplc="3009001B" w:tentative="1">
      <w:start w:val="1"/>
      <w:numFmt w:val="lowerRoman"/>
      <w:lvlText w:val="%9."/>
      <w:lvlJc w:val="right"/>
      <w:pPr>
        <w:ind w:left="7331" w:hanging="180"/>
      </w:pPr>
    </w:lvl>
  </w:abstractNum>
  <w:abstractNum w:abstractNumId="6" w15:restartNumberingAfterBreak="0">
    <w:nsid w:val="7EEA24CC"/>
    <w:multiLevelType w:val="hybridMultilevel"/>
    <w:tmpl w:val="9FC0F838"/>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F58"/>
    <w:rsid w:val="0004459F"/>
    <w:rsid w:val="0007078D"/>
    <w:rsid w:val="00085AC3"/>
    <w:rsid w:val="000A3F85"/>
    <w:rsid w:val="00196CF3"/>
    <w:rsid w:val="001C0AAF"/>
    <w:rsid w:val="00205CDC"/>
    <w:rsid w:val="002169C3"/>
    <w:rsid w:val="002252A2"/>
    <w:rsid w:val="0024756E"/>
    <w:rsid w:val="00283907"/>
    <w:rsid w:val="002B40F7"/>
    <w:rsid w:val="002D12E6"/>
    <w:rsid w:val="00335D49"/>
    <w:rsid w:val="0033757B"/>
    <w:rsid w:val="003B51F5"/>
    <w:rsid w:val="00400E26"/>
    <w:rsid w:val="004178DD"/>
    <w:rsid w:val="00467C58"/>
    <w:rsid w:val="004D5F20"/>
    <w:rsid w:val="004F599D"/>
    <w:rsid w:val="005219FD"/>
    <w:rsid w:val="00566C64"/>
    <w:rsid w:val="005E3470"/>
    <w:rsid w:val="006C3461"/>
    <w:rsid w:val="00722D10"/>
    <w:rsid w:val="00743640"/>
    <w:rsid w:val="007811AF"/>
    <w:rsid w:val="0078469B"/>
    <w:rsid w:val="007B6861"/>
    <w:rsid w:val="007D231A"/>
    <w:rsid w:val="0083240E"/>
    <w:rsid w:val="00841BE4"/>
    <w:rsid w:val="008448FA"/>
    <w:rsid w:val="0086202B"/>
    <w:rsid w:val="00890C9E"/>
    <w:rsid w:val="008B0F58"/>
    <w:rsid w:val="008C245D"/>
    <w:rsid w:val="00913543"/>
    <w:rsid w:val="00945BFF"/>
    <w:rsid w:val="00953BB8"/>
    <w:rsid w:val="009B16BA"/>
    <w:rsid w:val="009E1A46"/>
    <w:rsid w:val="00A17D89"/>
    <w:rsid w:val="00A42E2E"/>
    <w:rsid w:val="00A6420A"/>
    <w:rsid w:val="00A70887"/>
    <w:rsid w:val="00A721D8"/>
    <w:rsid w:val="00AA19D1"/>
    <w:rsid w:val="00B3681A"/>
    <w:rsid w:val="00BC057E"/>
    <w:rsid w:val="00BE036A"/>
    <w:rsid w:val="00C27343"/>
    <w:rsid w:val="00D26760"/>
    <w:rsid w:val="00D473C8"/>
    <w:rsid w:val="00D9191A"/>
    <w:rsid w:val="00E14C12"/>
    <w:rsid w:val="00E40EAC"/>
    <w:rsid w:val="00E52DFA"/>
    <w:rsid w:val="00E67703"/>
    <w:rsid w:val="00EB28CF"/>
    <w:rsid w:val="00EC2341"/>
    <w:rsid w:val="00EE6009"/>
    <w:rsid w:val="00F51CFA"/>
    <w:rsid w:val="00F76314"/>
    <w:rsid w:val="00F94000"/>
    <w:rsid w:val="00FE02FD"/>
    <w:rsid w:val="00FE63DA"/>
    <w:rsid w:val="00FF6CD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8E266"/>
  <w15:chartTrackingRefBased/>
  <w15:docId w15:val="{147E6690-A823-4A62-8289-87D6BCF7C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F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F58"/>
  </w:style>
  <w:style w:type="paragraph" w:styleId="Footer">
    <w:name w:val="footer"/>
    <w:basedOn w:val="Normal"/>
    <w:link w:val="FooterChar"/>
    <w:uiPriority w:val="99"/>
    <w:unhideWhenUsed/>
    <w:rsid w:val="008B0F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F58"/>
  </w:style>
  <w:style w:type="paragraph" w:styleId="NoSpacing">
    <w:name w:val="No Spacing"/>
    <w:uiPriority w:val="1"/>
    <w:qFormat/>
    <w:rsid w:val="008B0F58"/>
    <w:pPr>
      <w:spacing w:after="0" w:line="240" w:lineRule="auto"/>
    </w:pPr>
  </w:style>
  <w:style w:type="paragraph" w:styleId="FootnoteText">
    <w:name w:val="footnote text"/>
    <w:basedOn w:val="Normal"/>
    <w:link w:val="FootnoteTextChar"/>
    <w:uiPriority w:val="99"/>
    <w:semiHidden/>
    <w:unhideWhenUsed/>
    <w:rsid w:val="008C24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C245D"/>
    <w:rPr>
      <w:sz w:val="20"/>
      <w:szCs w:val="20"/>
    </w:rPr>
  </w:style>
  <w:style w:type="character" w:styleId="FootnoteReference">
    <w:name w:val="footnote reference"/>
    <w:basedOn w:val="DefaultParagraphFont"/>
    <w:uiPriority w:val="99"/>
    <w:semiHidden/>
    <w:unhideWhenUsed/>
    <w:rsid w:val="008C24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F00B4-F887-4386-8921-49BC3D13A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3317</Words>
  <Characters>18911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CHILIMBE</dc:creator>
  <cp:keywords/>
  <dc:description/>
  <cp:lastModifiedBy>JSC</cp:lastModifiedBy>
  <cp:revision>2</cp:revision>
  <dcterms:created xsi:type="dcterms:W3CDTF">2024-10-18T06:59:00Z</dcterms:created>
  <dcterms:modified xsi:type="dcterms:W3CDTF">2024-10-18T06:59:00Z</dcterms:modified>
</cp:coreProperties>
</file>