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2D54" w14:textId="1EEBD4F4" w:rsidR="00B04BCF" w:rsidRPr="00824F3A" w:rsidRDefault="00B04BCF" w:rsidP="00BB22BF">
      <w:pPr>
        <w:pStyle w:val="NormalWeb"/>
        <w:shd w:val="clear" w:color="auto" w:fill="FFFFFF"/>
        <w:spacing w:before="0" w:beforeAutospacing="0" w:after="0" w:afterAutospacing="0" w:line="276" w:lineRule="auto"/>
        <w:rPr>
          <w:rStyle w:val="Strong"/>
          <w:b w:val="0"/>
          <w:bCs w:val="0"/>
          <w:color w:val="666666"/>
        </w:rPr>
      </w:pPr>
      <w:bookmarkStart w:id="0" w:name="_GoBack"/>
      <w:bookmarkEnd w:id="0"/>
      <w:r w:rsidRPr="00824F3A">
        <w:rPr>
          <w:rStyle w:val="Strong"/>
          <w:b w:val="0"/>
          <w:bCs w:val="0"/>
          <w:color w:val="666666"/>
        </w:rPr>
        <w:t>SIMBARASHE MUTSAHUNI</w:t>
      </w:r>
    </w:p>
    <w:p w14:paraId="5855535B" w14:textId="317D1CBC" w:rsidR="00824F3A" w:rsidRPr="00824F3A" w:rsidRDefault="001A14B0" w:rsidP="00BB22BF">
      <w:pPr>
        <w:pStyle w:val="NormalWeb"/>
        <w:shd w:val="clear" w:color="auto" w:fill="FFFFFF"/>
        <w:spacing w:before="0" w:beforeAutospacing="0" w:after="0" w:afterAutospacing="0" w:line="276" w:lineRule="auto"/>
        <w:rPr>
          <w:rStyle w:val="Strong"/>
          <w:b w:val="0"/>
          <w:bCs w:val="0"/>
          <w:color w:val="666666"/>
        </w:rPr>
      </w:pPr>
      <w:r>
        <w:rPr>
          <w:rStyle w:val="Strong"/>
          <w:b w:val="0"/>
          <w:bCs w:val="0"/>
          <w:color w:val="666666"/>
        </w:rPr>
        <w:t>a</w:t>
      </w:r>
      <w:r w:rsidR="00824F3A" w:rsidRPr="00824F3A">
        <w:rPr>
          <w:rStyle w:val="Strong"/>
          <w:b w:val="0"/>
          <w:bCs w:val="0"/>
          <w:color w:val="666666"/>
        </w:rPr>
        <w:t>nd</w:t>
      </w:r>
    </w:p>
    <w:p w14:paraId="08DAB893" w14:textId="28A7B5F7" w:rsidR="00B04BCF" w:rsidRPr="00824F3A" w:rsidRDefault="00B04BCF" w:rsidP="00BB22BF">
      <w:pPr>
        <w:pStyle w:val="NormalWeb"/>
        <w:shd w:val="clear" w:color="auto" w:fill="FFFFFF"/>
        <w:spacing w:before="0" w:beforeAutospacing="0" w:after="0" w:afterAutospacing="0" w:line="276" w:lineRule="auto"/>
        <w:rPr>
          <w:color w:val="666666"/>
        </w:rPr>
      </w:pPr>
      <w:r w:rsidRPr="00824F3A">
        <w:rPr>
          <w:rStyle w:val="Strong"/>
          <w:b w:val="0"/>
          <w:bCs w:val="0"/>
          <w:color w:val="666666"/>
        </w:rPr>
        <w:t>BONA MUTSAHUNI</w:t>
      </w:r>
      <w:r w:rsidRPr="00824F3A">
        <w:rPr>
          <w:color w:val="666666"/>
        </w:rPr>
        <w:t> </w:t>
      </w:r>
    </w:p>
    <w:p w14:paraId="49E796B3" w14:textId="2B62B5CC" w:rsidR="00B04BCF" w:rsidRPr="00824F3A" w:rsidRDefault="001A14B0" w:rsidP="00BB22BF">
      <w:pPr>
        <w:pStyle w:val="NormalWeb"/>
        <w:shd w:val="clear" w:color="auto" w:fill="FFFFFF"/>
        <w:spacing w:before="0" w:beforeAutospacing="0" w:after="0" w:afterAutospacing="0" w:line="276" w:lineRule="auto"/>
        <w:rPr>
          <w:rStyle w:val="Strong"/>
          <w:b w:val="0"/>
          <w:bCs w:val="0"/>
          <w:color w:val="666666"/>
        </w:rPr>
      </w:pPr>
      <w:r>
        <w:rPr>
          <w:rStyle w:val="Strong"/>
          <w:b w:val="0"/>
          <w:bCs w:val="0"/>
          <w:color w:val="666666"/>
        </w:rPr>
        <w:t>v</w:t>
      </w:r>
      <w:r w:rsidR="00B04BCF" w:rsidRPr="00824F3A">
        <w:rPr>
          <w:rStyle w:val="Strong"/>
          <w:b w:val="0"/>
          <w:bCs w:val="0"/>
          <w:color w:val="666666"/>
        </w:rPr>
        <w:t>ersus</w:t>
      </w:r>
    </w:p>
    <w:p w14:paraId="40137F21" w14:textId="18239395" w:rsidR="00B04BCF" w:rsidRPr="00824F3A" w:rsidRDefault="00B04BCF" w:rsidP="00BB22BF">
      <w:pPr>
        <w:pStyle w:val="NormalWeb"/>
        <w:shd w:val="clear" w:color="auto" w:fill="FFFFFF"/>
        <w:spacing w:before="0" w:beforeAutospacing="0" w:after="0" w:afterAutospacing="0" w:line="276" w:lineRule="auto"/>
        <w:rPr>
          <w:rStyle w:val="Strong"/>
          <w:b w:val="0"/>
          <w:bCs w:val="0"/>
          <w:color w:val="666666"/>
        </w:rPr>
      </w:pPr>
      <w:r w:rsidRPr="00824F3A">
        <w:rPr>
          <w:rStyle w:val="Strong"/>
          <w:b w:val="0"/>
          <w:bCs w:val="0"/>
          <w:color w:val="666666"/>
        </w:rPr>
        <w:t>THE MINISTER OF LANDS AGRICULTURE, FISHERIES</w:t>
      </w:r>
    </w:p>
    <w:p w14:paraId="60255260" w14:textId="52F6728A" w:rsidR="00B04BCF" w:rsidRPr="00824F3A" w:rsidRDefault="00B04BCF" w:rsidP="00BB22BF">
      <w:pPr>
        <w:pStyle w:val="NormalWeb"/>
        <w:shd w:val="clear" w:color="auto" w:fill="FFFFFF"/>
        <w:spacing w:before="0" w:beforeAutospacing="0" w:after="0" w:afterAutospacing="0" w:line="276" w:lineRule="auto"/>
        <w:rPr>
          <w:rStyle w:val="Strong"/>
          <w:b w:val="0"/>
          <w:bCs w:val="0"/>
          <w:color w:val="666666"/>
        </w:rPr>
      </w:pPr>
      <w:r w:rsidRPr="00824F3A">
        <w:rPr>
          <w:rStyle w:val="Strong"/>
          <w:b w:val="0"/>
          <w:bCs w:val="0"/>
          <w:color w:val="666666"/>
        </w:rPr>
        <w:t xml:space="preserve">WATER AND RURAL RESETTLEMENT </w:t>
      </w:r>
    </w:p>
    <w:p w14:paraId="5394F4D1" w14:textId="6494838F" w:rsidR="00824F3A" w:rsidRPr="00824F3A" w:rsidRDefault="001A14B0" w:rsidP="00BB22BF">
      <w:pPr>
        <w:pStyle w:val="NormalWeb"/>
        <w:shd w:val="clear" w:color="auto" w:fill="FFFFFF"/>
        <w:spacing w:before="0" w:beforeAutospacing="0" w:after="0" w:afterAutospacing="0" w:line="276" w:lineRule="auto"/>
        <w:rPr>
          <w:rStyle w:val="Strong"/>
          <w:b w:val="0"/>
          <w:bCs w:val="0"/>
          <w:color w:val="666666"/>
        </w:rPr>
      </w:pPr>
      <w:r>
        <w:rPr>
          <w:rStyle w:val="Strong"/>
          <w:b w:val="0"/>
          <w:bCs w:val="0"/>
          <w:color w:val="666666"/>
        </w:rPr>
        <w:t>a</w:t>
      </w:r>
      <w:r w:rsidR="00824F3A" w:rsidRPr="00824F3A">
        <w:rPr>
          <w:rStyle w:val="Strong"/>
          <w:b w:val="0"/>
          <w:bCs w:val="0"/>
          <w:color w:val="666666"/>
        </w:rPr>
        <w:t>nd</w:t>
      </w:r>
    </w:p>
    <w:p w14:paraId="2FABD4E8" w14:textId="0AB0F47F" w:rsidR="00B04BCF" w:rsidRPr="00824F3A" w:rsidRDefault="00B04BCF" w:rsidP="00BB22BF">
      <w:pPr>
        <w:pStyle w:val="NormalWeb"/>
        <w:shd w:val="clear" w:color="auto" w:fill="FFFFFF"/>
        <w:spacing w:before="0" w:beforeAutospacing="0" w:after="0" w:afterAutospacing="0" w:line="276" w:lineRule="auto"/>
        <w:rPr>
          <w:color w:val="666666"/>
        </w:rPr>
      </w:pPr>
      <w:r w:rsidRPr="00824F3A">
        <w:rPr>
          <w:rStyle w:val="Strong"/>
          <w:b w:val="0"/>
          <w:bCs w:val="0"/>
          <w:color w:val="666666"/>
        </w:rPr>
        <w:t>WASHINGTON MATSAIRA</w:t>
      </w:r>
      <w:r w:rsidRPr="00824F3A">
        <w:rPr>
          <w:color w:val="666666"/>
        </w:rPr>
        <w:t> </w:t>
      </w:r>
    </w:p>
    <w:p w14:paraId="6E139CB9" w14:textId="77777777" w:rsidR="00B04BCF" w:rsidRDefault="00B04BCF" w:rsidP="00BB22BF">
      <w:pPr>
        <w:pStyle w:val="NormalWeb"/>
        <w:shd w:val="clear" w:color="auto" w:fill="FFFFFF"/>
        <w:spacing w:before="0" w:beforeAutospacing="0" w:after="168" w:afterAutospacing="0" w:line="276" w:lineRule="auto"/>
        <w:rPr>
          <w:color w:val="666666"/>
        </w:rPr>
      </w:pPr>
      <w:r w:rsidRPr="00824F3A">
        <w:rPr>
          <w:color w:val="666666"/>
        </w:rPr>
        <w:t> </w:t>
      </w:r>
    </w:p>
    <w:p w14:paraId="3087EF03" w14:textId="77777777" w:rsidR="001A14B0" w:rsidRPr="00824F3A" w:rsidRDefault="001A14B0" w:rsidP="00BB22BF">
      <w:pPr>
        <w:pStyle w:val="NormalWeb"/>
        <w:shd w:val="clear" w:color="auto" w:fill="FFFFFF"/>
        <w:spacing w:before="0" w:beforeAutospacing="0" w:after="168" w:afterAutospacing="0" w:line="276" w:lineRule="auto"/>
        <w:rPr>
          <w:color w:val="666666"/>
        </w:rPr>
      </w:pPr>
    </w:p>
    <w:p w14:paraId="01705A40" w14:textId="39DAB37F" w:rsidR="00B04BCF" w:rsidRPr="00824F3A" w:rsidRDefault="00B04BCF" w:rsidP="00BB22BF">
      <w:pPr>
        <w:pStyle w:val="NormalWeb"/>
        <w:shd w:val="clear" w:color="auto" w:fill="FFFFFF"/>
        <w:spacing w:before="0" w:beforeAutospacing="0" w:after="0" w:afterAutospacing="0" w:line="276" w:lineRule="auto"/>
        <w:rPr>
          <w:color w:val="666666"/>
        </w:rPr>
      </w:pPr>
      <w:r w:rsidRPr="00824F3A">
        <w:rPr>
          <w:color w:val="666666"/>
        </w:rPr>
        <w:t>THE HIGH COURT OF ZIMBABWE</w:t>
      </w:r>
    </w:p>
    <w:p w14:paraId="4E42F23C" w14:textId="282978ED" w:rsidR="00B04BCF" w:rsidRDefault="00B04BCF" w:rsidP="00BB22BF">
      <w:pPr>
        <w:pStyle w:val="NormalWeb"/>
        <w:shd w:val="clear" w:color="auto" w:fill="FFFFFF"/>
        <w:spacing w:before="0" w:beforeAutospacing="0" w:after="0" w:afterAutospacing="0" w:line="276" w:lineRule="auto"/>
        <w:rPr>
          <w:color w:val="666666"/>
        </w:rPr>
      </w:pPr>
      <w:r w:rsidRPr="00824F3A">
        <w:rPr>
          <w:color w:val="666666"/>
        </w:rPr>
        <w:t>MUZOFA J, HARARE</w:t>
      </w:r>
      <w:r w:rsidR="00584927">
        <w:rPr>
          <w:color w:val="666666"/>
        </w:rPr>
        <w:t xml:space="preserve">  23,26 July &amp; 5 August 2021</w:t>
      </w:r>
    </w:p>
    <w:p w14:paraId="7BB47F45" w14:textId="77777777" w:rsidR="00193DC2" w:rsidRDefault="00193DC2" w:rsidP="00BB22BF">
      <w:pPr>
        <w:pStyle w:val="NormalWeb"/>
        <w:shd w:val="clear" w:color="auto" w:fill="FFFFFF"/>
        <w:spacing w:before="0" w:beforeAutospacing="0" w:after="168" w:afterAutospacing="0" w:line="276" w:lineRule="auto"/>
        <w:rPr>
          <w:color w:val="666666"/>
        </w:rPr>
      </w:pPr>
    </w:p>
    <w:p w14:paraId="655E1793" w14:textId="37CBD152" w:rsidR="00193DC2" w:rsidRDefault="00193DC2" w:rsidP="00BB22BF">
      <w:pPr>
        <w:pStyle w:val="NormalWeb"/>
        <w:shd w:val="clear" w:color="auto" w:fill="FFFFFF"/>
        <w:spacing w:before="0" w:beforeAutospacing="0" w:after="0" w:afterAutospacing="0" w:line="276" w:lineRule="auto"/>
        <w:rPr>
          <w:color w:val="666666"/>
        </w:rPr>
      </w:pPr>
      <w:r w:rsidRPr="00193DC2">
        <w:rPr>
          <w:i/>
          <w:color w:val="666666"/>
        </w:rPr>
        <w:t>S. Mukwekwezeke</w:t>
      </w:r>
      <w:r>
        <w:rPr>
          <w:color w:val="666666"/>
        </w:rPr>
        <w:t>, for the applicant</w:t>
      </w:r>
    </w:p>
    <w:p w14:paraId="3F6085A2" w14:textId="38E3969E" w:rsidR="00193DC2" w:rsidRDefault="00193DC2" w:rsidP="00BB22BF">
      <w:pPr>
        <w:pStyle w:val="NormalWeb"/>
        <w:shd w:val="clear" w:color="auto" w:fill="FFFFFF"/>
        <w:spacing w:before="0" w:beforeAutospacing="0" w:after="0" w:afterAutospacing="0" w:line="276" w:lineRule="auto"/>
        <w:rPr>
          <w:color w:val="666666"/>
        </w:rPr>
      </w:pPr>
      <w:r w:rsidRPr="00193DC2">
        <w:rPr>
          <w:i/>
          <w:color w:val="666666"/>
        </w:rPr>
        <w:t>M. A Chimombe</w:t>
      </w:r>
      <w:r>
        <w:rPr>
          <w:color w:val="666666"/>
        </w:rPr>
        <w:t>, for the 1</w:t>
      </w:r>
      <w:r w:rsidRPr="00193DC2">
        <w:rPr>
          <w:color w:val="666666"/>
          <w:vertAlign w:val="superscript"/>
        </w:rPr>
        <w:t>st</w:t>
      </w:r>
      <w:r>
        <w:rPr>
          <w:color w:val="666666"/>
        </w:rPr>
        <w:t xml:space="preserve"> respondent</w:t>
      </w:r>
    </w:p>
    <w:p w14:paraId="56DBD9D8" w14:textId="0E15F714" w:rsidR="00193DC2" w:rsidRPr="00824F3A" w:rsidRDefault="00193DC2" w:rsidP="00BB22BF">
      <w:pPr>
        <w:pStyle w:val="NormalWeb"/>
        <w:shd w:val="clear" w:color="auto" w:fill="FFFFFF"/>
        <w:spacing w:before="0" w:beforeAutospacing="0" w:after="0" w:afterAutospacing="0" w:line="276" w:lineRule="auto"/>
        <w:rPr>
          <w:color w:val="666666"/>
        </w:rPr>
      </w:pPr>
      <w:r w:rsidRPr="00193DC2">
        <w:rPr>
          <w:i/>
          <w:color w:val="666666"/>
        </w:rPr>
        <w:t>K Kachambwa</w:t>
      </w:r>
      <w:r>
        <w:rPr>
          <w:color w:val="666666"/>
        </w:rPr>
        <w:t>, for the 2</w:t>
      </w:r>
      <w:r w:rsidRPr="00193DC2">
        <w:rPr>
          <w:color w:val="666666"/>
          <w:vertAlign w:val="superscript"/>
        </w:rPr>
        <w:t>nd</w:t>
      </w:r>
      <w:r>
        <w:rPr>
          <w:color w:val="666666"/>
        </w:rPr>
        <w:t xml:space="preserve"> respondent.</w:t>
      </w:r>
    </w:p>
    <w:p w14:paraId="1F466FB0" w14:textId="77777777" w:rsidR="00B04BCF" w:rsidRPr="00824F3A" w:rsidRDefault="00B04BCF" w:rsidP="00BB22BF">
      <w:pPr>
        <w:pStyle w:val="NormalWeb"/>
        <w:shd w:val="clear" w:color="auto" w:fill="FFFFFF"/>
        <w:spacing w:before="0" w:beforeAutospacing="0" w:after="168" w:afterAutospacing="0" w:line="276" w:lineRule="auto"/>
        <w:rPr>
          <w:color w:val="666666"/>
        </w:rPr>
      </w:pPr>
      <w:r w:rsidRPr="00824F3A">
        <w:rPr>
          <w:color w:val="666666"/>
        </w:rPr>
        <w:t> </w:t>
      </w:r>
    </w:p>
    <w:p w14:paraId="5BF04BEB" w14:textId="79041AE7" w:rsidR="00E025C8" w:rsidRPr="00E025C8" w:rsidRDefault="00E025C8" w:rsidP="00BB22BF">
      <w:pPr>
        <w:pStyle w:val="NormalWeb"/>
        <w:shd w:val="clear" w:color="auto" w:fill="FFFFFF"/>
        <w:spacing w:before="0" w:beforeAutospacing="0" w:after="168" w:afterAutospacing="0" w:line="276" w:lineRule="auto"/>
        <w:jc w:val="both"/>
        <w:rPr>
          <w:color w:val="666666"/>
        </w:rPr>
      </w:pPr>
      <w:r>
        <w:rPr>
          <w:rStyle w:val="Strong"/>
          <w:color w:val="666666"/>
        </w:rPr>
        <w:t>Urgent Chamber Application</w:t>
      </w:r>
    </w:p>
    <w:p w14:paraId="2C9D6950" w14:textId="698553C5" w:rsidR="00E025C8" w:rsidRPr="00E025C8" w:rsidRDefault="00E025C8" w:rsidP="00BB22BF">
      <w:pPr>
        <w:pStyle w:val="NormalWeb"/>
        <w:spacing w:line="276" w:lineRule="auto"/>
        <w:ind w:firstLine="720"/>
        <w:jc w:val="both"/>
        <w:rPr>
          <w:color w:val="666666"/>
        </w:rPr>
      </w:pPr>
      <w:r w:rsidRPr="00E025C8">
        <w:rPr>
          <w:color w:val="666666"/>
        </w:rPr>
        <w:t>  MUZOFA J: The facts of this case are largely common cause. The applicants</w:t>
      </w:r>
      <w:r w:rsidR="00E92183">
        <w:rPr>
          <w:color w:val="666666"/>
        </w:rPr>
        <w:t xml:space="preserve"> are beneficiaries of the land reform programme. They were issued with </w:t>
      </w:r>
      <w:r w:rsidRPr="00E025C8">
        <w:rPr>
          <w:color w:val="666666"/>
        </w:rPr>
        <w:t>an offer letter on 22 June 2017 by the 1</w:t>
      </w:r>
      <w:r w:rsidRPr="00E025C8">
        <w:rPr>
          <w:color w:val="666666"/>
          <w:vertAlign w:val="superscript"/>
        </w:rPr>
        <w:t>st</w:t>
      </w:r>
      <w:r w:rsidR="005236A2">
        <w:rPr>
          <w:color w:val="666666"/>
        </w:rPr>
        <w:t xml:space="preserve"> respondent  </w:t>
      </w:r>
      <w:r w:rsidR="00E92183">
        <w:rPr>
          <w:color w:val="666666"/>
        </w:rPr>
        <w:t>over</w:t>
      </w:r>
      <w:r w:rsidR="005236A2">
        <w:rPr>
          <w:color w:val="666666"/>
        </w:rPr>
        <w:t xml:space="preserve"> a farm</w:t>
      </w:r>
      <w:r w:rsidRPr="00E025C8">
        <w:rPr>
          <w:color w:val="666666"/>
        </w:rPr>
        <w:t xml:space="preserve"> known as subdivision consolidation of RE of Sigaro Farm and Gwebi Wood of Sigaro Farm in the District of Mazowe in Mashonaland Province measuring 1 804 hectares</w:t>
      </w:r>
      <w:r w:rsidR="008B68C3">
        <w:rPr>
          <w:color w:val="666666"/>
        </w:rPr>
        <w:t xml:space="preserve"> ‘the farm’</w:t>
      </w:r>
      <w:r w:rsidRPr="00E025C8">
        <w:rPr>
          <w:color w:val="666666"/>
        </w:rPr>
        <w:t xml:space="preserve">. </w:t>
      </w:r>
      <w:r w:rsidR="00E92183">
        <w:rPr>
          <w:color w:val="666666"/>
        </w:rPr>
        <w:t>In due course they</w:t>
      </w:r>
      <w:r w:rsidRPr="00E025C8">
        <w:rPr>
          <w:color w:val="666666"/>
        </w:rPr>
        <w:t xml:space="preserve"> were served with a notice of intention to withdraw the offer letter. Despite objections raised, the 1</w:t>
      </w:r>
      <w:r w:rsidRPr="00E025C8">
        <w:rPr>
          <w:color w:val="666666"/>
          <w:vertAlign w:val="superscript"/>
        </w:rPr>
        <w:t>st</w:t>
      </w:r>
      <w:r w:rsidRPr="00E025C8">
        <w:rPr>
          <w:color w:val="666666"/>
        </w:rPr>
        <w:t xml:space="preserve"> respondent withdrew the offer letter. The applicants were issued with another offer letter over subdivision 1 on RE of Sigaro in Mazowe District Mashonaland Central Province</w:t>
      </w:r>
      <w:r w:rsidR="006C5582">
        <w:rPr>
          <w:color w:val="666666"/>
        </w:rPr>
        <w:t xml:space="preserve"> measuring</w:t>
      </w:r>
      <w:r w:rsidRPr="00E025C8">
        <w:rPr>
          <w:color w:val="666666"/>
        </w:rPr>
        <w:t xml:space="preserve"> approximately 488 hectares in extent.</w:t>
      </w:r>
    </w:p>
    <w:p w14:paraId="35FEF6A5" w14:textId="4BB9E48A" w:rsidR="00E025C8" w:rsidRPr="00E025C8" w:rsidRDefault="00E025C8" w:rsidP="00BB22BF">
      <w:pPr>
        <w:pStyle w:val="NormalWeb"/>
        <w:spacing w:line="276" w:lineRule="auto"/>
        <w:ind w:firstLine="720"/>
        <w:jc w:val="both"/>
        <w:rPr>
          <w:color w:val="666666"/>
        </w:rPr>
      </w:pPr>
      <w:r w:rsidRPr="00E025C8">
        <w:rPr>
          <w:color w:val="666666"/>
        </w:rPr>
        <w:t>Dissatisfied by the decision to withdraw the offer letter the applicants filed an application for review under</w:t>
      </w:r>
      <w:r w:rsidR="005236A2">
        <w:rPr>
          <w:color w:val="666666"/>
        </w:rPr>
        <w:t xml:space="preserve"> HC</w:t>
      </w:r>
      <w:r w:rsidRPr="00E025C8">
        <w:rPr>
          <w:color w:val="666666"/>
        </w:rPr>
        <w:t xml:space="preserve"> 2370/21 for the setting aside of the decision to withdraw the offer letter</w:t>
      </w:r>
      <w:r w:rsidR="00E92183">
        <w:rPr>
          <w:color w:val="666666"/>
        </w:rPr>
        <w:t xml:space="preserve"> on the </w:t>
      </w:r>
      <w:r w:rsidR="00E92183" w:rsidRPr="00E025C8">
        <w:rPr>
          <w:color w:val="666666"/>
        </w:rPr>
        <w:t>19</w:t>
      </w:r>
      <w:r w:rsidR="00E92183" w:rsidRPr="00E92183">
        <w:rPr>
          <w:color w:val="666666"/>
          <w:vertAlign w:val="superscript"/>
        </w:rPr>
        <w:t>th</w:t>
      </w:r>
      <w:r w:rsidR="00E92183">
        <w:rPr>
          <w:color w:val="666666"/>
        </w:rPr>
        <w:t xml:space="preserve"> of</w:t>
      </w:r>
      <w:r w:rsidRPr="00E025C8">
        <w:rPr>
          <w:color w:val="666666"/>
        </w:rPr>
        <w:t xml:space="preserve"> May 2021.The following day the 20</w:t>
      </w:r>
      <w:r w:rsidRPr="00E025C8">
        <w:rPr>
          <w:color w:val="666666"/>
          <w:vertAlign w:val="superscript"/>
        </w:rPr>
        <w:t>th</w:t>
      </w:r>
      <w:r w:rsidRPr="00E025C8">
        <w:rPr>
          <w:color w:val="666666"/>
        </w:rPr>
        <w:t xml:space="preserve"> of May 2021 the applicants filed an urgent chamber application to interdict the 1</w:t>
      </w:r>
      <w:r w:rsidRPr="00E025C8">
        <w:rPr>
          <w:color w:val="666666"/>
          <w:vertAlign w:val="superscript"/>
        </w:rPr>
        <w:t>st</w:t>
      </w:r>
      <w:r w:rsidRPr="00E025C8">
        <w:rPr>
          <w:color w:val="666666"/>
        </w:rPr>
        <w:t xml:space="preserve"> respondent from enforcing the </w:t>
      </w:r>
      <w:r w:rsidR="005236A2" w:rsidRPr="00E025C8">
        <w:rPr>
          <w:color w:val="666666"/>
        </w:rPr>
        <w:t xml:space="preserve">withdrawal </w:t>
      </w:r>
      <w:r w:rsidR="005236A2">
        <w:rPr>
          <w:color w:val="666666"/>
        </w:rPr>
        <w:t xml:space="preserve">letter </w:t>
      </w:r>
      <w:r w:rsidRPr="00E025C8">
        <w:rPr>
          <w:color w:val="666666"/>
        </w:rPr>
        <w:t>and the suspension of any offer letter</w:t>
      </w:r>
      <w:r w:rsidR="005236A2">
        <w:rPr>
          <w:color w:val="666666"/>
        </w:rPr>
        <w:t>s</w:t>
      </w:r>
      <w:r w:rsidRPr="00E025C8">
        <w:rPr>
          <w:color w:val="666666"/>
        </w:rPr>
        <w:t xml:space="preserve"> issued over the farm under HC2438/21. The application was </w:t>
      </w:r>
      <w:r w:rsidR="005236A2" w:rsidRPr="00E025C8">
        <w:rPr>
          <w:color w:val="666666"/>
        </w:rPr>
        <w:t>dismissed. According</w:t>
      </w:r>
      <w:r w:rsidRPr="00E025C8">
        <w:rPr>
          <w:color w:val="666666"/>
        </w:rPr>
        <w:t xml:space="preserve"> to the applicant</w:t>
      </w:r>
      <w:r w:rsidR="00E92183">
        <w:rPr>
          <w:color w:val="666666"/>
        </w:rPr>
        <w:t>s,</w:t>
      </w:r>
      <w:r w:rsidRPr="00E025C8">
        <w:rPr>
          <w:color w:val="666666"/>
        </w:rPr>
        <w:t xml:space="preserve"> which facts are disputed the 1</w:t>
      </w:r>
      <w:r w:rsidRPr="00E025C8">
        <w:rPr>
          <w:color w:val="666666"/>
          <w:vertAlign w:val="superscript"/>
        </w:rPr>
        <w:t>st</w:t>
      </w:r>
      <w:r w:rsidRPr="00E025C8">
        <w:rPr>
          <w:color w:val="666666"/>
        </w:rPr>
        <w:t xml:space="preserve"> respondent has commenced subdividing the farm and is likely to issue offer letters to other farmers </w:t>
      </w:r>
      <w:r w:rsidR="00BB22BF">
        <w:rPr>
          <w:color w:val="666666"/>
        </w:rPr>
        <w:t>who</w:t>
      </w:r>
      <w:r w:rsidRPr="00E025C8">
        <w:rPr>
          <w:color w:val="666666"/>
        </w:rPr>
        <w:t xml:space="preserve"> may</w:t>
      </w:r>
      <w:r w:rsidR="00E92183">
        <w:rPr>
          <w:color w:val="666666"/>
        </w:rPr>
        <w:t xml:space="preserve"> disrupt </w:t>
      </w:r>
      <w:r w:rsidR="00BB22BF">
        <w:rPr>
          <w:color w:val="666666"/>
        </w:rPr>
        <w:t>their</w:t>
      </w:r>
      <w:r w:rsidR="00E92183">
        <w:rPr>
          <w:color w:val="666666"/>
        </w:rPr>
        <w:t xml:space="preserve"> farming activities.</w:t>
      </w:r>
      <w:r w:rsidRPr="00E025C8">
        <w:rPr>
          <w:color w:val="666666"/>
        </w:rPr>
        <w:t xml:space="preserve"> In addition the 2</w:t>
      </w:r>
      <w:r w:rsidRPr="00E025C8">
        <w:rPr>
          <w:color w:val="666666"/>
          <w:vertAlign w:val="superscript"/>
        </w:rPr>
        <w:t>nd</w:t>
      </w:r>
      <w:r w:rsidRPr="00E025C8">
        <w:rPr>
          <w:color w:val="666666"/>
        </w:rPr>
        <w:t xml:space="preserve"> </w:t>
      </w:r>
      <w:r w:rsidR="00BB22BF" w:rsidRPr="00E025C8">
        <w:rPr>
          <w:color w:val="666666"/>
        </w:rPr>
        <w:t>respondent unlawfully</w:t>
      </w:r>
      <w:r w:rsidRPr="00E025C8">
        <w:rPr>
          <w:color w:val="666666"/>
        </w:rPr>
        <w:t xml:space="preserve"> evic</w:t>
      </w:r>
      <w:r w:rsidR="00E92183">
        <w:rPr>
          <w:color w:val="666666"/>
        </w:rPr>
        <w:t>ted their workers from the farm</w:t>
      </w:r>
      <w:r w:rsidRPr="00E025C8">
        <w:rPr>
          <w:color w:val="666666"/>
        </w:rPr>
        <w:t>. On those facts the applicants seek to interdict the 1</w:t>
      </w:r>
      <w:r w:rsidRPr="00E025C8">
        <w:rPr>
          <w:color w:val="666666"/>
          <w:vertAlign w:val="superscript"/>
        </w:rPr>
        <w:t>st</w:t>
      </w:r>
      <w:r w:rsidRPr="00E025C8">
        <w:rPr>
          <w:color w:val="666666"/>
        </w:rPr>
        <w:t xml:space="preserve"> respondent from enforcing the withdrawal letter pending the determination of the application for review and </w:t>
      </w:r>
      <w:r w:rsidR="005236A2">
        <w:rPr>
          <w:color w:val="666666"/>
        </w:rPr>
        <w:t xml:space="preserve">an application under HC 3019/21 </w:t>
      </w:r>
      <w:r w:rsidR="00E92183">
        <w:rPr>
          <w:color w:val="666666"/>
        </w:rPr>
        <w:t>and spoliatory</w:t>
      </w:r>
      <w:r w:rsidR="005236A2">
        <w:rPr>
          <w:color w:val="666666"/>
        </w:rPr>
        <w:t xml:space="preserve"> relief against the 2</w:t>
      </w:r>
      <w:r w:rsidR="005236A2" w:rsidRPr="005236A2">
        <w:rPr>
          <w:color w:val="666666"/>
          <w:vertAlign w:val="superscript"/>
        </w:rPr>
        <w:t>nd</w:t>
      </w:r>
      <w:r w:rsidR="005236A2">
        <w:rPr>
          <w:color w:val="666666"/>
        </w:rPr>
        <w:t xml:space="preserve"> respondent.</w:t>
      </w:r>
    </w:p>
    <w:p w14:paraId="1148F096" w14:textId="6FAA11C7" w:rsidR="00E025C8" w:rsidRPr="00E025C8" w:rsidRDefault="005236A2" w:rsidP="00BB22BF">
      <w:pPr>
        <w:pStyle w:val="NormalWeb"/>
        <w:spacing w:line="276" w:lineRule="auto"/>
        <w:ind w:firstLine="720"/>
        <w:jc w:val="both"/>
        <w:rPr>
          <w:color w:val="666666"/>
        </w:rPr>
      </w:pPr>
      <w:r>
        <w:rPr>
          <w:color w:val="666666"/>
        </w:rPr>
        <w:lastRenderedPageBreak/>
        <w:t>Both respondents raised preliminary points in their opposing affidavits. On the day of hearing of the matter, the 1</w:t>
      </w:r>
      <w:r w:rsidRPr="005236A2">
        <w:rPr>
          <w:color w:val="666666"/>
          <w:vertAlign w:val="superscript"/>
        </w:rPr>
        <w:t>st</w:t>
      </w:r>
      <w:r>
        <w:rPr>
          <w:color w:val="666666"/>
        </w:rPr>
        <w:t xml:space="preserve"> respondent abandoned the preliminary points.</w:t>
      </w:r>
      <w:r w:rsidR="00E025C8" w:rsidRPr="00E025C8">
        <w:rPr>
          <w:color w:val="666666"/>
        </w:rPr>
        <w:t xml:space="preserve"> The</w:t>
      </w:r>
      <w:r w:rsidR="00BB22BF">
        <w:rPr>
          <w:color w:val="666666"/>
        </w:rPr>
        <w:t xml:space="preserve"> 2</w:t>
      </w:r>
      <w:r w:rsidR="00BB22BF" w:rsidRPr="00BB22BF">
        <w:rPr>
          <w:color w:val="666666"/>
          <w:vertAlign w:val="superscript"/>
        </w:rPr>
        <w:t>nd</w:t>
      </w:r>
      <w:r w:rsidR="00BB22BF">
        <w:rPr>
          <w:color w:val="666666"/>
        </w:rPr>
        <w:t xml:space="preserve"> </w:t>
      </w:r>
      <w:r w:rsidR="00BB22BF" w:rsidRPr="00E025C8">
        <w:rPr>
          <w:color w:val="666666"/>
        </w:rPr>
        <w:t>respondent</w:t>
      </w:r>
      <w:r w:rsidR="00E025C8" w:rsidRPr="00E025C8">
        <w:rPr>
          <w:color w:val="666666"/>
        </w:rPr>
        <w:t xml:space="preserve"> raised </w:t>
      </w:r>
      <w:r>
        <w:rPr>
          <w:color w:val="666666"/>
        </w:rPr>
        <w:t>the point that the matter is not urgent and that</w:t>
      </w:r>
      <w:r w:rsidR="00E92183">
        <w:rPr>
          <w:color w:val="666666"/>
        </w:rPr>
        <w:t xml:space="preserve"> the</w:t>
      </w:r>
      <w:r>
        <w:rPr>
          <w:color w:val="666666"/>
        </w:rPr>
        <w:t xml:space="preserve"> court is functus officio.</w:t>
      </w:r>
    </w:p>
    <w:p w14:paraId="184DFFC1" w14:textId="77777777" w:rsidR="00070920" w:rsidRPr="00070920" w:rsidRDefault="00070920" w:rsidP="00BB22BF">
      <w:pPr>
        <w:pStyle w:val="NormalWeb"/>
        <w:spacing w:line="276" w:lineRule="auto"/>
        <w:ind w:firstLine="720"/>
        <w:jc w:val="both"/>
        <w:rPr>
          <w:i/>
          <w:color w:val="666666"/>
        </w:rPr>
      </w:pPr>
      <w:r>
        <w:rPr>
          <w:color w:val="666666"/>
        </w:rPr>
        <w:t xml:space="preserve">Whether the court is </w:t>
      </w:r>
      <w:r w:rsidRPr="00070920">
        <w:rPr>
          <w:i/>
          <w:color w:val="666666"/>
        </w:rPr>
        <w:t>functus officio</w:t>
      </w:r>
    </w:p>
    <w:p w14:paraId="36425966" w14:textId="035951BB" w:rsidR="00E025C8" w:rsidRPr="00E025C8" w:rsidRDefault="00E025C8" w:rsidP="00BB22BF">
      <w:pPr>
        <w:pStyle w:val="NormalWeb"/>
        <w:spacing w:line="276" w:lineRule="auto"/>
        <w:ind w:firstLine="720"/>
        <w:jc w:val="both"/>
        <w:rPr>
          <w:color w:val="666666"/>
        </w:rPr>
      </w:pPr>
      <w:r w:rsidRPr="00E025C8">
        <w:rPr>
          <w:color w:val="666666"/>
        </w:rPr>
        <w:t xml:space="preserve">I must address the issue whether the court is </w:t>
      </w:r>
      <w:r w:rsidRPr="00E025C8">
        <w:rPr>
          <w:i/>
          <w:color w:val="666666"/>
        </w:rPr>
        <w:t>functus officio</w:t>
      </w:r>
      <w:r w:rsidRPr="00E025C8">
        <w:rPr>
          <w:color w:val="666666"/>
        </w:rPr>
        <w:t xml:space="preserve"> first before delving into the question of urgency because if the court cannot be seized with the matter it is barred from considering any issues in respect of the matter.</w:t>
      </w:r>
    </w:p>
    <w:p w14:paraId="2A6C6CA8" w14:textId="2941A818" w:rsidR="00E025C8" w:rsidRDefault="00E025C8" w:rsidP="00BB22BF">
      <w:pPr>
        <w:pStyle w:val="NormalWeb"/>
        <w:spacing w:line="276" w:lineRule="auto"/>
        <w:ind w:firstLine="720"/>
        <w:jc w:val="both"/>
        <w:rPr>
          <w:color w:val="666666"/>
          <w:lang w:val="en-ZW"/>
        </w:rPr>
      </w:pPr>
      <w:r w:rsidRPr="00E025C8">
        <w:rPr>
          <w:color w:val="666666"/>
        </w:rPr>
        <w:t>It was submitted that after the applicants’ offer letter was withdrawn they approached the court on an urgent basis seeking to interdict the 1</w:t>
      </w:r>
      <w:r w:rsidRPr="00E025C8">
        <w:rPr>
          <w:color w:val="666666"/>
          <w:vertAlign w:val="superscript"/>
        </w:rPr>
        <w:t>st</w:t>
      </w:r>
      <w:r w:rsidRPr="00E025C8">
        <w:rPr>
          <w:color w:val="666666"/>
        </w:rPr>
        <w:t xml:space="preserve"> respondent from enforcing the withdrawal. The court dismissed the application after hearing </w:t>
      </w:r>
      <w:r w:rsidR="00F6052C" w:rsidRPr="00E025C8">
        <w:rPr>
          <w:color w:val="666666"/>
        </w:rPr>
        <w:t>argument</w:t>
      </w:r>
      <w:r w:rsidR="00F6052C">
        <w:rPr>
          <w:color w:val="666666"/>
        </w:rPr>
        <w:t xml:space="preserve">. A final order was granted on the merits. </w:t>
      </w:r>
      <w:r w:rsidR="00F6052C" w:rsidRPr="00E025C8">
        <w:rPr>
          <w:color w:val="666666"/>
        </w:rPr>
        <w:t>The</w:t>
      </w:r>
      <w:r w:rsidRPr="00E025C8">
        <w:rPr>
          <w:color w:val="666666"/>
        </w:rPr>
        <w:t xml:space="preserve"> court cannot hear argument on the same issue</w:t>
      </w:r>
      <w:r w:rsidR="00F6052C">
        <w:rPr>
          <w:color w:val="666666"/>
        </w:rPr>
        <w:t xml:space="preserve">, it is </w:t>
      </w:r>
      <w:r w:rsidR="00F6052C" w:rsidRPr="00F6052C">
        <w:rPr>
          <w:i/>
          <w:color w:val="666666"/>
        </w:rPr>
        <w:t>functus officio</w:t>
      </w:r>
      <w:r w:rsidR="00F6052C" w:rsidRPr="00E025C8">
        <w:rPr>
          <w:color w:val="666666"/>
        </w:rPr>
        <w:t xml:space="preserve">. </w:t>
      </w:r>
      <w:r w:rsidRPr="00E025C8">
        <w:rPr>
          <w:color w:val="666666"/>
        </w:rPr>
        <w:t xml:space="preserve">I was referred to the case of </w:t>
      </w:r>
      <w:r w:rsidRPr="00F6052C">
        <w:rPr>
          <w:i/>
          <w:color w:val="666666"/>
        </w:rPr>
        <w:t>ZESA V Utah</w:t>
      </w:r>
      <w:r w:rsidRPr="00E025C8">
        <w:rPr>
          <w:color w:val="666666"/>
          <w:vertAlign w:val="superscript"/>
        </w:rPr>
        <w:footnoteReference w:id="1"/>
      </w:r>
      <w:r w:rsidRPr="00E025C8">
        <w:rPr>
          <w:color w:val="666666"/>
        </w:rPr>
        <w:t xml:space="preserve">  as authority for that proposition. It was argued that issue estoppel applies in this case on the authority of </w:t>
      </w:r>
      <w:r w:rsidRPr="00F6052C">
        <w:rPr>
          <w:i/>
          <w:color w:val="666666"/>
        </w:rPr>
        <w:t>Galante v Galante</w:t>
      </w:r>
      <w:r w:rsidRPr="00E025C8">
        <w:rPr>
          <w:color w:val="666666"/>
        </w:rPr>
        <w:t xml:space="preserve"> </w:t>
      </w:r>
      <w:r w:rsidRPr="00E025C8">
        <w:rPr>
          <w:color w:val="666666"/>
          <w:vertAlign w:val="superscript"/>
        </w:rPr>
        <w:footnoteReference w:id="2"/>
      </w:r>
      <w:r w:rsidRPr="00E025C8">
        <w:rPr>
          <w:color w:val="666666"/>
        </w:rPr>
        <w:t xml:space="preserve"> </w:t>
      </w:r>
      <w:r w:rsidR="00F6052C">
        <w:rPr>
          <w:color w:val="666666"/>
        </w:rPr>
        <w:t>.</w:t>
      </w:r>
      <w:r w:rsidRPr="00E025C8">
        <w:rPr>
          <w:color w:val="666666"/>
        </w:rPr>
        <w:t xml:space="preserve"> For the applicant it was submitted that the court is not </w:t>
      </w:r>
      <w:r w:rsidRPr="00E025C8">
        <w:rPr>
          <w:i/>
          <w:color w:val="666666"/>
        </w:rPr>
        <w:t>functus officio</w:t>
      </w:r>
      <w:r w:rsidRPr="00E025C8">
        <w:rPr>
          <w:color w:val="666666"/>
        </w:rPr>
        <w:t xml:space="preserve">. Although </w:t>
      </w:r>
      <w:r w:rsidRPr="00E025C8">
        <w:rPr>
          <w:i/>
          <w:color w:val="666666"/>
        </w:rPr>
        <w:t>Mr Mukwekwezeke</w:t>
      </w:r>
      <w:r w:rsidRPr="00E025C8">
        <w:rPr>
          <w:color w:val="666666"/>
        </w:rPr>
        <w:t xml:space="preserve"> conceded that the re</w:t>
      </w:r>
      <w:r w:rsidR="00B05BFF">
        <w:rPr>
          <w:color w:val="666666"/>
        </w:rPr>
        <w:t>lief sought is similar</w:t>
      </w:r>
      <w:r w:rsidRPr="00E025C8">
        <w:rPr>
          <w:color w:val="666666"/>
        </w:rPr>
        <w:t xml:space="preserve"> he argued that the issues for determination are </w:t>
      </w:r>
      <w:r w:rsidR="008B68C3" w:rsidRPr="00E025C8">
        <w:rPr>
          <w:color w:val="666666"/>
        </w:rPr>
        <w:t>different.</w:t>
      </w:r>
      <w:r w:rsidR="008B68C3">
        <w:rPr>
          <w:color w:val="666666"/>
        </w:rPr>
        <w:t xml:space="preserve"> Subsequent </w:t>
      </w:r>
      <w:r w:rsidR="00E92183">
        <w:rPr>
          <w:color w:val="666666"/>
        </w:rPr>
        <w:t xml:space="preserve">developments took place </w:t>
      </w:r>
      <w:r w:rsidR="008B68C3">
        <w:rPr>
          <w:color w:val="666666"/>
        </w:rPr>
        <w:t xml:space="preserve">after the dismissal of </w:t>
      </w:r>
      <w:r w:rsidR="00E92183">
        <w:rPr>
          <w:color w:val="666666"/>
        </w:rPr>
        <w:t>the first matter. The</w:t>
      </w:r>
      <w:r w:rsidR="008B68C3">
        <w:rPr>
          <w:color w:val="666666"/>
        </w:rPr>
        <w:t xml:space="preserve"> 1</w:t>
      </w:r>
      <w:r w:rsidR="008B68C3" w:rsidRPr="008B68C3">
        <w:rPr>
          <w:color w:val="666666"/>
          <w:vertAlign w:val="superscript"/>
        </w:rPr>
        <w:t>st</w:t>
      </w:r>
      <w:r w:rsidR="008B68C3">
        <w:rPr>
          <w:color w:val="666666"/>
        </w:rPr>
        <w:t xml:space="preserve"> respondent has commenced subdividing the farm</w:t>
      </w:r>
      <w:r w:rsidR="00E92183">
        <w:rPr>
          <w:color w:val="666666"/>
        </w:rPr>
        <w:t xml:space="preserve"> which had not taken place then.</w:t>
      </w:r>
      <w:r w:rsidR="00F6052C">
        <w:rPr>
          <w:color w:val="666666"/>
        </w:rPr>
        <w:t xml:space="preserve"> He did not dispute that the matter was heard on the merits but insisted that the</w:t>
      </w:r>
      <w:r w:rsidR="00BB22BF">
        <w:rPr>
          <w:color w:val="666666"/>
        </w:rPr>
        <w:t xml:space="preserve"> application was dismissed because it had been filed prematurely.</w:t>
      </w:r>
      <w:r w:rsidR="00F6052C">
        <w:rPr>
          <w:color w:val="666666"/>
        </w:rPr>
        <w:t xml:space="preserve"> </w:t>
      </w:r>
      <w:r w:rsidRPr="00E025C8">
        <w:rPr>
          <w:color w:val="666666"/>
          <w:lang w:val="en-ZW"/>
        </w:rPr>
        <w:t xml:space="preserve"> </w:t>
      </w:r>
    </w:p>
    <w:p w14:paraId="2DB865AE" w14:textId="14EC71EA" w:rsidR="008B68C3" w:rsidRDefault="00B05BFF" w:rsidP="00BB22BF">
      <w:pPr>
        <w:pStyle w:val="NormalWeb"/>
        <w:spacing w:line="276" w:lineRule="auto"/>
        <w:ind w:firstLine="720"/>
        <w:jc w:val="both"/>
        <w:rPr>
          <w:color w:val="666666"/>
          <w:lang w:val="en-ZW"/>
        </w:rPr>
      </w:pPr>
      <w:r>
        <w:rPr>
          <w:color w:val="666666"/>
          <w:lang w:val="en-ZW"/>
        </w:rPr>
        <w:t xml:space="preserve">In determining whether the court is </w:t>
      </w:r>
      <w:r w:rsidRPr="00B05BFF">
        <w:rPr>
          <w:i/>
          <w:color w:val="666666"/>
          <w:lang w:val="en-ZW"/>
        </w:rPr>
        <w:t>functus officio</w:t>
      </w:r>
      <w:r>
        <w:rPr>
          <w:color w:val="666666"/>
          <w:lang w:val="en-ZW"/>
        </w:rPr>
        <w:t xml:space="preserve">, the court </w:t>
      </w:r>
      <w:r w:rsidR="00BB22BF">
        <w:rPr>
          <w:color w:val="666666"/>
          <w:lang w:val="en-ZW"/>
        </w:rPr>
        <w:t>must</w:t>
      </w:r>
      <w:r>
        <w:rPr>
          <w:color w:val="666666"/>
          <w:lang w:val="en-ZW"/>
        </w:rPr>
        <w:t xml:space="preserve"> invariably consider whether the matter is </w:t>
      </w:r>
      <w:r w:rsidRPr="00B05BFF">
        <w:rPr>
          <w:i/>
          <w:color w:val="666666"/>
          <w:lang w:val="en-ZW"/>
        </w:rPr>
        <w:t>res judicata</w:t>
      </w:r>
      <w:r>
        <w:rPr>
          <w:color w:val="666666"/>
          <w:lang w:val="en-ZW"/>
        </w:rPr>
        <w:t>.</w:t>
      </w:r>
      <w:r w:rsidRPr="00B05BFF">
        <w:rPr>
          <w:rFonts w:ascii="Helvetica" w:hAnsi="Helvetica" w:cs="Helvetica"/>
          <w:color w:val="666666"/>
          <w:sz w:val="26"/>
          <w:szCs w:val="26"/>
          <w:lang w:val="en-ZW" w:eastAsia="en-ZW"/>
        </w:rPr>
        <w:t xml:space="preserve"> </w:t>
      </w:r>
      <w:r w:rsidRPr="00B05BFF">
        <w:rPr>
          <w:color w:val="666666"/>
          <w:lang w:val="en-ZW"/>
        </w:rPr>
        <w:t>The requirements for this plea are settled. For on</w:t>
      </w:r>
      <w:r w:rsidR="00974944">
        <w:rPr>
          <w:color w:val="666666"/>
          <w:lang w:val="en-ZW"/>
        </w:rPr>
        <w:t xml:space="preserve">e to succeed </w:t>
      </w:r>
      <w:r w:rsidR="00E92183">
        <w:rPr>
          <w:color w:val="666666"/>
          <w:lang w:val="en-ZW"/>
        </w:rPr>
        <w:t>he</w:t>
      </w:r>
      <w:r w:rsidR="00974944">
        <w:rPr>
          <w:color w:val="666666"/>
          <w:lang w:val="en-ZW"/>
        </w:rPr>
        <w:t xml:space="preserve"> must show that the </w:t>
      </w:r>
      <w:r w:rsidR="00974944" w:rsidRPr="00B05BFF">
        <w:rPr>
          <w:color w:val="666666"/>
          <w:lang w:val="en-ZW"/>
        </w:rPr>
        <w:t>action</w:t>
      </w:r>
      <w:r w:rsidRPr="00B05BFF">
        <w:rPr>
          <w:color w:val="666666"/>
          <w:lang w:val="en-ZW"/>
        </w:rPr>
        <w:t xml:space="preserve"> is between the same </w:t>
      </w:r>
      <w:r w:rsidR="00974944" w:rsidRPr="00B05BFF">
        <w:rPr>
          <w:color w:val="666666"/>
          <w:lang w:val="en-ZW"/>
        </w:rPr>
        <w:t>parties</w:t>
      </w:r>
      <w:r w:rsidR="00974944">
        <w:rPr>
          <w:color w:val="666666"/>
          <w:lang w:val="en-ZW"/>
        </w:rPr>
        <w:t xml:space="preserve">, </w:t>
      </w:r>
      <w:r w:rsidR="00974944" w:rsidRPr="00B05BFF">
        <w:rPr>
          <w:color w:val="666666"/>
          <w:lang w:val="en-ZW"/>
        </w:rPr>
        <w:t>the</w:t>
      </w:r>
      <w:r w:rsidRPr="00B05BFF">
        <w:rPr>
          <w:color w:val="666666"/>
          <w:lang w:val="en-ZW"/>
        </w:rPr>
        <w:t xml:space="preserve"> actions must concern the same subject matter</w:t>
      </w:r>
      <w:r w:rsidR="00974944">
        <w:rPr>
          <w:color w:val="666666"/>
          <w:lang w:val="en-ZW"/>
        </w:rPr>
        <w:t xml:space="preserve"> and the</w:t>
      </w:r>
      <w:r w:rsidRPr="00B05BFF">
        <w:rPr>
          <w:color w:val="666666"/>
          <w:lang w:val="en-ZW"/>
        </w:rPr>
        <w:t xml:space="preserve"> actions must be founde</w:t>
      </w:r>
      <w:r w:rsidR="00974944">
        <w:rPr>
          <w:color w:val="666666"/>
          <w:lang w:val="en-ZW"/>
        </w:rPr>
        <w:t>d upon the same cause of action</w:t>
      </w:r>
      <w:r w:rsidR="007D4DE9">
        <w:rPr>
          <w:color w:val="666666"/>
          <w:lang w:val="en-ZW"/>
        </w:rPr>
        <w:t>.</w:t>
      </w:r>
      <w:r w:rsidR="00974944">
        <w:rPr>
          <w:color w:val="666666"/>
          <w:lang w:val="en-ZW"/>
        </w:rPr>
        <w:t xml:space="preserve"> </w:t>
      </w:r>
      <w:r w:rsidRPr="00B05BFF">
        <w:rPr>
          <w:color w:val="666666"/>
          <w:lang w:val="en-ZW"/>
        </w:rPr>
        <w:t>See the case of </w:t>
      </w:r>
      <w:r w:rsidRPr="00B05BFF">
        <w:rPr>
          <w:i/>
          <w:iCs/>
          <w:color w:val="666666"/>
          <w:lang w:val="en-ZW"/>
        </w:rPr>
        <w:t>Flowerdale Investments (Private) Limited &amp; Ano</w:t>
      </w:r>
      <w:r w:rsidRPr="00B05BFF">
        <w:rPr>
          <w:color w:val="666666"/>
          <w:lang w:val="en-ZW"/>
        </w:rPr>
        <w:t>r v </w:t>
      </w:r>
      <w:r w:rsidRPr="00B05BFF">
        <w:rPr>
          <w:i/>
          <w:iCs/>
          <w:color w:val="666666"/>
          <w:lang w:val="en-ZW"/>
        </w:rPr>
        <w:t>Bernard Construction (Private) Limited  &amp; 2 Others</w:t>
      </w:r>
      <w:r w:rsidR="008B68C3">
        <w:rPr>
          <w:rStyle w:val="FootnoteReference"/>
          <w:i/>
          <w:iCs/>
          <w:color w:val="666666"/>
          <w:lang w:val="en-ZW"/>
        </w:rPr>
        <w:footnoteReference w:id="3"/>
      </w:r>
      <w:r w:rsidR="00974944">
        <w:rPr>
          <w:color w:val="666666"/>
          <w:lang w:val="en-ZW"/>
        </w:rPr>
        <w:t xml:space="preserve">. </w:t>
      </w:r>
      <w:r w:rsidR="007D4DE9">
        <w:rPr>
          <w:color w:val="666666"/>
          <w:lang w:val="en-ZW"/>
        </w:rPr>
        <w:t xml:space="preserve"> Herbstein &amp; Van Winsen</w:t>
      </w:r>
      <w:r w:rsidR="008B68C3">
        <w:rPr>
          <w:rStyle w:val="FootnoteReference"/>
          <w:color w:val="666666"/>
          <w:lang w:val="en-ZW"/>
        </w:rPr>
        <w:footnoteReference w:id="4"/>
      </w:r>
      <w:r w:rsidR="007D4DE9">
        <w:rPr>
          <w:color w:val="666666"/>
          <w:lang w:val="en-ZW"/>
        </w:rPr>
        <w:t xml:space="preserve"> </w:t>
      </w:r>
      <w:r w:rsidR="008B68C3">
        <w:rPr>
          <w:color w:val="666666"/>
          <w:lang w:val="en-ZW"/>
        </w:rPr>
        <w:t xml:space="preserve"> </w:t>
      </w:r>
      <w:r w:rsidR="007D4DE9">
        <w:rPr>
          <w:color w:val="666666"/>
          <w:lang w:val="en-ZW"/>
        </w:rPr>
        <w:t xml:space="preserve">set out the </w:t>
      </w:r>
      <w:r w:rsidR="008B68C3">
        <w:rPr>
          <w:color w:val="666666"/>
          <w:lang w:val="en-ZW"/>
        </w:rPr>
        <w:t xml:space="preserve">requirements </w:t>
      </w:r>
      <w:r w:rsidR="008B68C3" w:rsidRPr="00974944">
        <w:rPr>
          <w:color w:val="666666"/>
          <w:lang w:val="en-ZW"/>
        </w:rPr>
        <w:t>as</w:t>
      </w:r>
      <w:r w:rsidR="00974944" w:rsidRPr="00974944">
        <w:rPr>
          <w:color w:val="666666"/>
          <w:lang w:val="en-ZW"/>
        </w:rPr>
        <w:t xml:space="preserve"> follows:</w:t>
      </w:r>
    </w:p>
    <w:p w14:paraId="2CF5437B" w14:textId="162182B4" w:rsidR="00B05BFF" w:rsidRDefault="00974944" w:rsidP="00BB22BF">
      <w:pPr>
        <w:pStyle w:val="NormalWeb"/>
        <w:spacing w:line="276" w:lineRule="auto"/>
        <w:ind w:firstLine="720"/>
        <w:jc w:val="both"/>
        <w:rPr>
          <w:color w:val="666666"/>
          <w:sz w:val="22"/>
          <w:szCs w:val="22"/>
          <w:lang w:val="en-ZW"/>
        </w:rPr>
      </w:pPr>
      <w:r w:rsidRPr="00974944">
        <w:rPr>
          <w:color w:val="666666"/>
          <w:sz w:val="22"/>
          <w:szCs w:val="22"/>
          <w:lang w:val="en-ZW"/>
        </w:rPr>
        <w:t>"The requisites of a plea of lis pendens are the same with regard to the person, cause of action and subject matter as those of a plea of res judicata, which, in turn, are that the two actions must have been between the same parties or their successors in title, concerning the same subject matter and founded upon the same cause of complaint."</w:t>
      </w:r>
    </w:p>
    <w:p w14:paraId="644C9A10" w14:textId="4FD22729" w:rsidR="007D4DE9" w:rsidRDefault="007D4DE9" w:rsidP="00BB22BF">
      <w:pPr>
        <w:pStyle w:val="NormalWeb"/>
        <w:spacing w:line="276" w:lineRule="auto"/>
        <w:ind w:firstLine="720"/>
        <w:jc w:val="both"/>
        <w:rPr>
          <w:color w:val="666666"/>
        </w:rPr>
      </w:pPr>
      <w:r>
        <w:rPr>
          <w:color w:val="666666"/>
        </w:rPr>
        <w:t xml:space="preserve">It is common cause </w:t>
      </w:r>
      <w:r w:rsidR="00B600BE">
        <w:rPr>
          <w:color w:val="666666"/>
        </w:rPr>
        <w:t>that in</w:t>
      </w:r>
      <w:r>
        <w:rPr>
          <w:color w:val="666666"/>
        </w:rPr>
        <w:t xml:space="preserve"> respect of the interdict</w:t>
      </w:r>
      <w:r w:rsidR="00B600BE">
        <w:rPr>
          <w:color w:val="666666"/>
        </w:rPr>
        <w:t>,</w:t>
      </w:r>
      <w:r>
        <w:rPr>
          <w:color w:val="666666"/>
        </w:rPr>
        <w:t xml:space="preserve"> the applications relate to the same parties. The relief also relate to the same subject matter, that is the</w:t>
      </w:r>
      <w:r w:rsidR="00B600BE">
        <w:rPr>
          <w:color w:val="666666"/>
        </w:rPr>
        <w:t xml:space="preserve"> </w:t>
      </w:r>
      <w:r w:rsidR="008B68C3">
        <w:rPr>
          <w:color w:val="666666"/>
        </w:rPr>
        <w:t xml:space="preserve">suspension of </w:t>
      </w:r>
      <w:r w:rsidR="00B600BE">
        <w:rPr>
          <w:color w:val="666666"/>
        </w:rPr>
        <w:t xml:space="preserve">the withdrawal letter in respect of </w:t>
      </w:r>
      <w:r w:rsidR="008B68C3">
        <w:rPr>
          <w:color w:val="666666"/>
        </w:rPr>
        <w:t>the farm</w:t>
      </w:r>
      <w:r>
        <w:rPr>
          <w:color w:val="666666"/>
        </w:rPr>
        <w:t>.</w:t>
      </w:r>
    </w:p>
    <w:p w14:paraId="6C01224E" w14:textId="52DF47E5" w:rsidR="00E025C8" w:rsidRPr="00E025C8" w:rsidRDefault="007D4DE9" w:rsidP="00BB22BF">
      <w:pPr>
        <w:pStyle w:val="NormalWeb"/>
        <w:spacing w:line="276" w:lineRule="auto"/>
        <w:ind w:firstLine="720"/>
        <w:jc w:val="both"/>
        <w:rPr>
          <w:color w:val="666666"/>
        </w:rPr>
      </w:pPr>
      <w:r>
        <w:rPr>
          <w:color w:val="666666"/>
        </w:rPr>
        <w:lastRenderedPageBreak/>
        <w:t xml:space="preserve">The </w:t>
      </w:r>
      <w:r w:rsidR="00797BDC">
        <w:rPr>
          <w:color w:val="666666"/>
        </w:rPr>
        <w:t>only issue as submitted</w:t>
      </w:r>
      <w:r w:rsidR="00B600BE">
        <w:rPr>
          <w:color w:val="666666"/>
        </w:rPr>
        <w:t xml:space="preserve"> </w:t>
      </w:r>
      <w:r w:rsidR="00797BDC">
        <w:rPr>
          <w:color w:val="666666"/>
        </w:rPr>
        <w:t>f</w:t>
      </w:r>
      <w:r w:rsidR="00B600BE">
        <w:rPr>
          <w:color w:val="666666"/>
        </w:rPr>
        <w:t>or</w:t>
      </w:r>
      <w:r w:rsidR="00797BDC">
        <w:rPr>
          <w:color w:val="666666"/>
        </w:rPr>
        <w:t xml:space="preserve"> the applicant is that the cause of complaint is different.</w:t>
      </w:r>
      <w:r>
        <w:rPr>
          <w:color w:val="666666"/>
        </w:rPr>
        <w:t xml:space="preserve"> </w:t>
      </w:r>
      <w:r w:rsidR="00797BDC">
        <w:rPr>
          <w:color w:val="666666"/>
        </w:rPr>
        <w:t xml:space="preserve">I was not favoured with sufficient details of the </w:t>
      </w:r>
      <w:r w:rsidR="00B600BE">
        <w:rPr>
          <w:color w:val="666666"/>
        </w:rPr>
        <w:t>differences.</w:t>
      </w:r>
      <w:r w:rsidR="00B600BE" w:rsidRPr="00E025C8">
        <w:rPr>
          <w:color w:val="666666"/>
        </w:rPr>
        <w:t xml:space="preserve"> Under</w:t>
      </w:r>
      <w:r w:rsidR="00E025C8" w:rsidRPr="00E025C8">
        <w:rPr>
          <w:color w:val="666666"/>
        </w:rPr>
        <w:t xml:space="preserve"> HC 2438/21 the applicants approached the court on an urgent basis seeking a provisional order to interdict the 1</w:t>
      </w:r>
      <w:r w:rsidR="00E025C8" w:rsidRPr="00E025C8">
        <w:rPr>
          <w:color w:val="666666"/>
          <w:vertAlign w:val="superscript"/>
        </w:rPr>
        <w:t>st</w:t>
      </w:r>
      <w:r w:rsidR="00E025C8" w:rsidRPr="00E025C8">
        <w:rPr>
          <w:color w:val="666666"/>
        </w:rPr>
        <w:t xml:space="preserve"> respondent from enforcing the withdrawal</w:t>
      </w:r>
      <w:r w:rsidR="006C5582">
        <w:rPr>
          <w:color w:val="666666"/>
        </w:rPr>
        <w:t xml:space="preserve"> letter </w:t>
      </w:r>
      <w:r w:rsidR="00E025C8" w:rsidRPr="00E025C8">
        <w:rPr>
          <w:color w:val="666666"/>
        </w:rPr>
        <w:t>and the suspension of any offer letters issued by the 1</w:t>
      </w:r>
      <w:r w:rsidR="00E025C8" w:rsidRPr="00E025C8">
        <w:rPr>
          <w:color w:val="666666"/>
          <w:vertAlign w:val="superscript"/>
        </w:rPr>
        <w:t>st</w:t>
      </w:r>
      <w:r w:rsidR="00E025C8" w:rsidRPr="00E025C8">
        <w:rPr>
          <w:color w:val="666666"/>
        </w:rPr>
        <w:t xml:space="preserve"> respondent on the farm pending the determination of the application for review filed under HC779/21.The 1</w:t>
      </w:r>
      <w:r w:rsidR="00E025C8" w:rsidRPr="00E025C8">
        <w:rPr>
          <w:color w:val="666666"/>
          <w:vertAlign w:val="superscript"/>
        </w:rPr>
        <w:t>st</w:t>
      </w:r>
      <w:r w:rsidR="00E025C8" w:rsidRPr="00E025C8">
        <w:rPr>
          <w:color w:val="666666"/>
        </w:rPr>
        <w:t xml:space="preserve"> applicant swore to the founding affidavit that the 2</w:t>
      </w:r>
      <w:r w:rsidR="00E025C8" w:rsidRPr="00E025C8">
        <w:rPr>
          <w:color w:val="666666"/>
          <w:vertAlign w:val="superscript"/>
        </w:rPr>
        <w:t>nd</w:t>
      </w:r>
      <w:r w:rsidR="00E025C8" w:rsidRPr="00E025C8">
        <w:rPr>
          <w:color w:val="666666"/>
        </w:rPr>
        <w:t xml:space="preserve"> </w:t>
      </w:r>
      <w:r w:rsidR="00E92183">
        <w:rPr>
          <w:color w:val="666666"/>
        </w:rPr>
        <w:t>applicant</w:t>
      </w:r>
      <w:r w:rsidR="00E025C8" w:rsidRPr="00E025C8">
        <w:rPr>
          <w:color w:val="666666"/>
        </w:rPr>
        <w:t xml:space="preserve"> associated with. The facts relied on for the relief sought </w:t>
      </w:r>
      <w:r w:rsidR="006C5582">
        <w:rPr>
          <w:color w:val="666666"/>
        </w:rPr>
        <w:t>were</w:t>
      </w:r>
      <w:r w:rsidR="00E025C8" w:rsidRPr="00E025C8">
        <w:rPr>
          <w:color w:val="666666"/>
        </w:rPr>
        <w:t xml:space="preserve"> that the applicants were issued with an offe</w:t>
      </w:r>
      <w:r w:rsidR="006C5582">
        <w:rPr>
          <w:color w:val="666666"/>
        </w:rPr>
        <w:t xml:space="preserve">r letter in June 2017. They </w:t>
      </w:r>
      <w:r w:rsidR="00E025C8" w:rsidRPr="00E025C8">
        <w:rPr>
          <w:color w:val="666666"/>
        </w:rPr>
        <w:t>invested</w:t>
      </w:r>
      <w:r w:rsidR="006C5582">
        <w:rPr>
          <w:color w:val="666666"/>
        </w:rPr>
        <w:t xml:space="preserve"> </w:t>
      </w:r>
      <w:r w:rsidR="00EB6E14">
        <w:rPr>
          <w:color w:val="666666"/>
        </w:rPr>
        <w:t xml:space="preserve">a considerable amount </w:t>
      </w:r>
      <w:r w:rsidR="006C5582" w:rsidRPr="00E025C8">
        <w:rPr>
          <w:color w:val="666666"/>
        </w:rPr>
        <w:t>in</w:t>
      </w:r>
      <w:r w:rsidR="00E025C8" w:rsidRPr="00E025C8">
        <w:rPr>
          <w:color w:val="666666"/>
        </w:rPr>
        <w:t xml:space="preserve"> the farm and they call it home. The 1</w:t>
      </w:r>
      <w:r w:rsidR="00E025C8" w:rsidRPr="00E025C8">
        <w:rPr>
          <w:color w:val="666666"/>
          <w:vertAlign w:val="superscript"/>
        </w:rPr>
        <w:t xml:space="preserve">st </w:t>
      </w:r>
      <w:r w:rsidR="00E025C8" w:rsidRPr="00E025C8">
        <w:rPr>
          <w:color w:val="666666"/>
        </w:rPr>
        <w:t>respondent advised them of his intention to withdraw the offer letter, they objected but nonetheless the offer letter was withdrawn. They were not happy with the conduct of some officials of the 1</w:t>
      </w:r>
      <w:r w:rsidR="00E025C8" w:rsidRPr="00E025C8">
        <w:rPr>
          <w:color w:val="666666"/>
          <w:vertAlign w:val="superscript"/>
        </w:rPr>
        <w:t>st</w:t>
      </w:r>
      <w:r w:rsidR="00E025C8" w:rsidRPr="00E025C8">
        <w:rPr>
          <w:color w:val="666666"/>
        </w:rPr>
        <w:t xml:space="preserve"> respondent, they complained but nothing happened. They filed an application for the review of the 1</w:t>
      </w:r>
      <w:r w:rsidR="00E025C8" w:rsidRPr="00E025C8">
        <w:rPr>
          <w:color w:val="666666"/>
          <w:vertAlign w:val="superscript"/>
        </w:rPr>
        <w:t>st</w:t>
      </w:r>
      <w:r w:rsidR="00E025C8" w:rsidRPr="00E025C8">
        <w:rPr>
          <w:color w:val="666666"/>
        </w:rPr>
        <w:t xml:space="preserve"> respondent’s decision and filed the urgent chamber application. The applicant’s apprehension then was that, in the event the withdrawal by the 1</w:t>
      </w:r>
      <w:r w:rsidR="00E025C8" w:rsidRPr="00E025C8">
        <w:rPr>
          <w:color w:val="666666"/>
          <w:vertAlign w:val="superscript"/>
        </w:rPr>
        <w:t>st</w:t>
      </w:r>
      <w:r w:rsidR="00E025C8" w:rsidRPr="00E025C8">
        <w:rPr>
          <w:color w:val="666666"/>
        </w:rPr>
        <w:t xml:space="preserve"> respondent</w:t>
      </w:r>
      <w:r w:rsidR="00797BDC">
        <w:rPr>
          <w:color w:val="666666"/>
        </w:rPr>
        <w:t xml:space="preserve"> is enforced and offer</w:t>
      </w:r>
      <w:r w:rsidR="00E025C8" w:rsidRPr="00E025C8">
        <w:rPr>
          <w:color w:val="666666"/>
        </w:rPr>
        <w:t xml:space="preserve"> letters issued to other farmers, the farmers would disrupt the applicants’ farming activities. Further to that the application for review would be rendered academic.</w:t>
      </w:r>
    </w:p>
    <w:p w14:paraId="028DEC0C" w14:textId="77777777" w:rsidR="00E025C8" w:rsidRPr="00E025C8" w:rsidRDefault="00E025C8" w:rsidP="00BB22BF">
      <w:pPr>
        <w:pStyle w:val="NormalWeb"/>
        <w:spacing w:line="276" w:lineRule="auto"/>
        <w:ind w:firstLine="720"/>
        <w:jc w:val="both"/>
        <w:rPr>
          <w:color w:val="666666"/>
        </w:rPr>
      </w:pPr>
      <w:r w:rsidRPr="00E025C8">
        <w:rPr>
          <w:color w:val="666666"/>
        </w:rPr>
        <w:t>The substance of the provisional order the applicants seek in this matter is to interdict the 1</w:t>
      </w:r>
      <w:r w:rsidRPr="00E025C8">
        <w:rPr>
          <w:color w:val="666666"/>
          <w:vertAlign w:val="superscript"/>
        </w:rPr>
        <w:t>st</w:t>
      </w:r>
      <w:r w:rsidRPr="00E025C8">
        <w:rPr>
          <w:color w:val="666666"/>
        </w:rPr>
        <w:t xml:space="preserve"> respondent from enforcing the withdrawal of their offer letter pending the determination of two applications under HC 2370/21 and HC3019/21, to be barred from issuing offer letters over the farm and to interdict anyone holding any offer letter from occupying the farm. The applicants aver that the 1</w:t>
      </w:r>
      <w:r w:rsidRPr="00E025C8">
        <w:rPr>
          <w:color w:val="666666"/>
          <w:vertAlign w:val="superscript"/>
        </w:rPr>
        <w:t>st</w:t>
      </w:r>
      <w:r w:rsidRPr="00E025C8">
        <w:rPr>
          <w:color w:val="666666"/>
        </w:rPr>
        <w:t xml:space="preserve"> respondent has commenced pegging the farm with intent to issue offer letters to the potential farmers. They fear that once the new owners access the farm they will disrupt their farming activities. The applicants then set out how they have invested in the farm and how the withdrawal will affect the contracts they entered with partners in their farming enterprise.</w:t>
      </w:r>
    </w:p>
    <w:p w14:paraId="58D64356" w14:textId="6243D39B" w:rsidR="00070920" w:rsidRDefault="006C5582" w:rsidP="00BB22BF">
      <w:pPr>
        <w:pStyle w:val="NormalWeb"/>
        <w:spacing w:line="276" w:lineRule="auto"/>
        <w:ind w:firstLine="720"/>
        <w:jc w:val="both"/>
        <w:rPr>
          <w:color w:val="666666"/>
        </w:rPr>
      </w:pPr>
      <w:r>
        <w:rPr>
          <w:color w:val="666666"/>
        </w:rPr>
        <w:t>The application before me</w:t>
      </w:r>
      <w:r w:rsidR="00070920">
        <w:rPr>
          <w:color w:val="666666"/>
        </w:rPr>
        <w:t xml:space="preserve"> is based on</w:t>
      </w:r>
      <w:r>
        <w:rPr>
          <w:color w:val="666666"/>
        </w:rPr>
        <w:t xml:space="preserve"> different </w:t>
      </w:r>
      <w:r w:rsidR="00070920">
        <w:rPr>
          <w:color w:val="666666"/>
        </w:rPr>
        <w:t>circumstances. The</w:t>
      </w:r>
      <w:r>
        <w:rPr>
          <w:color w:val="666666"/>
        </w:rPr>
        <w:t xml:space="preserve"> </w:t>
      </w:r>
      <w:r w:rsidR="00EB322A">
        <w:rPr>
          <w:color w:val="666666"/>
        </w:rPr>
        <w:t>applicant</w:t>
      </w:r>
      <w:r w:rsidR="00070920">
        <w:rPr>
          <w:color w:val="666666"/>
        </w:rPr>
        <w:t>s</w:t>
      </w:r>
      <w:r>
        <w:rPr>
          <w:color w:val="666666"/>
        </w:rPr>
        <w:t xml:space="preserve"> </w:t>
      </w:r>
      <w:r w:rsidR="00070920">
        <w:rPr>
          <w:color w:val="666666"/>
        </w:rPr>
        <w:t>aver</w:t>
      </w:r>
      <w:r>
        <w:rPr>
          <w:color w:val="666666"/>
        </w:rPr>
        <w:t xml:space="preserve"> that the 1</w:t>
      </w:r>
      <w:r w:rsidRPr="006C5582">
        <w:rPr>
          <w:color w:val="666666"/>
          <w:vertAlign w:val="superscript"/>
        </w:rPr>
        <w:t>st</w:t>
      </w:r>
      <w:r>
        <w:rPr>
          <w:color w:val="666666"/>
        </w:rPr>
        <w:t xml:space="preserve"> respondent has commenced subdividing the </w:t>
      </w:r>
      <w:r w:rsidR="00EB6E14">
        <w:rPr>
          <w:color w:val="666666"/>
        </w:rPr>
        <w:t xml:space="preserve">farm. </w:t>
      </w:r>
      <w:r>
        <w:rPr>
          <w:color w:val="666666"/>
        </w:rPr>
        <w:t>The presence of the 2</w:t>
      </w:r>
      <w:r w:rsidRPr="006C5582">
        <w:rPr>
          <w:color w:val="666666"/>
          <w:vertAlign w:val="superscript"/>
        </w:rPr>
        <w:t>nd</w:t>
      </w:r>
      <w:r>
        <w:rPr>
          <w:color w:val="666666"/>
        </w:rPr>
        <w:t xml:space="preserve"> respondent at the farm is also evidence of the enforcement of the withdrawal </w:t>
      </w:r>
      <w:r w:rsidR="00070920">
        <w:rPr>
          <w:color w:val="666666"/>
        </w:rPr>
        <w:t>letter. In the initial application the cause of action was based on assumptions that the 1</w:t>
      </w:r>
      <w:r w:rsidR="00070920" w:rsidRPr="00070920">
        <w:rPr>
          <w:color w:val="666666"/>
          <w:vertAlign w:val="superscript"/>
        </w:rPr>
        <w:t>st</w:t>
      </w:r>
      <w:r w:rsidR="00070920">
        <w:rPr>
          <w:color w:val="666666"/>
        </w:rPr>
        <w:t xml:space="preserve"> </w:t>
      </w:r>
      <w:r w:rsidR="00EB322A">
        <w:rPr>
          <w:color w:val="666666"/>
        </w:rPr>
        <w:t>respondent</w:t>
      </w:r>
      <w:r w:rsidR="00070920">
        <w:rPr>
          <w:color w:val="666666"/>
        </w:rPr>
        <w:t xml:space="preserve"> will parcel out land on the </w:t>
      </w:r>
      <w:r w:rsidR="00EB6E14">
        <w:rPr>
          <w:color w:val="666666"/>
        </w:rPr>
        <w:t>farm. Before me the 1</w:t>
      </w:r>
      <w:r w:rsidR="00EB6E14" w:rsidRPr="00EB6E14">
        <w:rPr>
          <w:color w:val="666666"/>
          <w:vertAlign w:val="superscript"/>
        </w:rPr>
        <w:t>st</w:t>
      </w:r>
      <w:r w:rsidR="00EB6E14">
        <w:rPr>
          <w:color w:val="666666"/>
        </w:rPr>
        <w:t xml:space="preserve"> respondent has actually allocated part of the farm to the 2</w:t>
      </w:r>
      <w:r w:rsidR="00EB6E14" w:rsidRPr="00EB6E14">
        <w:rPr>
          <w:color w:val="666666"/>
          <w:vertAlign w:val="superscript"/>
        </w:rPr>
        <w:t>nd</w:t>
      </w:r>
      <w:r w:rsidR="00EB6E14">
        <w:rPr>
          <w:color w:val="666666"/>
        </w:rPr>
        <w:t xml:space="preserve"> respondent.</w:t>
      </w:r>
      <w:r>
        <w:rPr>
          <w:color w:val="666666"/>
        </w:rPr>
        <w:t xml:space="preserve"> I am satisfied that the cause </w:t>
      </w:r>
      <w:r w:rsidR="00070920">
        <w:rPr>
          <w:color w:val="666666"/>
        </w:rPr>
        <w:t xml:space="preserve">of action is different from the first application. The matter is therefore not </w:t>
      </w:r>
      <w:r w:rsidR="00070920" w:rsidRPr="00EB6E14">
        <w:rPr>
          <w:i/>
          <w:color w:val="666666"/>
        </w:rPr>
        <w:t>res judicata</w:t>
      </w:r>
      <w:r w:rsidR="00070920">
        <w:rPr>
          <w:color w:val="666666"/>
        </w:rPr>
        <w:t xml:space="preserve"> and the court is not </w:t>
      </w:r>
      <w:r w:rsidR="00070920" w:rsidRPr="00070920">
        <w:rPr>
          <w:i/>
          <w:color w:val="666666"/>
        </w:rPr>
        <w:t>functus officio</w:t>
      </w:r>
      <w:r w:rsidR="00070920">
        <w:rPr>
          <w:color w:val="666666"/>
        </w:rPr>
        <w:t>.</w:t>
      </w:r>
    </w:p>
    <w:p w14:paraId="14A11268" w14:textId="77777777" w:rsidR="00070920" w:rsidRDefault="00070920" w:rsidP="00BB22BF">
      <w:pPr>
        <w:pStyle w:val="NormalWeb"/>
        <w:spacing w:line="276" w:lineRule="auto"/>
        <w:ind w:firstLine="720"/>
        <w:jc w:val="both"/>
        <w:rPr>
          <w:color w:val="666666"/>
        </w:rPr>
      </w:pPr>
      <w:r>
        <w:rPr>
          <w:color w:val="666666"/>
        </w:rPr>
        <w:t>Urgency</w:t>
      </w:r>
    </w:p>
    <w:p w14:paraId="6B592A59" w14:textId="4AD44DD0" w:rsidR="005D0FEA" w:rsidRDefault="00070920" w:rsidP="00BB22BF">
      <w:pPr>
        <w:pStyle w:val="NormalWeb"/>
        <w:spacing w:line="276" w:lineRule="auto"/>
        <w:ind w:firstLine="720"/>
        <w:jc w:val="both"/>
        <w:rPr>
          <w:color w:val="666666"/>
          <w:lang w:val="en-GB"/>
        </w:rPr>
      </w:pPr>
      <w:r>
        <w:rPr>
          <w:color w:val="666666"/>
        </w:rPr>
        <w:t>What constitutes urgency is now trite. The matter must</w:t>
      </w:r>
      <w:r w:rsidR="00590D13">
        <w:rPr>
          <w:color w:val="666666"/>
        </w:rPr>
        <w:t xml:space="preserve"> be such that </w:t>
      </w:r>
      <w:r>
        <w:rPr>
          <w:color w:val="666666"/>
        </w:rPr>
        <w:t xml:space="preserve">any delay </w:t>
      </w:r>
      <w:r>
        <w:rPr>
          <w:color w:val="666666"/>
          <w:lang w:val="en-GB"/>
        </w:rPr>
        <w:t xml:space="preserve">in dealing with the matter will result </w:t>
      </w:r>
      <w:r w:rsidR="00590D13">
        <w:rPr>
          <w:color w:val="666666"/>
          <w:lang w:val="en-GB"/>
        </w:rPr>
        <w:t xml:space="preserve">in </w:t>
      </w:r>
      <w:r w:rsidR="00590D13" w:rsidRPr="00070920">
        <w:rPr>
          <w:color w:val="666666"/>
          <w:lang w:val="en-GB"/>
        </w:rPr>
        <w:t>irreparable</w:t>
      </w:r>
      <w:r w:rsidRPr="00070920">
        <w:rPr>
          <w:color w:val="666666"/>
          <w:lang w:val="en-GB"/>
        </w:rPr>
        <w:t xml:space="preserve"> </w:t>
      </w:r>
      <w:r w:rsidR="00590D13" w:rsidRPr="00070920">
        <w:rPr>
          <w:color w:val="666666"/>
          <w:lang w:val="en-GB"/>
        </w:rPr>
        <w:t>harm.</w:t>
      </w:r>
      <w:r w:rsidR="00590D13">
        <w:rPr>
          <w:color w:val="666666"/>
          <w:lang w:val="en-GB"/>
        </w:rPr>
        <w:t xml:space="preserve"> Any future intervention may not protect the applicants’ i</w:t>
      </w:r>
      <w:r w:rsidR="00EB6E14">
        <w:rPr>
          <w:color w:val="666666"/>
          <w:lang w:val="en-GB"/>
        </w:rPr>
        <w:t>nterests as irreparable harm would have occurred.</w:t>
      </w:r>
      <w:r w:rsidR="00590D13">
        <w:rPr>
          <w:color w:val="666666"/>
          <w:lang w:val="en-GB"/>
        </w:rPr>
        <w:t xml:space="preserve"> The applicant must treat the matter as urgent by taking action immediately when the harm is threatened or </w:t>
      </w:r>
      <w:r w:rsidR="00EB6E14">
        <w:rPr>
          <w:color w:val="666666"/>
          <w:lang w:val="en-GB"/>
        </w:rPr>
        <w:t xml:space="preserve">at the time </w:t>
      </w:r>
      <w:r w:rsidR="00590D13">
        <w:rPr>
          <w:color w:val="666666"/>
          <w:lang w:val="en-GB"/>
        </w:rPr>
        <w:t xml:space="preserve">the </w:t>
      </w:r>
      <w:r w:rsidR="00590D13">
        <w:rPr>
          <w:color w:val="666666"/>
          <w:lang w:val="en-GB"/>
        </w:rPr>
        <w:lastRenderedPageBreak/>
        <w:t>harm materialises</w:t>
      </w:r>
      <w:r w:rsidR="00590D13">
        <w:rPr>
          <w:rStyle w:val="FootnoteReference"/>
          <w:color w:val="666666"/>
          <w:lang w:val="en-GB"/>
        </w:rPr>
        <w:footnoteReference w:id="5"/>
      </w:r>
      <w:r w:rsidR="00590D13">
        <w:rPr>
          <w:color w:val="666666"/>
          <w:lang w:val="en-GB"/>
        </w:rPr>
        <w:t>.Two issues stand out for consideration as submitted for the 2</w:t>
      </w:r>
      <w:r w:rsidR="00590D13" w:rsidRPr="00590D13">
        <w:rPr>
          <w:color w:val="666666"/>
          <w:vertAlign w:val="superscript"/>
          <w:lang w:val="en-GB"/>
        </w:rPr>
        <w:t>nd</w:t>
      </w:r>
      <w:r w:rsidR="00590D13">
        <w:rPr>
          <w:color w:val="666666"/>
          <w:lang w:val="en-GB"/>
        </w:rPr>
        <w:t xml:space="preserve"> respondent time and </w:t>
      </w:r>
      <w:r w:rsidR="005D0FEA">
        <w:rPr>
          <w:color w:val="666666"/>
          <w:lang w:val="en-GB"/>
        </w:rPr>
        <w:t>harm. The</w:t>
      </w:r>
      <w:r w:rsidR="00590D13">
        <w:rPr>
          <w:color w:val="666666"/>
          <w:lang w:val="en-GB"/>
        </w:rPr>
        <w:t xml:space="preserve"> applicant must demonstrate he is likely to </w:t>
      </w:r>
      <w:r w:rsidR="005D0FEA">
        <w:rPr>
          <w:color w:val="666666"/>
          <w:lang w:val="en-GB"/>
        </w:rPr>
        <w:t>suffer irreparable</w:t>
      </w:r>
      <w:r w:rsidR="00590D13">
        <w:rPr>
          <w:color w:val="666666"/>
          <w:lang w:val="en-GB"/>
        </w:rPr>
        <w:t xml:space="preserve"> harm and that he acted timeously to avert the harm. Where there is a delay in acting </w:t>
      </w:r>
      <w:r w:rsidR="005D0FEA">
        <w:rPr>
          <w:color w:val="666666"/>
          <w:lang w:val="en-GB"/>
        </w:rPr>
        <w:t>timeously,</w:t>
      </w:r>
      <w:r w:rsidR="00590D13">
        <w:rPr>
          <w:color w:val="666666"/>
          <w:lang w:val="en-GB"/>
        </w:rPr>
        <w:t xml:space="preserve"> there must be </w:t>
      </w:r>
      <w:r w:rsidR="005D0FEA">
        <w:rPr>
          <w:color w:val="666666"/>
          <w:lang w:val="en-GB"/>
        </w:rPr>
        <w:t>a</w:t>
      </w:r>
      <w:r w:rsidR="00590D13">
        <w:rPr>
          <w:color w:val="666666"/>
          <w:lang w:val="en-GB"/>
        </w:rPr>
        <w:t xml:space="preserve"> reasonable explanation for the delay. What defines </w:t>
      </w:r>
      <w:r w:rsidR="005D0FEA">
        <w:rPr>
          <w:color w:val="666666"/>
          <w:lang w:val="en-GB"/>
        </w:rPr>
        <w:t>timeous</w:t>
      </w:r>
      <w:r w:rsidR="00EB6E14">
        <w:rPr>
          <w:color w:val="666666"/>
          <w:lang w:val="en-GB"/>
        </w:rPr>
        <w:t xml:space="preserve"> action depends on</w:t>
      </w:r>
      <w:r w:rsidR="005D0FEA">
        <w:rPr>
          <w:color w:val="666666"/>
          <w:lang w:val="en-GB"/>
        </w:rPr>
        <w:t xml:space="preserve"> the circumstances of the matter no one size fit all definition can be made.</w:t>
      </w:r>
    </w:p>
    <w:p w14:paraId="47DFF06B" w14:textId="6B63EEEB" w:rsidR="00590D13" w:rsidRDefault="005D0FEA" w:rsidP="00BB22BF">
      <w:pPr>
        <w:pStyle w:val="NormalWeb"/>
        <w:spacing w:line="276" w:lineRule="auto"/>
        <w:ind w:firstLine="720"/>
        <w:jc w:val="both"/>
        <w:rPr>
          <w:color w:val="666666"/>
          <w:lang w:val="en-GB"/>
        </w:rPr>
      </w:pPr>
      <w:r>
        <w:rPr>
          <w:color w:val="666666"/>
          <w:lang w:val="en-GB"/>
        </w:rPr>
        <w:t>I am satisfied on urgency. Parties agree that the need to</w:t>
      </w:r>
      <w:r w:rsidR="00EB6E14">
        <w:rPr>
          <w:color w:val="666666"/>
          <w:lang w:val="en-GB"/>
        </w:rPr>
        <w:t xml:space="preserve"> act</w:t>
      </w:r>
      <w:r>
        <w:rPr>
          <w:color w:val="666666"/>
          <w:lang w:val="en-GB"/>
        </w:rPr>
        <w:t xml:space="preserve"> arose on 30 June 2021. The applicants did not sit on their case, the</w:t>
      </w:r>
      <w:r w:rsidR="00EB6E14">
        <w:rPr>
          <w:color w:val="666666"/>
          <w:lang w:val="en-GB"/>
        </w:rPr>
        <w:t>y</w:t>
      </w:r>
      <w:r>
        <w:rPr>
          <w:color w:val="666666"/>
          <w:lang w:val="en-GB"/>
        </w:rPr>
        <w:t xml:space="preserve"> engaged the 1</w:t>
      </w:r>
      <w:r w:rsidRPr="005D0FEA">
        <w:rPr>
          <w:color w:val="666666"/>
          <w:vertAlign w:val="superscript"/>
          <w:lang w:val="en-GB"/>
        </w:rPr>
        <w:t>st</w:t>
      </w:r>
      <w:r>
        <w:rPr>
          <w:color w:val="666666"/>
          <w:lang w:val="en-GB"/>
        </w:rPr>
        <w:t xml:space="preserve"> respondent by letter with a view to suspend the enforcement of the withdrawal. The applicants indicated that while they waited for the response from the 1</w:t>
      </w:r>
      <w:r w:rsidRPr="005D0FEA">
        <w:rPr>
          <w:color w:val="666666"/>
          <w:vertAlign w:val="superscript"/>
          <w:lang w:val="en-GB"/>
        </w:rPr>
        <w:t>st</w:t>
      </w:r>
      <w:r>
        <w:rPr>
          <w:color w:val="666666"/>
          <w:lang w:val="en-GB"/>
        </w:rPr>
        <w:t xml:space="preserve"> respondent they were </w:t>
      </w:r>
      <w:r w:rsidR="00EB6E14">
        <w:rPr>
          <w:color w:val="666666"/>
          <w:lang w:val="en-GB"/>
        </w:rPr>
        <w:t>despoiled. I</w:t>
      </w:r>
      <w:r w:rsidR="00572CE7">
        <w:rPr>
          <w:color w:val="666666"/>
          <w:lang w:val="en-GB"/>
        </w:rPr>
        <w:t xml:space="preserve"> was not persuaded by the submission for the 2</w:t>
      </w:r>
      <w:r w:rsidR="00572CE7" w:rsidRPr="00572CE7">
        <w:rPr>
          <w:color w:val="666666"/>
          <w:vertAlign w:val="superscript"/>
          <w:lang w:val="en-GB"/>
        </w:rPr>
        <w:t>nd</w:t>
      </w:r>
      <w:r w:rsidR="00572CE7">
        <w:rPr>
          <w:color w:val="666666"/>
          <w:lang w:val="en-GB"/>
        </w:rPr>
        <w:t xml:space="preserve"> resp</w:t>
      </w:r>
      <w:r w:rsidR="00EB6E14">
        <w:rPr>
          <w:color w:val="666666"/>
          <w:lang w:val="en-GB"/>
        </w:rPr>
        <w:t>ondent that the letter was not</w:t>
      </w:r>
      <w:r w:rsidR="00572CE7">
        <w:rPr>
          <w:color w:val="666666"/>
          <w:lang w:val="en-GB"/>
        </w:rPr>
        <w:t xml:space="preserve"> reasonable action because the 1</w:t>
      </w:r>
      <w:r w:rsidR="00572CE7" w:rsidRPr="00572CE7">
        <w:rPr>
          <w:color w:val="666666"/>
          <w:vertAlign w:val="superscript"/>
          <w:lang w:val="en-GB"/>
        </w:rPr>
        <w:t>st</w:t>
      </w:r>
      <w:r w:rsidR="00572CE7">
        <w:rPr>
          <w:color w:val="666666"/>
          <w:lang w:val="en-GB"/>
        </w:rPr>
        <w:t xml:space="preserve"> respondent had already made a </w:t>
      </w:r>
      <w:r w:rsidR="00EB322A">
        <w:rPr>
          <w:color w:val="666666"/>
          <w:lang w:val="en-GB"/>
        </w:rPr>
        <w:t>decision. It was therefore</w:t>
      </w:r>
      <w:r w:rsidR="00572CE7">
        <w:rPr>
          <w:color w:val="666666"/>
          <w:lang w:val="en-GB"/>
        </w:rPr>
        <w:t xml:space="preserve"> pointless to engage the office. It may be so</w:t>
      </w:r>
      <w:r w:rsidR="00EB6E14">
        <w:rPr>
          <w:color w:val="666666"/>
          <w:lang w:val="en-GB"/>
        </w:rPr>
        <w:t>,</w:t>
      </w:r>
      <w:r w:rsidR="00572CE7">
        <w:rPr>
          <w:color w:val="666666"/>
          <w:lang w:val="en-GB"/>
        </w:rPr>
        <w:t xml:space="preserve"> but what is demonstrated by the conduct is that the applicant did not sit back they did something to protect their </w:t>
      </w:r>
      <w:r w:rsidR="00EB6E14">
        <w:rPr>
          <w:color w:val="666666"/>
          <w:lang w:val="en-GB"/>
        </w:rPr>
        <w:t>interests. It</w:t>
      </w:r>
      <w:r w:rsidR="00572CE7">
        <w:rPr>
          <w:color w:val="666666"/>
          <w:lang w:val="en-GB"/>
        </w:rPr>
        <w:t xml:space="preserve"> is only when they were despoiled that they realised the futility of the intended engagement and approached the court. The applicants cannot be penalised for the 14</w:t>
      </w:r>
      <w:r>
        <w:rPr>
          <w:color w:val="666666"/>
          <w:lang w:val="en-GB"/>
        </w:rPr>
        <w:t xml:space="preserve"> days</w:t>
      </w:r>
      <w:r w:rsidR="00572CE7">
        <w:rPr>
          <w:color w:val="666666"/>
          <w:lang w:val="en-GB"/>
        </w:rPr>
        <w:t xml:space="preserve"> delay</w:t>
      </w:r>
      <w:r>
        <w:rPr>
          <w:color w:val="666666"/>
          <w:lang w:val="en-GB"/>
        </w:rPr>
        <w:t>. There is a reasonable explanation for the delay.</w:t>
      </w:r>
    </w:p>
    <w:p w14:paraId="4DE65411" w14:textId="1833DC28" w:rsidR="00572CE7" w:rsidRDefault="005D0FEA" w:rsidP="00BB22BF">
      <w:pPr>
        <w:pStyle w:val="NormalWeb"/>
        <w:spacing w:line="276" w:lineRule="auto"/>
        <w:ind w:firstLine="720"/>
        <w:jc w:val="both"/>
        <w:rPr>
          <w:color w:val="666666"/>
          <w:lang w:val="en-GB"/>
        </w:rPr>
      </w:pPr>
      <w:r>
        <w:rPr>
          <w:color w:val="666666"/>
          <w:lang w:val="en-GB"/>
        </w:rPr>
        <w:t>Interdict</w:t>
      </w:r>
    </w:p>
    <w:p w14:paraId="612F8336" w14:textId="0D824044" w:rsidR="00572CE7" w:rsidRPr="00572CE7" w:rsidRDefault="00572CE7" w:rsidP="00BB22BF">
      <w:pPr>
        <w:pStyle w:val="NormalWeb"/>
        <w:spacing w:line="276" w:lineRule="auto"/>
        <w:ind w:firstLine="360"/>
        <w:jc w:val="both"/>
        <w:rPr>
          <w:color w:val="666666"/>
          <w:lang w:val="en-ZW"/>
        </w:rPr>
      </w:pPr>
      <w:r>
        <w:rPr>
          <w:color w:val="666666"/>
          <w:lang w:val="en-GB"/>
        </w:rPr>
        <w:t xml:space="preserve">In order to succeed in an application for an interim interdict the applicant must demonstrate </w:t>
      </w:r>
      <w:r w:rsidR="008554AD">
        <w:rPr>
          <w:color w:val="666666"/>
          <w:lang w:val="en-GB"/>
        </w:rPr>
        <w:t xml:space="preserve">a </w:t>
      </w:r>
      <w:r w:rsidR="008554AD" w:rsidRPr="00572CE7">
        <w:rPr>
          <w:color w:val="666666"/>
          <w:lang w:val="en-ZW"/>
        </w:rPr>
        <w:t>clear</w:t>
      </w:r>
      <w:r w:rsidRPr="00572CE7">
        <w:rPr>
          <w:color w:val="666666"/>
          <w:lang w:val="en-ZW"/>
        </w:rPr>
        <w:t xml:space="preserve"> right, or a </w:t>
      </w:r>
      <w:r w:rsidRPr="00572CE7">
        <w:rPr>
          <w:i/>
          <w:iCs/>
          <w:color w:val="666666"/>
          <w:lang w:val="en-ZW"/>
        </w:rPr>
        <w:t>prima facie </w:t>
      </w:r>
      <w:r w:rsidRPr="00572CE7">
        <w:rPr>
          <w:color w:val="666666"/>
          <w:lang w:val="en-ZW"/>
        </w:rPr>
        <w:t xml:space="preserve">right though open to some doubt. Where a clear right is established the </w:t>
      </w:r>
      <w:r w:rsidR="008554AD" w:rsidRPr="00572CE7">
        <w:rPr>
          <w:color w:val="666666"/>
          <w:lang w:val="en-ZW"/>
        </w:rPr>
        <w:t xml:space="preserve">applicant </w:t>
      </w:r>
      <w:r w:rsidR="008554AD">
        <w:rPr>
          <w:color w:val="666666"/>
          <w:lang w:val="en-ZW"/>
        </w:rPr>
        <w:t xml:space="preserve">does not </w:t>
      </w:r>
      <w:r w:rsidRPr="00572CE7">
        <w:rPr>
          <w:color w:val="666666"/>
          <w:lang w:val="en-ZW"/>
        </w:rPr>
        <w:t xml:space="preserve">need to establish a well-grounded apprehension of irreparable </w:t>
      </w:r>
      <w:r w:rsidR="008554AD" w:rsidRPr="00572CE7">
        <w:rPr>
          <w:color w:val="666666"/>
          <w:lang w:val="en-ZW"/>
        </w:rPr>
        <w:t>harm.</w:t>
      </w:r>
      <w:r w:rsidR="00EB6E14">
        <w:rPr>
          <w:color w:val="666666"/>
          <w:lang w:val="en-ZW"/>
        </w:rPr>
        <w:t xml:space="preserve"> However where </w:t>
      </w:r>
      <w:r w:rsidR="008554AD">
        <w:rPr>
          <w:color w:val="666666"/>
          <w:lang w:val="en-ZW"/>
        </w:rPr>
        <w:t xml:space="preserve"> </w:t>
      </w:r>
      <w:r w:rsidRPr="00572CE7">
        <w:rPr>
          <w:color w:val="666666"/>
          <w:lang w:val="en-ZW"/>
        </w:rPr>
        <w:t>only</w:t>
      </w:r>
      <w:r w:rsidR="008554AD">
        <w:rPr>
          <w:color w:val="666666"/>
          <w:lang w:val="en-ZW"/>
        </w:rPr>
        <w:t xml:space="preserve"> a</w:t>
      </w:r>
      <w:r w:rsidRPr="00572CE7">
        <w:rPr>
          <w:color w:val="666666"/>
          <w:lang w:val="en-ZW"/>
        </w:rPr>
        <w:t> </w:t>
      </w:r>
      <w:r w:rsidRPr="00572CE7">
        <w:rPr>
          <w:i/>
          <w:iCs/>
          <w:color w:val="666666"/>
          <w:lang w:val="en-ZW"/>
        </w:rPr>
        <w:t>prima facie</w:t>
      </w:r>
      <w:r w:rsidR="008554AD" w:rsidRPr="00572CE7">
        <w:rPr>
          <w:i/>
          <w:iCs/>
          <w:color w:val="666666"/>
          <w:lang w:val="en-ZW"/>
        </w:rPr>
        <w:t> </w:t>
      </w:r>
      <w:r w:rsidR="008554AD" w:rsidRPr="00EB6E14">
        <w:rPr>
          <w:iCs/>
          <w:color w:val="666666"/>
          <w:lang w:val="en-ZW"/>
        </w:rPr>
        <w:t xml:space="preserve">right </w:t>
      </w:r>
      <w:r w:rsidR="008554AD">
        <w:rPr>
          <w:iCs/>
          <w:color w:val="666666"/>
          <w:lang w:val="en-ZW"/>
        </w:rPr>
        <w:t>is</w:t>
      </w:r>
      <w:r w:rsidR="008554AD">
        <w:rPr>
          <w:i/>
          <w:iCs/>
          <w:color w:val="666666"/>
          <w:lang w:val="en-ZW"/>
        </w:rPr>
        <w:t xml:space="preserve"> </w:t>
      </w:r>
      <w:r w:rsidRPr="00572CE7">
        <w:rPr>
          <w:color w:val="666666"/>
          <w:lang w:val="en-ZW"/>
        </w:rPr>
        <w:t>established, the second requirement must be established, namely,</w:t>
      </w:r>
      <w:r w:rsidR="008554AD">
        <w:rPr>
          <w:color w:val="666666"/>
          <w:lang w:val="en-ZW"/>
        </w:rPr>
        <w:t xml:space="preserve"> that</w:t>
      </w:r>
      <w:r w:rsidRPr="00572CE7">
        <w:rPr>
          <w:color w:val="666666"/>
          <w:lang w:val="en-ZW"/>
        </w:rPr>
        <w:t xml:space="preserve"> there is a well-grounded apprehension of irreparable harm to the applicant if the in</w:t>
      </w:r>
      <w:r w:rsidR="008554AD">
        <w:rPr>
          <w:color w:val="666666"/>
          <w:lang w:val="en-ZW"/>
        </w:rPr>
        <w:t>terim relief is not granted</w:t>
      </w:r>
      <w:r w:rsidRPr="00572CE7">
        <w:rPr>
          <w:color w:val="666666"/>
          <w:lang w:val="en-ZW"/>
        </w:rPr>
        <w:t xml:space="preserve"> and</w:t>
      </w:r>
      <w:r w:rsidR="008554AD">
        <w:rPr>
          <w:color w:val="666666"/>
          <w:lang w:val="en-ZW"/>
        </w:rPr>
        <w:t xml:space="preserve"> the</w:t>
      </w:r>
      <w:r w:rsidRPr="00572CE7">
        <w:rPr>
          <w:color w:val="666666"/>
          <w:lang w:val="en-ZW"/>
        </w:rPr>
        <w:t xml:space="preserve"> balance of convenience favours the granting of interim relief; and</w:t>
      </w:r>
      <w:r w:rsidR="008554AD">
        <w:rPr>
          <w:color w:val="666666"/>
          <w:lang w:val="en-ZW"/>
        </w:rPr>
        <w:t xml:space="preserve"> t</w:t>
      </w:r>
      <w:r w:rsidRPr="00572CE7">
        <w:rPr>
          <w:color w:val="666666"/>
          <w:lang w:val="en-ZW"/>
        </w:rPr>
        <w:t xml:space="preserve">he applicant has no other satisfactory </w:t>
      </w:r>
      <w:r w:rsidR="008554AD" w:rsidRPr="00572CE7">
        <w:rPr>
          <w:color w:val="666666"/>
          <w:lang w:val="en-ZW"/>
        </w:rPr>
        <w:t>remedy. See</w:t>
      </w:r>
      <w:r w:rsidRPr="00572CE7">
        <w:rPr>
          <w:color w:val="666666"/>
          <w:lang w:val="en-ZW"/>
        </w:rPr>
        <w:t> </w:t>
      </w:r>
      <w:r w:rsidRPr="00572CE7">
        <w:rPr>
          <w:i/>
          <w:iCs/>
          <w:color w:val="666666"/>
          <w:lang w:val="en-ZW"/>
        </w:rPr>
        <w:t>Watson </w:t>
      </w:r>
      <w:r w:rsidRPr="00572CE7">
        <w:rPr>
          <w:color w:val="666666"/>
          <w:lang w:val="en-ZW"/>
        </w:rPr>
        <w:t>v</w:t>
      </w:r>
      <w:r w:rsidRPr="00572CE7">
        <w:rPr>
          <w:i/>
          <w:iCs/>
          <w:color w:val="666666"/>
          <w:lang w:val="en-ZW"/>
        </w:rPr>
        <w:t> Gilson Enterprises (Pvt) Ltd </w:t>
      </w:r>
      <w:r w:rsidRPr="00572CE7">
        <w:rPr>
          <w:color w:val="666666"/>
          <w:lang w:val="en-ZW"/>
        </w:rPr>
        <w:t>1997 (2) ZLR 318(H).</w:t>
      </w:r>
    </w:p>
    <w:p w14:paraId="1891A50E" w14:textId="73D1AA46" w:rsidR="00572CE7" w:rsidRDefault="008554AD" w:rsidP="00BB22BF">
      <w:pPr>
        <w:pStyle w:val="NormalWeb"/>
        <w:spacing w:line="276" w:lineRule="auto"/>
        <w:ind w:firstLine="720"/>
        <w:jc w:val="both"/>
        <w:rPr>
          <w:color w:val="666666"/>
          <w:lang w:val="en-GB"/>
        </w:rPr>
      </w:pPr>
      <w:r>
        <w:rPr>
          <w:color w:val="666666"/>
          <w:lang w:val="en-GB"/>
        </w:rPr>
        <w:t xml:space="preserve">It is trite that an application stands or falls on the founding </w:t>
      </w:r>
      <w:r w:rsidR="00DA5567">
        <w:rPr>
          <w:color w:val="666666"/>
          <w:lang w:val="en-GB"/>
        </w:rPr>
        <w:t>affidavit. The</w:t>
      </w:r>
      <w:r>
        <w:rPr>
          <w:color w:val="666666"/>
          <w:lang w:val="en-GB"/>
        </w:rPr>
        <w:t xml:space="preserve"> 1</w:t>
      </w:r>
      <w:r w:rsidRPr="008554AD">
        <w:rPr>
          <w:color w:val="666666"/>
          <w:vertAlign w:val="superscript"/>
          <w:lang w:val="en-GB"/>
        </w:rPr>
        <w:t>st</w:t>
      </w:r>
      <w:r>
        <w:rPr>
          <w:color w:val="666666"/>
          <w:lang w:val="en-GB"/>
        </w:rPr>
        <w:t xml:space="preserve"> applicant set out </w:t>
      </w:r>
      <w:r w:rsidR="00DA5567">
        <w:rPr>
          <w:color w:val="666666"/>
          <w:lang w:val="en-GB"/>
        </w:rPr>
        <w:t xml:space="preserve">the </w:t>
      </w:r>
      <w:r w:rsidR="00DA5567" w:rsidRPr="00DA5567">
        <w:rPr>
          <w:i/>
          <w:color w:val="666666"/>
          <w:lang w:val="en-GB"/>
        </w:rPr>
        <w:t>prima</w:t>
      </w:r>
      <w:r w:rsidRPr="00DA5567">
        <w:rPr>
          <w:i/>
          <w:color w:val="666666"/>
          <w:lang w:val="en-GB"/>
        </w:rPr>
        <w:t xml:space="preserve"> facie</w:t>
      </w:r>
      <w:r>
        <w:rPr>
          <w:color w:val="666666"/>
          <w:lang w:val="en-GB"/>
        </w:rPr>
        <w:t xml:space="preserve"> right in paragraphs 32 to 35 of </w:t>
      </w:r>
      <w:r w:rsidR="00DA5567">
        <w:rPr>
          <w:color w:val="666666"/>
          <w:lang w:val="en-GB"/>
        </w:rPr>
        <w:t>the</w:t>
      </w:r>
      <w:r>
        <w:rPr>
          <w:color w:val="666666"/>
          <w:lang w:val="en-GB"/>
        </w:rPr>
        <w:t xml:space="preserve"> fo</w:t>
      </w:r>
      <w:r w:rsidR="00DA5567">
        <w:rPr>
          <w:color w:val="666666"/>
          <w:lang w:val="en-GB"/>
        </w:rPr>
        <w:t xml:space="preserve">unding affidavit. In summary the right is premised on their occupation of the farm from 2017. That they have invested  </w:t>
      </w:r>
      <w:r w:rsidR="00EB6E14">
        <w:rPr>
          <w:color w:val="666666"/>
          <w:lang w:val="en-GB"/>
        </w:rPr>
        <w:t xml:space="preserve">thousands of </w:t>
      </w:r>
      <w:r w:rsidR="00982675">
        <w:rPr>
          <w:color w:val="666666"/>
          <w:lang w:val="en-GB"/>
        </w:rPr>
        <w:t>dollars in</w:t>
      </w:r>
      <w:r w:rsidR="00DA5567">
        <w:rPr>
          <w:color w:val="666666"/>
          <w:lang w:val="en-GB"/>
        </w:rPr>
        <w:t xml:space="preserve"> the farm, they have crops to be harvested and livestock to be protected, that they have entered into a farming contract and that the farm is now home for the family.</w:t>
      </w:r>
    </w:p>
    <w:p w14:paraId="4F63EC15" w14:textId="36D75DE1" w:rsidR="001005AB" w:rsidRDefault="00DA5567" w:rsidP="00BB22BF">
      <w:pPr>
        <w:pStyle w:val="NormalWeb"/>
        <w:spacing w:line="276" w:lineRule="auto"/>
        <w:ind w:firstLine="720"/>
        <w:jc w:val="both"/>
        <w:rPr>
          <w:color w:val="666666"/>
          <w:lang w:val="en-GB"/>
        </w:rPr>
      </w:pPr>
      <w:r>
        <w:rPr>
          <w:color w:val="666666"/>
          <w:lang w:val="en-GB"/>
        </w:rPr>
        <w:t xml:space="preserve">It is difficult to appreciate how the applicants rely on their stay on the farm as a right. </w:t>
      </w:r>
      <w:r w:rsidR="001005AB">
        <w:rPr>
          <w:color w:val="666666"/>
          <w:lang w:val="en-GB"/>
        </w:rPr>
        <w:t xml:space="preserve">I am </w:t>
      </w:r>
      <w:r>
        <w:rPr>
          <w:color w:val="666666"/>
          <w:lang w:val="en-GB"/>
        </w:rPr>
        <w:t>sure the right may be premised on the 2017 offer letter. The fa</w:t>
      </w:r>
      <w:r w:rsidR="00795770">
        <w:rPr>
          <w:color w:val="666666"/>
          <w:lang w:val="en-GB"/>
        </w:rPr>
        <w:t>c</w:t>
      </w:r>
      <w:r>
        <w:rPr>
          <w:color w:val="666666"/>
          <w:lang w:val="en-GB"/>
        </w:rPr>
        <w:t xml:space="preserve">t is that the offer letter that gave rise to their stay was withdrawn. The </w:t>
      </w:r>
      <w:r w:rsidR="00795770">
        <w:rPr>
          <w:color w:val="666666"/>
          <w:lang w:val="en-GB"/>
        </w:rPr>
        <w:t>applicant</w:t>
      </w:r>
      <w:r>
        <w:rPr>
          <w:color w:val="666666"/>
          <w:lang w:val="en-GB"/>
        </w:rPr>
        <w:t xml:space="preserve">s do not have a valid offer letter in respect of the farm. Their right is now limited to the land set out in the valid offer </w:t>
      </w:r>
      <w:r w:rsidR="001005AB">
        <w:rPr>
          <w:color w:val="666666"/>
          <w:lang w:val="en-GB"/>
        </w:rPr>
        <w:t xml:space="preserve">letter. </w:t>
      </w:r>
      <w:r w:rsidR="00795770">
        <w:rPr>
          <w:color w:val="666666"/>
          <w:lang w:val="en-GB"/>
        </w:rPr>
        <w:t xml:space="preserve">I find the expression of the applicants conduct synonymous with the appellant in the </w:t>
      </w:r>
      <w:r w:rsidR="001005AB">
        <w:rPr>
          <w:color w:val="666666"/>
          <w:lang w:val="en-GB"/>
        </w:rPr>
        <w:t xml:space="preserve"> </w:t>
      </w:r>
      <w:r w:rsidR="001005AB" w:rsidRPr="00EB6E14">
        <w:rPr>
          <w:i/>
          <w:color w:val="666666"/>
          <w:lang w:val="en-ZW"/>
        </w:rPr>
        <w:t>Airfield Investments (Private) Limited v  The Minister of Lands, Agriculture and Rural Resettlement &amp; Others</w:t>
      </w:r>
      <w:r w:rsidR="001005AB">
        <w:rPr>
          <w:rStyle w:val="FootnoteReference"/>
          <w:color w:val="666666"/>
          <w:lang w:val="en-ZW"/>
        </w:rPr>
        <w:footnoteReference w:id="6"/>
      </w:r>
      <w:r w:rsidR="001005AB">
        <w:rPr>
          <w:color w:val="666666"/>
          <w:lang w:val="en-ZW"/>
        </w:rPr>
        <w:t xml:space="preserve"> </w:t>
      </w:r>
      <w:r w:rsidR="00795770">
        <w:rPr>
          <w:color w:val="666666"/>
          <w:lang w:val="en-GB"/>
        </w:rPr>
        <w:t xml:space="preserve">case </w:t>
      </w:r>
      <w:r w:rsidR="00795770">
        <w:rPr>
          <w:color w:val="666666"/>
          <w:lang w:val="en-GB"/>
        </w:rPr>
        <w:lastRenderedPageBreak/>
        <w:t xml:space="preserve">.Although the appeal court was addressing provisions of the Land Acquisition Act the sentiments are apposite in this case , the court </w:t>
      </w:r>
      <w:r w:rsidR="00B374C0">
        <w:rPr>
          <w:color w:val="666666"/>
          <w:lang w:val="en-GB"/>
        </w:rPr>
        <w:t xml:space="preserve"> had this to say;</w:t>
      </w:r>
      <w:r>
        <w:rPr>
          <w:color w:val="666666"/>
          <w:lang w:val="en-GB"/>
        </w:rPr>
        <w:t xml:space="preserve"> </w:t>
      </w:r>
    </w:p>
    <w:p w14:paraId="65FE7C77" w14:textId="02742D8D" w:rsidR="00795770" w:rsidRDefault="00795770" w:rsidP="00BB22BF">
      <w:pPr>
        <w:pStyle w:val="NormalWeb"/>
        <w:spacing w:line="276" w:lineRule="auto"/>
        <w:ind w:left="720"/>
        <w:jc w:val="both"/>
        <w:rPr>
          <w:color w:val="666666"/>
          <w:sz w:val="22"/>
          <w:szCs w:val="22"/>
          <w:lang w:val="en-ZW"/>
        </w:rPr>
      </w:pPr>
      <w:r>
        <w:rPr>
          <w:color w:val="666666"/>
          <w:lang w:val="en-ZW"/>
        </w:rPr>
        <w:t>‘</w:t>
      </w:r>
      <w:r w:rsidRPr="00795770">
        <w:rPr>
          <w:color w:val="666666"/>
          <w:sz w:val="22"/>
          <w:szCs w:val="22"/>
          <w:lang w:val="en-ZW"/>
        </w:rPr>
        <w:t>The appellant was not in a position to show the existence of </w:t>
      </w:r>
      <w:r w:rsidRPr="00795770">
        <w:rPr>
          <w:i/>
          <w:iCs/>
          <w:color w:val="666666"/>
          <w:sz w:val="22"/>
          <w:szCs w:val="22"/>
          <w:lang w:val="en-ZW"/>
        </w:rPr>
        <w:t>prima facie</w:t>
      </w:r>
      <w:r w:rsidRPr="00795770">
        <w:rPr>
          <w:color w:val="666666"/>
          <w:sz w:val="22"/>
          <w:szCs w:val="22"/>
          <w:lang w:val="en-ZW"/>
        </w:rPr>
        <w:t> rights of ownership in the land which the first respondent was about to infringe because at the time it applied for the interim relief all the rights of ownership it had in the land had been taken by means of the order of acquisition and vested in the acquiring authority. When the appellant lodged the application for the interim relief before the court </w:t>
      </w:r>
      <w:r w:rsidRPr="00795770">
        <w:rPr>
          <w:i/>
          <w:iCs/>
          <w:color w:val="666666"/>
          <w:sz w:val="22"/>
          <w:szCs w:val="22"/>
          <w:lang w:val="en-ZW"/>
        </w:rPr>
        <w:t>a quo</w:t>
      </w:r>
      <w:r w:rsidRPr="00795770">
        <w:rPr>
          <w:color w:val="666666"/>
          <w:sz w:val="22"/>
          <w:szCs w:val="22"/>
          <w:lang w:val="en-ZW"/>
        </w:rPr>
        <w:t> the acquisition of the land by the State was a </w:t>
      </w:r>
      <w:r w:rsidRPr="00795770">
        <w:rPr>
          <w:i/>
          <w:iCs/>
          <w:color w:val="666666"/>
          <w:sz w:val="22"/>
          <w:szCs w:val="22"/>
          <w:lang w:val="en-ZW"/>
        </w:rPr>
        <w:t>fait accompli,</w:t>
      </w:r>
      <w:r w:rsidRPr="00795770">
        <w:rPr>
          <w:color w:val="666666"/>
          <w:sz w:val="22"/>
          <w:szCs w:val="22"/>
          <w:lang w:val="en-ZW"/>
        </w:rPr>
        <w:t> all rights of ownership having been extinguished on its part. The acquiring authority having done everything it was obliged by the law to do to acquire the land for resettlement purposes, there was no outstanding act against the performance of which the acquiring authority c</w:t>
      </w:r>
      <w:r>
        <w:rPr>
          <w:color w:val="666666"/>
          <w:sz w:val="22"/>
          <w:szCs w:val="22"/>
          <w:lang w:val="en-ZW"/>
        </w:rPr>
        <w:t>ould be temporarily interdicted.</w:t>
      </w:r>
    </w:p>
    <w:p w14:paraId="3E38DC08" w14:textId="6EF9BC0B" w:rsidR="00795770" w:rsidRDefault="00795770" w:rsidP="00BB22BF">
      <w:pPr>
        <w:pStyle w:val="NormalWeb"/>
        <w:spacing w:line="276" w:lineRule="auto"/>
        <w:ind w:left="720"/>
        <w:jc w:val="both"/>
        <w:rPr>
          <w:color w:val="666666"/>
          <w:sz w:val="22"/>
          <w:szCs w:val="22"/>
          <w:lang w:val="en-ZW"/>
        </w:rPr>
      </w:pPr>
      <w:r w:rsidRPr="00795770">
        <w:rPr>
          <w:color w:val="666666"/>
          <w:sz w:val="22"/>
          <w:szCs w:val="22"/>
          <w:lang w:val="en-ZW"/>
        </w:rPr>
        <w:t>An interim interdict is not a remedy for prohibiting lawful conduct. At the time the first respondent made the order by which the appellant was deprived of ownership of the land, he acted lawfully in the exercise of the power conferred upon him. Subsection (1) of s 8 of the Act gave him the power to make the order and its effect reflected the legal consequences of that lawful act.</w:t>
      </w:r>
      <w:r>
        <w:rPr>
          <w:color w:val="666666"/>
          <w:sz w:val="22"/>
          <w:szCs w:val="22"/>
          <w:lang w:val="en-ZW"/>
        </w:rPr>
        <w:t xml:space="preserve"> </w:t>
      </w:r>
    </w:p>
    <w:p w14:paraId="2158043C" w14:textId="045C47F8" w:rsidR="00DA5567" w:rsidRDefault="00795770" w:rsidP="00BB22BF">
      <w:pPr>
        <w:pStyle w:val="NormalWeb"/>
        <w:spacing w:line="276" w:lineRule="auto"/>
        <w:ind w:left="720"/>
        <w:jc w:val="both"/>
        <w:rPr>
          <w:color w:val="666666"/>
          <w:sz w:val="22"/>
          <w:szCs w:val="22"/>
          <w:lang w:val="en-ZW"/>
        </w:rPr>
      </w:pPr>
      <w:r w:rsidRPr="00795770">
        <w:rPr>
          <w:color w:val="666666"/>
          <w:sz w:val="22"/>
          <w:szCs w:val="22"/>
          <w:lang w:val="en-ZW"/>
        </w:rPr>
        <w:t>To suspend the effects of the order of acquisition lawfully made and intended by the legislature would amount to striking down the Act of Parliament or rendering it completely ineffective, thereby creating a vacuum pending determination of the constitutionality of the impugned sections of the Act. That would be improper for the court to do</w:t>
      </w:r>
      <w:r>
        <w:rPr>
          <w:color w:val="666666"/>
          <w:sz w:val="22"/>
          <w:szCs w:val="22"/>
          <w:lang w:val="en-ZW"/>
        </w:rPr>
        <w:t>…’</w:t>
      </w:r>
    </w:p>
    <w:p w14:paraId="6E89D1C9" w14:textId="3F211DD3" w:rsidR="00E025C8" w:rsidRPr="00EB322A" w:rsidRDefault="00F11E0B" w:rsidP="00EB322A">
      <w:pPr>
        <w:pStyle w:val="NormalWeb"/>
        <w:spacing w:line="276" w:lineRule="auto"/>
        <w:ind w:firstLine="720"/>
        <w:jc w:val="both"/>
        <w:rPr>
          <w:color w:val="666666"/>
          <w:lang w:val="en-ZW"/>
        </w:rPr>
      </w:pPr>
      <w:r w:rsidRPr="00EB322A">
        <w:rPr>
          <w:color w:val="666666"/>
          <w:lang w:val="en-ZW"/>
        </w:rPr>
        <w:t>The</w:t>
      </w:r>
      <w:r w:rsidR="001005AB" w:rsidRPr="00EB322A">
        <w:rPr>
          <w:color w:val="666666"/>
          <w:lang w:val="en-ZW"/>
        </w:rPr>
        <w:t xml:space="preserve"> case is </w:t>
      </w:r>
      <w:r w:rsidRPr="00EB322A">
        <w:rPr>
          <w:color w:val="666666"/>
          <w:lang w:val="en-ZW"/>
        </w:rPr>
        <w:t>authority for the following.</w:t>
      </w:r>
      <w:r w:rsidR="00C46BAF" w:rsidRPr="00EB322A">
        <w:rPr>
          <w:color w:val="666666"/>
          <w:lang w:val="en-ZW"/>
        </w:rPr>
        <w:t xml:space="preserve"> Firstly that the</w:t>
      </w:r>
      <w:r w:rsidRPr="00EB322A">
        <w:rPr>
          <w:color w:val="666666"/>
          <w:lang w:val="en-ZW"/>
        </w:rPr>
        <w:t xml:space="preserve"> </w:t>
      </w:r>
      <w:r w:rsidR="001005AB" w:rsidRPr="00EB322A">
        <w:rPr>
          <w:color w:val="666666"/>
          <w:lang w:val="en-ZW"/>
        </w:rPr>
        <w:t>applicant cannot claim a right that has been withdrawn by a lawful authority. The 1</w:t>
      </w:r>
      <w:r w:rsidR="001005AB" w:rsidRPr="00EB322A">
        <w:rPr>
          <w:color w:val="666666"/>
          <w:vertAlign w:val="superscript"/>
          <w:lang w:val="en-ZW"/>
        </w:rPr>
        <w:t>st</w:t>
      </w:r>
      <w:r w:rsidR="001005AB" w:rsidRPr="00EB322A">
        <w:rPr>
          <w:color w:val="666666"/>
          <w:lang w:val="en-ZW"/>
        </w:rPr>
        <w:t xml:space="preserve"> respondent is the administrative body </w:t>
      </w:r>
      <w:r w:rsidR="00C46BAF" w:rsidRPr="00EB322A">
        <w:rPr>
          <w:color w:val="666666"/>
          <w:lang w:val="en-ZW"/>
        </w:rPr>
        <w:t xml:space="preserve">reposed with power </w:t>
      </w:r>
      <w:r w:rsidR="001005AB" w:rsidRPr="00EB322A">
        <w:rPr>
          <w:color w:val="666666"/>
          <w:lang w:val="en-ZW"/>
        </w:rPr>
        <w:t xml:space="preserve">to offer letters on state land and the concurrent </w:t>
      </w:r>
      <w:r w:rsidR="00C46BAF" w:rsidRPr="00EB322A">
        <w:rPr>
          <w:color w:val="666666"/>
          <w:lang w:val="en-ZW"/>
        </w:rPr>
        <w:t>power</w:t>
      </w:r>
      <w:r w:rsidR="001005AB" w:rsidRPr="00EB322A">
        <w:rPr>
          <w:color w:val="666666"/>
          <w:lang w:val="en-ZW"/>
        </w:rPr>
        <w:t xml:space="preserve"> to withdraw such offer </w:t>
      </w:r>
      <w:r w:rsidR="00C46BAF" w:rsidRPr="00EB322A">
        <w:rPr>
          <w:color w:val="666666"/>
          <w:lang w:val="en-ZW"/>
        </w:rPr>
        <w:t>letters. Secondly, a</w:t>
      </w:r>
      <w:r w:rsidRPr="00EB322A">
        <w:rPr>
          <w:color w:val="666666"/>
          <w:lang w:val="en-ZW"/>
        </w:rPr>
        <w:t xml:space="preserve"> court cannot interdict a lawful process. The 1</w:t>
      </w:r>
      <w:r w:rsidRPr="00EB322A">
        <w:rPr>
          <w:color w:val="666666"/>
          <w:vertAlign w:val="superscript"/>
          <w:lang w:val="en-ZW"/>
        </w:rPr>
        <w:t>st</w:t>
      </w:r>
      <w:r w:rsidRPr="00EB322A">
        <w:rPr>
          <w:color w:val="666666"/>
          <w:lang w:val="en-ZW"/>
        </w:rPr>
        <w:t xml:space="preserve"> respondent’s </w:t>
      </w:r>
      <w:r w:rsidR="00C46BAF" w:rsidRPr="00EB322A">
        <w:rPr>
          <w:color w:val="666666"/>
          <w:lang w:val="en-ZW"/>
        </w:rPr>
        <w:t>withdrawal</w:t>
      </w:r>
      <w:r w:rsidRPr="00EB322A">
        <w:rPr>
          <w:color w:val="666666"/>
          <w:lang w:val="en-ZW"/>
        </w:rPr>
        <w:t xml:space="preserve"> of the 2017 offer letter to the applicants was done </w:t>
      </w:r>
      <w:r w:rsidR="00C46BAF" w:rsidRPr="00EB322A">
        <w:rPr>
          <w:color w:val="666666"/>
          <w:lang w:val="en-ZW"/>
        </w:rPr>
        <w:t>in terms of the law. It is assumed to be lawful until set aside. Thirdly, pendency of litigation does not give rights to the applicant. The 1</w:t>
      </w:r>
      <w:r w:rsidR="00C46BAF" w:rsidRPr="00EB322A">
        <w:rPr>
          <w:color w:val="666666"/>
          <w:vertAlign w:val="superscript"/>
          <w:lang w:val="en-ZW"/>
        </w:rPr>
        <w:t>st</w:t>
      </w:r>
      <w:r w:rsidR="00C46BAF" w:rsidRPr="00EB322A">
        <w:rPr>
          <w:color w:val="666666"/>
          <w:lang w:val="en-ZW"/>
        </w:rPr>
        <w:t xml:space="preserve"> respondent cannot be barred from conducting its duties based on pending litigation. In the final clearly the applicants</w:t>
      </w:r>
      <w:r w:rsidR="00B374C0" w:rsidRPr="00EB322A">
        <w:rPr>
          <w:color w:val="666666"/>
          <w:lang w:val="en-ZW"/>
        </w:rPr>
        <w:t xml:space="preserve"> failed to establish a prima</w:t>
      </w:r>
      <w:r w:rsidR="00C46BAF" w:rsidRPr="00EB322A">
        <w:rPr>
          <w:i/>
          <w:color w:val="666666"/>
          <w:lang w:val="en-ZW"/>
        </w:rPr>
        <w:t xml:space="preserve"> facie</w:t>
      </w:r>
      <w:r w:rsidR="00C46BAF" w:rsidRPr="00EB322A">
        <w:rPr>
          <w:color w:val="666666"/>
          <w:lang w:val="en-ZW"/>
        </w:rPr>
        <w:t xml:space="preserve"> right in the farm. As already stated their right is now b</w:t>
      </w:r>
      <w:r w:rsidR="00D03656" w:rsidRPr="00EB322A">
        <w:rPr>
          <w:color w:val="666666"/>
          <w:lang w:val="en-ZW"/>
        </w:rPr>
        <w:t>ased on the second offer letter and limited to the 488 hectares.</w:t>
      </w:r>
    </w:p>
    <w:p w14:paraId="68A3BC08" w14:textId="23416D65" w:rsidR="00FD6157" w:rsidRPr="00EB322A" w:rsidRDefault="00C46BAF" w:rsidP="00EB322A">
      <w:pPr>
        <w:pStyle w:val="NormalWeb"/>
        <w:spacing w:line="276" w:lineRule="auto"/>
        <w:ind w:firstLine="720"/>
        <w:jc w:val="both"/>
        <w:rPr>
          <w:color w:val="666666"/>
          <w:lang w:val="en-ZW"/>
        </w:rPr>
      </w:pPr>
      <w:r w:rsidRPr="00EB322A">
        <w:rPr>
          <w:color w:val="666666"/>
          <w:lang w:val="en-ZW"/>
        </w:rPr>
        <w:t xml:space="preserve">I inquired from </w:t>
      </w:r>
      <w:r w:rsidRPr="00EB322A">
        <w:rPr>
          <w:i/>
          <w:color w:val="666666"/>
          <w:lang w:val="en-ZW"/>
        </w:rPr>
        <w:t>Mr Mukwekwezeke</w:t>
      </w:r>
      <w:r w:rsidRPr="00EB322A">
        <w:rPr>
          <w:color w:val="666666"/>
          <w:lang w:val="en-ZW"/>
        </w:rPr>
        <w:t xml:space="preserve"> if the pending litigation gave rise to some rights to the applicants. His response was that indeed it did and undertook to file case law in support </w:t>
      </w:r>
      <w:r w:rsidR="00C92604" w:rsidRPr="00EB322A">
        <w:rPr>
          <w:color w:val="666666"/>
          <w:lang w:val="en-ZW"/>
        </w:rPr>
        <w:t>of the</w:t>
      </w:r>
      <w:r w:rsidRPr="00EB322A">
        <w:rPr>
          <w:color w:val="666666"/>
          <w:lang w:val="en-ZW"/>
        </w:rPr>
        <w:t xml:space="preserve"> submission. </w:t>
      </w:r>
      <w:r w:rsidR="00C92604" w:rsidRPr="00EB322A">
        <w:rPr>
          <w:color w:val="666666"/>
          <w:lang w:val="en-ZW"/>
        </w:rPr>
        <w:t>He file</w:t>
      </w:r>
      <w:r w:rsidR="00B374C0" w:rsidRPr="00EB322A">
        <w:rPr>
          <w:color w:val="666666"/>
          <w:lang w:val="en-ZW"/>
        </w:rPr>
        <w:t>d</w:t>
      </w:r>
      <w:r w:rsidR="00C92604" w:rsidRPr="00EB322A">
        <w:rPr>
          <w:color w:val="666666"/>
          <w:lang w:val="en-ZW"/>
        </w:rPr>
        <w:t xml:space="preserve"> two cases </w:t>
      </w:r>
      <w:r w:rsidR="00C92604" w:rsidRPr="00EB322A">
        <w:rPr>
          <w:i/>
          <w:color w:val="666666"/>
          <w:lang w:val="en-ZW"/>
        </w:rPr>
        <w:t>Setlogelo v Setlogelo</w:t>
      </w:r>
      <w:r w:rsidR="00C92604" w:rsidRPr="00EB322A">
        <w:rPr>
          <w:rStyle w:val="FootnoteReference"/>
          <w:i/>
          <w:color w:val="666666"/>
          <w:lang w:val="en-ZW"/>
        </w:rPr>
        <w:footnoteReference w:id="7"/>
      </w:r>
      <w:r w:rsidR="00C92604" w:rsidRPr="00EB322A">
        <w:rPr>
          <w:i/>
          <w:color w:val="666666"/>
          <w:lang w:val="en-ZW"/>
        </w:rPr>
        <w:t xml:space="preserve"> </w:t>
      </w:r>
      <w:r w:rsidR="00C92604" w:rsidRPr="00EB322A">
        <w:rPr>
          <w:color w:val="666666"/>
          <w:lang w:val="en-ZW"/>
        </w:rPr>
        <w:t xml:space="preserve">  the leading case on the requirements of an interdict. The second case relied on was </w:t>
      </w:r>
      <w:r w:rsidR="00C92604" w:rsidRPr="00EB322A">
        <w:rPr>
          <w:i/>
          <w:color w:val="666666"/>
          <w:lang w:val="en-ZW"/>
        </w:rPr>
        <w:t>Chunguno v Minister of Lands, Agriculture and Rural Resettlement</w:t>
      </w:r>
      <w:r w:rsidR="00C92604" w:rsidRPr="00EB322A">
        <w:rPr>
          <w:rStyle w:val="FootnoteReference"/>
          <w:i/>
          <w:color w:val="666666"/>
          <w:lang w:val="en-ZW"/>
        </w:rPr>
        <w:footnoteReference w:id="8"/>
      </w:r>
      <w:r w:rsidR="00C92604" w:rsidRPr="00EB322A">
        <w:rPr>
          <w:i/>
          <w:color w:val="666666"/>
          <w:lang w:val="en-ZW"/>
        </w:rPr>
        <w:t>.</w:t>
      </w:r>
      <w:r w:rsidR="00C92604" w:rsidRPr="00EB322A">
        <w:rPr>
          <w:color w:val="666666"/>
          <w:lang w:val="en-ZW"/>
        </w:rPr>
        <w:t xml:space="preserve"> </w:t>
      </w:r>
      <w:r w:rsidR="00D03656" w:rsidRPr="00EB322A">
        <w:rPr>
          <w:color w:val="666666"/>
          <w:lang w:val="en-ZW"/>
        </w:rPr>
        <w:t xml:space="preserve">In the </w:t>
      </w:r>
      <w:r w:rsidR="00C92604" w:rsidRPr="00EB322A">
        <w:rPr>
          <w:i/>
          <w:color w:val="666666"/>
          <w:lang w:val="en-ZW"/>
        </w:rPr>
        <w:t>Chunguno</w:t>
      </w:r>
      <w:r w:rsidR="00C92604" w:rsidRPr="00EB322A">
        <w:rPr>
          <w:color w:val="666666"/>
          <w:lang w:val="en-ZW"/>
        </w:rPr>
        <w:t xml:space="preserve"> case</w:t>
      </w:r>
      <w:r w:rsidR="00D03656" w:rsidRPr="00EB322A">
        <w:rPr>
          <w:color w:val="666666"/>
          <w:lang w:val="en-ZW"/>
        </w:rPr>
        <w:t xml:space="preserve"> the applicant’s offer letter had not been withdrawn, the two beneficiaries to the land were offered different portions of land. Thus the facts are </w:t>
      </w:r>
      <w:r w:rsidR="00D03656" w:rsidRPr="00EB322A">
        <w:rPr>
          <w:color w:val="666666"/>
          <w:lang w:val="en-ZW"/>
        </w:rPr>
        <w:lastRenderedPageBreak/>
        <w:t xml:space="preserve">distinguishable and the </w:t>
      </w:r>
      <w:r w:rsidR="00D03656" w:rsidRPr="00EB322A">
        <w:rPr>
          <w:i/>
          <w:color w:val="666666"/>
          <w:lang w:val="en-ZW"/>
        </w:rPr>
        <w:t>ratio decidendi</w:t>
      </w:r>
      <w:r w:rsidR="00D03656" w:rsidRPr="00EB322A">
        <w:rPr>
          <w:color w:val="666666"/>
          <w:lang w:val="en-ZW"/>
        </w:rPr>
        <w:t xml:space="preserve"> in that </w:t>
      </w:r>
      <w:r w:rsidR="00B374C0" w:rsidRPr="00EB322A">
        <w:rPr>
          <w:color w:val="666666"/>
          <w:lang w:val="en-ZW"/>
        </w:rPr>
        <w:t>case is not applicable in the circumstances of this case.</w:t>
      </w:r>
      <w:r w:rsidR="00D03656" w:rsidRPr="00EB322A">
        <w:rPr>
          <w:color w:val="666666"/>
          <w:lang w:val="en-ZW"/>
        </w:rPr>
        <w:t xml:space="preserve"> </w:t>
      </w:r>
    </w:p>
    <w:p w14:paraId="43D0A12F" w14:textId="79AFDABF" w:rsidR="00F25DA5" w:rsidRPr="00EB322A" w:rsidRDefault="00F25DA5" w:rsidP="00EB322A">
      <w:pPr>
        <w:pStyle w:val="NormalWeb"/>
        <w:spacing w:line="276" w:lineRule="auto"/>
        <w:ind w:firstLine="720"/>
        <w:jc w:val="both"/>
        <w:rPr>
          <w:color w:val="666666"/>
          <w:lang w:val="en-ZW"/>
        </w:rPr>
      </w:pPr>
      <w:r w:rsidRPr="00EB322A">
        <w:rPr>
          <w:color w:val="666666"/>
          <w:lang w:val="en-ZW"/>
        </w:rPr>
        <w:t xml:space="preserve">In respect of irreparable </w:t>
      </w:r>
      <w:r w:rsidR="00E86BDE" w:rsidRPr="00EB322A">
        <w:rPr>
          <w:color w:val="666666"/>
          <w:lang w:val="en-ZW"/>
        </w:rPr>
        <w:t>harm,</w:t>
      </w:r>
      <w:r w:rsidRPr="00EB322A">
        <w:rPr>
          <w:color w:val="666666"/>
          <w:lang w:val="en-ZW"/>
        </w:rPr>
        <w:t xml:space="preserve"> the applicants submitted that the investment in the farm is likely to be damaged by the new offerees.</w:t>
      </w:r>
      <w:r w:rsidR="00E86BDE" w:rsidRPr="00EB322A">
        <w:rPr>
          <w:color w:val="666666"/>
          <w:lang w:val="en-ZW"/>
        </w:rPr>
        <w:t xml:space="preserve"> </w:t>
      </w:r>
      <w:r w:rsidRPr="00EB322A">
        <w:rPr>
          <w:color w:val="666666"/>
          <w:lang w:val="en-ZW"/>
        </w:rPr>
        <w:t>There is no provision for compensation. Although the 1</w:t>
      </w:r>
      <w:r w:rsidRPr="00EB322A">
        <w:rPr>
          <w:color w:val="666666"/>
          <w:vertAlign w:val="superscript"/>
          <w:lang w:val="en-ZW"/>
        </w:rPr>
        <w:t>st</w:t>
      </w:r>
      <w:r w:rsidRPr="00EB322A">
        <w:rPr>
          <w:color w:val="666666"/>
          <w:lang w:val="en-ZW"/>
        </w:rPr>
        <w:t xml:space="preserve"> respondent submitted that a written undertaking was made to compensate the applicants I</w:t>
      </w:r>
      <w:r w:rsidR="00E86BDE" w:rsidRPr="00EB322A">
        <w:rPr>
          <w:color w:val="666666"/>
          <w:lang w:val="en-ZW"/>
        </w:rPr>
        <w:t xml:space="preserve"> do not think at this</w:t>
      </w:r>
      <w:r w:rsidR="00B83D9A">
        <w:rPr>
          <w:color w:val="666666"/>
          <w:lang w:val="en-ZW"/>
        </w:rPr>
        <w:t xml:space="preserve"> point there is irreparable </w:t>
      </w:r>
      <w:r w:rsidR="00E86BDE" w:rsidRPr="00EB322A">
        <w:rPr>
          <w:color w:val="666666"/>
          <w:lang w:val="en-ZW"/>
        </w:rPr>
        <w:t>harm</w:t>
      </w:r>
      <w:r w:rsidR="00EB322A">
        <w:rPr>
          <w:color w:val="666666"/>
          <w:lang w:val="en-ZW"/>
        </w:rPr>
        <w:t xml:space="preserve"> that the applicants are likely to suffer</w:t>
      </w:r>
      <w:r w:rsidR="00B83D9A">
        <w:rPr>
          <w:color w:val="666666"/>
          <w:lang w:val="en-ZW"/>
        </w:rPr>
        <w:t>.</w:t>
      </w:r>
      <w:r w:rsidR="00E86BDE" w:rsidRPr="00EB322A">
        <w:rPr>
          <w:color w:val="666666"/>
          <w:lang w:val="en-ZW"/>
        </w:rPr>
        <w:t xml:space="preserve"> The 2</w:t>
      </w:r>
      <w:r w:rsidR="00E86BDE" w:rsidRPr="00EB322A">
        <w:rPr>
          <w:color w:val="666666"/>
          <w:vertAlign w:val="superscript"/>
          <w:lang w:val="en-ZW"/>
        </w:rPr>
        <w:t>nd</w:t>
      </w:r>
      <w:r w:rsidR="00E86BDE" w:rsidRPr="00EB322A">
        <w:rPr>
          <w:color w:val="666666"/>
          <w:lang w:val="en-ZW"/>
        </w:rPr>
        <w:t xml:space="preserve"> respondent who is claiming title to the other part of the farm indicated that the applicants did not make improvements on the Gwebi Wood farm. The infrastructure on the farm is what he left and is actually in a dilapidated state. The</w:t>
      </w:r>
      <w:r w:rsidR="00272D0B" w:rsidRPr="00EB322A">
        <w:rPr>
          <w:color w:val="666666"/>
          <w:lang w:val="en-ZW"/>
        </w:rPr>
        <w:t xml:space="preserve"> applicants did </w:t>
      </w:r>
      <w:r w:rsidR="00E86BDE" w:rsidRPr="00EB322A">
        <w:rPr>
          <w:color w:val="666666"/>
          <w:lang w:val="en-ZW"/>
        </w:rPr>
        <w:t>not den</w:t>
      </w:r>
      <w:r w:rsidR="00272D0B" w:rsidRPr="00EB322A">
        <w:rPr>
          <w:color w:val="666666"/>
          <w:lang w:val="en-ZW"/>
        </w:rPr>
        <w:t>y</w:t>
      </w:r>
      <w:r w:rsidR="00E86BDE" w:rsidRPr="00EB322A">
        <w:rPr>
          <w:color w:val="666666"/>
          <w:lang w:val="en-ZW"/>
        </w:rPr>
        <w:t xml:space="preserve"> the assertions even </w:t>
      </w:r>
      <w:r w:rsidR="00B83D9A">
        <w:rPr>
          <w:color w:val="666666"/>
          <w:lang w:val="en-ZW"/>
        </w:rPr>
        <w:t>though</w:t>
      </w:r>
      <w:r w:rsidR="00E86BDE" w:rsidRPr="00EB322A">
        <w:rPr>
          <w:color w:val="666666"/>
          <w:lang w:val="en-ZW"/>
        </w:rPr>
        <w:t xml:space="preserve"> they had opportunity </w:t>
      </w:r>
      <w:r w:rsidR="00EB322A" w:rsidRPr="00EB322A">
        <w:rPr>
          <w:color w:val="666666"/>
          <w:lang w:val="en-ZW"/>
        </w:rPr>
        <w:t xml:space="preserve">to </w:t>
      </w:r>
      <w:r w:rsidR="00EB322A">
        <w:rPr>
          <w:color w:val="666666"/>
          <w:lang w:val="en-ZW"/>
        </w:rPr>
        <w:t xml:space="preserve">do </w:t>
      </w:r>
      <w:r w:rsidR="00E86BDE" w:rsidRPr="00EB322A">
        <w:rPr>
          <w:color w:val="666666"/>
          <w:lang w:val="en-ZW"/>
        </w:rPr>
        <w:t>so. They</w:t>
      </w:r>
      <w:r w:rsidR="00B83D9A">
        <w:rPr>
          <w:color w:val="666666"/>
          <w:lang w:val="en-ZW"/>
        </w:rPr>
        <w:t xml:space="preserve"> also </w:t>
      </w:r>
      <w:r w:rsidR="00B83D9A" w:rsidRPr="00EB322A">
        <w:rPr>
          <w:color w:val="666666"/>
          <w:lang w:val="en-ZW"/>
        </w:rPr>
        <w:t>did</w:t>
      </w:r>
      <w:r w:rsidR="00E86BDE" w:rsidRPr="00EB322A">
        <w:rPr>
          <w:color w:val="666666"/>
          <w:lang w:val="en-ZW"/>
        </w:rPr>
        <w:t xml:space="preserve"> not deny that</w:t>
      </w:r>
      <w:r w:rsidR="00272D0B" w:rsidRPr="00EB322A">
        <w:rPr>
          <w:color w:val="666666"/>
          <w:lang w:val="en-ZW"/>
        </w:rPr>
        <w:t>,</w:t>
      </w:r>
      <w:r w:rsidR="00E86BDE" w:rsidRPr="00EB322A">
        <w:rPr>
          <w:color w:val="666666"/>
          <w:lang w:val="en-ZW"/>
        </w:rPr>
        <w:t xml:space="preserve"> that part of the farm is not under use. It therefore means the assumed irreparable harm </w:t>
      </w:r>
      <w:r w:rsidR="00272D0B" w:rsidRPr="00EB322A">
        <w:rPr>
          <w:color w:val="666666"/>
          <w:lang w:val="en-ZW"/>
        </w:rPr>
        <w:t>can only</w:t>
      </w:r>
      <w:r w:rsidR="00E86BDE" w:rsidRPr="00EB322A">
        <w:rPr>
          <w:color w:val="666666"/>
          <w:lang w:val="en-ZW"/>
        </w:rPr>
        <w:t xml:space="preserve"> relate to the part that has not been offered to anyone. The </w:t>
      </w:r>
      <w:r w:rsidR="00B83D9A">
        <w:rPr>
          <w:color w:val="666666"/>
          <w:lang w:val="en-ZW"/>
        </w:rPr>
        <w:t xml:space="preserve">applicants do not know when the allocation will take place. </w:t>
      </w:r>
      <w:r w:rsidRPr="00EB322A">
        <w:rPr>
          <w:color w:val="666666"/>
          <w:lang w:val="en-ZW"/>
        </w:rPr>
        <w:t xml:space="preserve"> </w:t>
      </w:r>
    </w:p>
    <w:p w14:paraId="3568E2BE" w14:textId="77777777" w:rsidR="00FD6157" w:rsidRPr="00EB322A" w:rsidRDefault="00FD6157" w:rsidP="00BB22BF">
      <w:pPr>
        <w:pStyle w:val="NormalWeb"/>
        <w:spacing w:line="276" w:lineRule="auto"/>
        <w:ind w:left="720" w:firstLine="720"/>
        <w:jc w:val="both"/>
        <w:rPr>
          <w:rFonts w:ascii="Helvetica" w:hAnsi="Helvetica" w:cs="Helvetica"/>
          <w:color w:val="666666"/>
          <w:lang w:val="en-ZW" w:eastAsia="en-ZW"/>
        </w:rPr>
      </w:pPr>
      <w:r w:rsidRPr="00EB322A">
        <w:rPr>
          <w:color w:val="666666"/>
          <w:lang w:val="en-ZW"/>
        </w:rPr>
        <w:t>Spoliation</w:t>
      </w:r>
      <w:r w:rsidRPr="00EB322A">
        <w:rPr>
          <w:rFonts w:ascii="Helvetica" w:hAnsi="Helvetica" w:cs="Helvetica"/>
          <w:color w:val="666666"/>
          <w:lang w:val="en-ZW" w:eastAsia="en-ZW"/>
        </w:rPr>
        <w:t xml:space="preserve"> </w:t>
      </w:r>
    </w:p>
    <w:p w14:paraId="094AF148" w14:textId="06A92FA4" w:rsidR="00FD6157" w:rsidRPr="00B83D9A" w:rsidRDefault="00FD6157" w:rsidP="00B83D9A">
      <w:pPr>
        <w:pStyle w:val="NormalWeb"/>
        <w:spacing w:line="276" w:lineRule="auto"/>
        <w:ind w:firstLine="720"/>
        <w:jc w:val="both"/>
        <w:rPr>
          <w:color w:val="666666"/>
          <w:lang w:val="en-ZW"/>
        </w:rPr>
      </w:pPr>
      <w:r w:rsidRPr="00B83D9A">
        <w:rPr>
          <w:color w:val="666666"/>
          <w:lang w:val="en-ZW"/>
        </w:rPr>
        <w:t xml:space="preserve">Spoliation is a common law remedy </w:t>
      </w:r>
      <w:r w:rsidR="005575CD" w:rsidRPr="00B83D9A">
        <w:rPr>
          <w:color w:val="666666"/>
          <w:lang w:val="en-ZW"/>
        </w:rPr>
        <w:t>meant to discourage members</w:t>
      </w:r>
      <w:r w:rsidR="00B374C0" w:rsidRPr="00B83D9A">
        <w:rPr>
          <w:color w:val="666666"/>
          <w:lang w:val="en-ZW"/>
        </w:rPr>
        <w:t xml:space="preserve"> of the public</w:t>
      </w:r>
      <w:r w:rsidR="005575CD" w:rsidRPr="00B83D9A">
        <w:rPr>
          <w:color w:val="666666"/>
          <w:lang w:val="en-ZW"/>
        </w:rPr>
        <w:t xml:space="preserve"> from taking the law into their hands but to follow due process</w:t>
      </w:r>
      <w:r w:rsidR="00B374C0" w:rsidRPr="00B83D9A">
        <w:rPr>
          <w:color w:val="666666"/>
          <w:lang w:val="en-ZW"/>
        </w:rPr>
        <w:t xml:space="preserve">. </w:t>
      </w:r>
      <w:r w:rsidR="005575CD" w:rsidRPr="00B83D9A">
        <w:rPr>
          <w:color w:val="666666"/>
          <w:lang w:val="en-ZW"/>
        </w:rPr>
        <w:t>It</w:t>
      </w:r>
      <w:r w:rsidRPr="00B83D9A">
        <w:rPr>
          <w:color w:val="666666"/>
          <w:lang w:val="en-ZW"/>
        </w:rPr>
        <w:t xml:space="preserve"> has been described as a wrongful deprivation of possession.  The essential requirements for spoliation are set out in </w:t>
      </w:r>
      <w:r w:rsidRPr="00B83D9A">
        <w:rPr>
          <w:i/>
          <w:iCs/>
          <w:color w:val="666666"/>
          <w:lang w:val="en-ZW"/>
        </w:rPr>
        <w:t>Botha &amp; Anor v Barret</w:t>
      </w:r>
      <w:r w:rsidR="005575CD" w:rsidRPr="00B83D9A">
        <w:rPr>
          <w:rStyle w:val="FootnoteReference"/>
          <w:i/>
          <w:iCs/>
          <w:color w:val="666666"/>
          <w:lang w:val="en-ZW"/>
        </w:rPr>
        <w:footnoteReference w:id="9"/>
      </w:r>
      <w:r w:rsidRPr="00B83D9A">
        <w:rPr>
          <w:color w:val="666666"/>
          <w:lang w:val="en-ZW"/>
        </w:rPr>
        <w:t> </w:t>
      </w:r>
      <w:r w:rsidR="005575CD" w:rsidRPr="00B83D9A">
        <w:rPr>
          <w:color w:val="666666"/>
          <w:lang w:val="en-ZW"/>
        </w:rPr>
        <w:t xml:space="preserve"> where the court </w:t>
      </w:r>
      <w:r w:rsidRPr="00B83D9A">
        <w:rPr>
          <w:color w:val="666666"/>
          <w:lang w:val="en-ZW"/>
        </w:rPr>
        <w:t>stated that:</w:t>
      </w:r>
    </w:p>
    <w:p w14:paraId="44A69649" w14:textId="77777777" w:rsidR="005575CD" w:rsidRPr="00B83D9A" w:rsidRDefault="00FD6157" w:rsidP="00B83D9A">
      <w:pPr>
        <w:pStyle w:val="NormalWeb"/>
        <w:ind w:left="1440"/>
        <w:jc w:val="both"/>
        <w:rPr>
          <w:iCs/>
          <w:color w:val="666666"/>
          <w:sz w:val="22"/>
          <w:szCs w:val="22"/>
          <w:lang w:val="en-ZW"/>
        </w:rPr>
      </w:pPr>
      <w:r w:rsidRPr="00B83D9A">
        <w:rPr>
          <w:iCs/>
          <w:color w:val="666666"/>
          <w:sz w:val="22"/>
          <w:szCs w:val="22"/>
          <w:lang w:val="en-ZW"/>
        </w:rPr>
        <w:t>“It is clear that in order to obtain spoliation order, two allegations must be made and proved.  These are:</w:t>
      </w:r>
    </w:p>
    <w:p w14:paraId="5CF4668D" w14:textId="45E04177" w:rsidR="00FD6157" w:rsidRPr="00B83D9A" w:rsidRDefault="005575CD" w:rsidP="00B83D9A">
      <w:pPr>
        <w:pStyle w:val="NormalWeb"/>
        <w:ind w:left="2160"/>
        <w:jc w:val="both"/>
        <w:rPr>
          <w:color w:val="666666"/>
          <w:sz w:val="22"/>
          <w:szCs w:val="22"/>
          <w:lang w:val="en-ZW"/>
        </w:rPr>
      </w:pPr>
      <w:r w:rsidRPr="00B83D9A">
        <w:rPr>
          <w:iCs/>
          <w:color w:val="666666"/>
          <w:sz w:val="22"/>
          <w:szCs w:val="22"/>
          <w:lang w:val="en-ZW"/>
        </w:rPr>
        <w:t>1.</w:t>
      </w:r>
      <w:r w:rsidR="00FD6157" w:rsidRPr="00B83D9A">
        <w:rPr>
          <w:iCs/>
          <w:color w:val="666666"/>
          <w:sz w:val="22"/>
          <w:szCs w:val="22"/>
          <w:lang w:val="en-ZW"/>
        </w:rPr>
        <w:t>that the applicant was in peaceful and undisturbed possession of the farm; and</w:t>
      </w:r>
    </w:p>
    <w:p w14:paraId="270F083D" w14:textId="34067CEE" w:rsidR="00FD6157" w:rsidRPr="00B83D9A" w:rsidRDefault="005575CD" w:rsidP="00B83D9A">
      <w:pPr>
        <w:pStyle w:val="NormalWeb"/>
        <w:ind w:left="2160"/>
        <w:jc w:val="both"/>
        <w:rPr>
          <w:color w:val="666666"/>
          <w:sz w:val="22"/>
          <w:szCs w:val="22"/>
          <w:lang w:val="en-ZW"/>
        </w:rPr>
      </w:pPr>
      <w:r w:rsidRPr="00B83D9A">
        <w:rPr>
          <w:iCs/>
          <w:color w:val="666666"/>
          <w:sz w:val="22"/>
          <w:szCs w:val="22"/>
          <w:lang w:val="en-ZW"/>
        </w:rPr>
        <w:t>2.</w:t>
      </w:r>
      <w:r w:rsidR="00FD6157" w:rsidRPr="00B83D9A">
        <w:rPr>
          <w:iCs/>
          <w:color w:val="666666"/>
          <w:sz w:val="22"/>
          <w:szCs w:val="22"/>
          <w:lang w:val="en-ZW"/>
        </w:rPr>
        <w:t>that the respondent deprived him of the possession forcibly or wrongfully </w:t>
      </w:r>
      <w:r w:rsidR="00FD6157" w:rsidRPr="00B83D9A">
        <w:rPr>
          <w:b/>
          <w:bCs/>
          <w:iCs/>
          <w:color w:val="666666"/>
          <w:sz w:val="22"/>
          <w:szCs w:val="22"/>
          <w:lang w:val="en-ZW"/>
        </w:rPr>
        <w:t>against his consent</w:t>
      </w:r>
      <w:r w:rsidR="00FD6157" w:rsidRPr="00B83D9A">
        <w:rPr>
          <w:iCs/>
          <w:color w:val="666666"/>
          <w:sz w:val="22"/>
          <w:szCs w:val="22"/>
          <w:lang w:val="en-ZW"/>
        </w:rPr>
        <w:t>.</w:t>
      </w:r>
      <w:r w:rsidR="00FD6157" w:rsidRPr="00B83D9A">
        <w:rPr>
          <w:color w:val="666666"/>
          <w:sz w:val="22"/>
          <w:szCs w:val="22"/>
          <w:lang w:val="en-ZW"/>
        </w:rPr>
        <w:t>”</w:t>
      </w:r>
    </w:p>
    <w:p w14:paraId="06BBDDE9" w14:textId="0FB807CC" w:rsidR="00FD6157" w:rsidRPr="00B83D9A" w:rsidRDefault="00FD6157" w:rsidP="00B83D9A">
      <w:pPr>
        <w:pStyle w:val="NormalWeb"/>
        <w:spacing w:line="276" w:lineRule="auto"/>
        <w:ind w:firstLine="720"/>
        <w:jc w:val="both"/>
        <w:rPr>
          <w:color w:val="666666"/>
          <w:lang w:val="en-ZW"/>
        </w:rPr>
      </w:pPr>
      <w:r w:rsidRPr="00B83D9A">
        <w:rPr>
          <w:color w:val="666666"/>
          <w:lang w:val="en-ZW"/>
        </w:rPr>
        <w:t>(also see  </w:t>
      </w:r>
      <w:r w:rsidRPr="00B83D9A">
        <w:rPr>
          <w:i/>
          <w:iCs/>
          <w:color w:val="666666"/>
          <w:lang w:val="en-ZW"/>
        </w:rPr>
        <w:t>Chisveto v Minister of Lo</w:t>
      </w:r>
      <w:r w:rsidR="005575CD" w:rsidRPr="00B83D9A">
        <w:rPr>
          <w:i/>
          <w:iCs/>
          <w:color w:val="666666"/>
          <w:lang w:val="en-ZW"/>
        </w:rPr>
        <w:t>c</w:t>
      </w:r>
      <w:r w:rsidRPr="00B83D9A">
        <w:rPr>
          <w:i/>
          <w:iCs/>
          <w:color w:val="666666"/>
          <w:lang w:val="en-ZW"/>
        </w:rPr>
        <w:t>al Government and Town Planning</w:t>
      </w:r>
      <w:r w:rsidRPr="00B83D9A">
        <w:rPr>
          <w:color w:val="666666"/>
          <w:lang w:val="en-ZW"/>
        </w:rPr>
        <w:t>1984 (1) ZLR 248 (H), </w:t>
      </w:r>
      <w:r w:rsidRPr="00B83D9A">
        <w:rPr>
          <w:b/>
          <w:bCs/>
          <w:color w:val="666666"/>
          <w:lang w:val="en-ZW"/>
        </w:rPr>
        <w:t xml:space="preserve">  </w:t>
      </w:r>
      <w:r w:rsidRPr="00B83D9A">
        <w:rPr>
          <w:i/>
          <w:iCs/>
          <w:color w:val="666666"/>
          <w:lang w:val="en-ZW"/>
        </w:rPr>
        <w:t>Matimbura v Matimbura</w:t>
      </w:r>
      <w:r w:rsidR="005575CD" w:rsidRPr="00B83D9A">
        <w:rPr>
          <w:i/>
          <w:iCs/>
          <w:color w:val="666666"/>
          <w:lang w:val="en-ZW"/>
        </w:rPr>
        <w:t xml:space="preserve"> </w:t>
      </w:r>
      <w:r w:rsidR="005575CD" w:rsidRPr="00B83D9A">
        <w:rPr>
          <w:color w:val="666666"/>
          <w:lang w:val="en-ZW"/>
        </w:rPr>
        <w:t>SC 173/</w:t>
      </w:r>
      <w:r w:rsidRPr="00B83D9A">
        <w:rPr>
          <w:color w:val="666666"/>
          <w:lang w:val="en-ZW"/>
        </w:rPr>
        <w:t>98, </w:t>
      </w:r>
      <w:r w:rsidRPr="00B83D9A">
        <w:rPr>
          <w:i/>
          <w:iCs/>
          <w:color w:val="666666"/>
          <w:lang w:val="en-ZW"/>
        </w:rPr>
        <w:t>Magadzire v Magadzire </w:t>
      </w:r>
      <w:r w:rsidR="005575CD" w:rsidRPr="00B83D9A">
        <w:rPr>
          <w:color w:val="666666"/>
          <w:lang w:val="en-ZW"/>
        </w:rPr>
        <w:t>SC 196/</w:t>
      </w:r>
      <w:r w:rsidRPr="00B83D9A">
        <w:rPr>
          <w:color w:val="666666"/>
          <w:lang w:val="en-ZW"/>
        </w:rPr>
        <w:t>98, and </w:t>
      </w:r>
      <w:r w:rsidRPr="00B83D9A">
        <w:rPr>
          <w:i/>
          <w:iCs/>
          <w:color w:val="666666"/>
          <w:lang w:val="en-ZW"/>
        </w:rPr>
        <w:t>Karori (Pvt) Ltd &amp; Anor v Brigadier Mujaji</w:t>
      </w:r>
      <w:r w:rsidRPr="00B83D9A">
        <w:rPr>
          <w:color w:val="666666"/>
          <w:lang w:val="en-ZW"/>
        </w:rPr>
        <w:t> HH 23-07.)</w:t>
      </w:r>
      <w:r w:rsidR="00E8256D" w:rsidRPr="00B83D9A">
        <w:rPr>
          <w:color w:val="666666"/>
          <w:lang w:val="en-ZW"/>
        </w:rPr>
        <w:t>.The applicants have to establish their case on a balance of probabilities since the order sought is final in nature.</w:t>
      </w:r>
    </w:p>
    <w:p w14:paraId="50B1720E" w14:textId="18081C88" w:rsidR="005575CD" w:rsidRPr="00B83D9A" w:rsidRDefault="005575CD" w:rsidP="00BB22BF">
      <w:pPr>
        <w:pStyle w:val="NormalWeb"/>
        <w:spacing w:line="276" w:lineRule="auto"/>
        <w:jc w:val="both"/>
        <w:rPr>
          <w:color w:val="666666"/>
          <w:lang w:val="en-ZW"/>
        </w:rPr>
      </w:pPr>
      <w:r w:rsidRPr="00B83D9A">
        <w:rPr>
          <w:color w:val="666666"/>
          <w:lang w:val="en-ZW"/>
        </w:rPr>
        <w:tab/>
      </w:r>
      <w:r w:rsidRPr="00B83D9A">
        <w:rPr>
          <w:color w:val="666666"/>
          <w:lang w:val="en-ZW"/>
        </w:rPr>
        <w:tab/>
        <w:t>According to the applic</w:t>
      </w:r>
      <w:r w:rsidR="00DE7FFA" w:rsidRPr="00B83D9A">
        <w:rPr>
          <w:color w:val="666666"/>
          <w:lang w:val="en-ZW"/>
        </w:rPr>
        <w:t>ant</w:t>
      </w:r>
      <w:r w:rsidR="00F80415" w:rsidRPr="00B83D9A">
        <w:rPr>
          <w:color w:val="666666"/>
          <w:lang w:val="en-ZW"/>
        </w:rPr>
        <w:t>s</w:t>
      </w:r>
      <w:r w:rsidR="00DE7FFA" w:rsidRPr="00B83D9A">
        <w:rPr>
          <w:color w:val="666666"/>
          <w:lang w:val="en-ZW"/>
        </w:rPr>
        <w:t xml:space="preserve"> they were in peaceful and undisturbed</w:t>
      </w:r>
      <w:r w:rsidRPr="00B83D9A">
        <w:rPr>
          <w:color w:val="666666"/>
          <w:lang w:val="en-ZW"/>
        </w:rPr>
        <w:t xml:space="preserve"> possession of the farm until the</w:t>
      </w:r>
      <w:r w:rsidR="00DE7FFA" w:rsidRPr="00B83D9A">
        <w:rPr>
          <w:color w:val="666666"/>
          <w:lang w:val="en-ZW"/>
        </w:rPr>
        <w:t xml:space="preserve"> 12</w:t>
      </w:r>
      <w:r w:rsidR="00DE7FFA" w:rsidRPr="00B83D9A">
        <w:rPr>
          <w:color w:val="666666"/>
          <w:vertAlign w:val="superscript"/>
          <w:lang w:val="en-ZW"/>
        </w:rPr>
        <w:t>th</w:t>
      </w:r>
      <w:r w:rsidR="00DE7FFA" w:rsidRPr="00B83D9A">
        <w:rPr>
          <w:color w:val="666666"/>
          <w:lang w:val="en-ZW"/>
        </w:rPr>
        <w:t xml:space="preserve"> of July when the 2</w:t>
      </w:r>
      <w:r w:rsidR="00DE7FFA" w:rsidRPr="00B83D9A">
        <w:rPr>
          <w:color w:val="666666"/>
          <w:vertAlign w:val="superscript"/>
          <w:lang w:val="en-ZW"/>
        </w:rPr>
        <w:t>nd</w:t>
      </w:r>
      <w:r w:rsidR="00DE7FFA" w:rsidRPr="00B83D9A">
        <w:rPr>
          <w:color w:val="666666"/>
          <w:lang w:val="en-ZW"/>
        </w:rPr>
        <w:t xml:space="preserve"> respondent removed their guards and brought in farming equipment to occupy the </w:t>
      </w:r>
      <w:r w:rsidR="00F80415" w:rsidRPr="00B83D9A">
        <w:rPr>
          <w:color w:val="666666"/>
          <w:lang w:val="en-ZW"/>
        </w:rPr>
        <w:t>farm. Two</w:t>
      </w:r>
      <w:r w:rsidR="00DE7FFA" w:rsidRPr="00B83D9A">
        <w:rPr>
          <w:color w:val="666666"/>
          <w:lang w:val="en-ZW"/>
        </w:rPr>
        <w:t xml:space="preserve"> affidavits were attached from security guards who confirmed the </w:t>
      </w:r>
      <w:r w:rsidR="00E8256D" w:rsidRPr="00B83D9A">
        <w:rPr>
          <w:color w:val="666666"/>
          <w:lang w:val="en-ZW"/>
        </w:rPr>
        <w:t>events that</w:t>
      </w:r>
      <w:r w:rsidR="00DE7FFA" w:rsidRPr="00B83D9A">
        <w:rPr>
          <w:color w:val="666666"/>
          <w:lang w:val="en-ZW"/>
        </w:rPr>
        <w:t xml:space="preserve"> the 2</w:t>
      </w:r>
      <w:r w:rsidR="00DE7FFA" w:rsidRPr="00B83D9A">
        <w:rPr>
          <w:color w:val="666666"/>
          <w:vertAlign w:val="superscript"/>
          <w:lang w:val="en-ZW"/>
        </w:rPr>
        <w:t>nd</w:t>
      </w:r>
      <w:r w:rsidR="00DE7FFA" w:rsidRPr="00B83D9A">
        <w:rPr>
          <w:color w:val="666666"/>
          <w:lang w:val="en-ZW"/>
        </w:rPr>
        <w:t xml:space="preserve"> respondent’s son actually went to the farm and threatened the guards. Maxwell Muranganwa the head security guard indicated that the 2</w:t>
      </w:r>
      <w:r w:rsidR="00DE7FFA" w:rsidRPr="00B83D9A">
        <w:rPr>
          <w:color w:val="666666"/>
          <w:vertAlign w:val="superscript"/>
          <w:lang w:val="en-ZW"/>
        </w:rPr>
        <w:t>nd</w:t>
      </w:r>
      <w:r w:rsidR="00DE7FFA" w:rsidRPr="00B83D9A">
        <w:rPr>
          <w:color w:val="666666"/>
          <w:lang w:val="en-ZW"/>
        </w:rPr>
        <w:t xml:space="preserve"> respondent’s son brought in tractors and other farming equipment in the farm compound</w:t>
      </w:r>
      <w:r w:rsidR="00F80415" w:rsidRPr="00B83D9A">
        <w:rPr>
          <w:color w:val="666666"/>
          <w:lang w:val="en-ZW"/>
        </w:rPr>
        <w:t xml:space="preserve"> and indicated that they were taking over the farm</w:t>
      </w:r>
      <w:r w:rsidR="00DE7FFA" w:rsidRPr="00B83D9A">
        <w:rPr>
          <w:color w:val="666666"/>
          <w:lang w:val="en-ZW"/>
        </w:rPr>
        <w:t>. The facts were not denied by the 2</w:t>
      </w:r>
      <w:r w:rsidR="00DE7FFA" w:rsidRPr="00B83D9A">
        <w:rPr>
          <w:color w:val="666666"/>
          <w:vertAlign w:val="superscript"/>
          <w:lang w:val="en-ZW"/>
        </w:rPr>
        <w:t>nd</w:t>
      </w:r>
      <w:r w:rsidR="00DE7FFA" w:rsidRPr="00B83D9A">
        <w:rPr>
          <w:color w:val="666666"/>
          <w:lang w:val="en-ZW"/>
        </w:rPr>
        <w:t xml:space="preserve"> respondent. However in his opposing affidavit the 2</w:t>
      </w:r>
      <w:r w:rsidR="00DE7FFA" w:rsidRPr="00B83D9A">
        <w:rPr>
          <w:color w:val="666666"/>
          <w:vertAlign w:val="superscript"/>
          <w:lang w:val="en-ZW"/>
        </w:rPr>
        <w:t>nd</w:t>
      </w:r>
      <w:r w:rsidR="00DE7FFA" w:rsidRPr="00B83D9A">
        <w:rPr>
          <w:color w:val="666666"/>
          <w:lang w:val="en-ZW"/>
        </w:rPr>
        <w:t xml:space="preserve"> respondent justified his occupation on his title deed. H</w:t>
      </w:r>
      <w:r w:rsidR="00F80415" w:rsidRPr="00B83D9A">
        <w:rPr>
          <w:color w:val="666666"/>
          <w:lang w:val="en-ZW"/>
        </w:rPr>
        <w:t xml:space="preserve">is claim was </w:t>
      </w:r>
      <w:r w:rsidR="00F80415" w:rsidRPr="00B83D9A">
        <w:rPr>
          <w:color w:val="666666"/>
          <w:lang w:val="en-ZW"/>
        </w:rPr>
        <w:lastRenderedPageBreak/>
        <w:t>that he is the lawful owner of the Gwebi Wood Farm which was acquired from him. It was consolidated with the RE of Sigaro and offered to the applicants. His title deed was subsequently restored. He also indicated that he confined his occupation to the unutilised portion of the land. Photographs were attached showing a dilapidated farm house, unused chicken run and fallow land.</w:t>
      </w:r>
      <w:r w:rsidR="00F80415" w:rsidRPr="00B83D9A">
        <w:rPr>
          <w:i/>
          <w:color w:val="666666"/>
          <w:lang w:val="en-ZW"/>
        </w:rPr>
        <w:t xml:space="preserve"> Mr Kachambwa</w:t>
      </w:r>
      <w:r w:rsidR="00F80415" w:rsidRPr="00B83D9A">
        <w:rPr>
          <w:color w:val="666666"/>
          <w:lang w:val="en-ZW"/>
        </w:rPr>
        <w:t xml:space="preserve"> in his oral submissions weighed in that the applicants were not in possession of that part of the farm because they were no</w:t>
      </w:r>
      <w:r w:rsidR="00E43FAD" w:rsidRPr="00B83D9A">
        <w:rPr>
          <w:color w:val="666666"/>
          <w:lang w:val="en-ZW"/>
        </w:rPr>
        <w:t>t</w:t>
      </w:r>
      <w:r w:rsidR="00F80415" w:rsidRPr="00B83D9A">
        <w:rPr>
          <w:color w:val="666666"/>
          <w:lang w:val="en-ZW"/>
        </w:rPr>
        <w:t xml:space="preserve"> using it. Therefore </w:t>
      </w:r>
      <w:r w:rsidR="00E43FAD" w:rsidRPr="00B83D9A">
        <w:rPr>
          <w:color w:val="666666"/>
          <w:lang w:val="en-ZW"/>
        </w:rPr>
        <w:t>there was</w:t>
      </w:r>
      <w:r w:rsidR="00F80415" w:rsidRPr="00B83D9A">
        <w:rPr>
          <w:color w:val="666666"/>
          <w:lang w:val="en-ZW"/>
        </w:rPr>
        <w:t xml:space="preserve"> no spoliation to talk of.</w:t>
      </w:r>
    </w:p>
    <w:p w14:paraId="49254493" w14:textId="1D67C093" w:rsidR="009825EB" w:rsidRPr="00B83D9A" w:rsidRDefault="009825EB" w:rsidP="00BB22BF">
      <w:pPr>
        <w:pStyle w:val="NormalWeb"/>
        <w:spacing w:line="276" w:lineRule="auto"/>
        <w:ind w:firstLine="720"/>
        <w:jc w:val="both"/>
        <w:rPr>
          <w:rFonts w:asciiTheme="minorHAnsi" w:eastAsiaTheme="minorHAnsi" w:hAnsiTheme="minorHAnsi" w:cstheme="minorBidi"/>
          <w:color w:val="666666"/>
          <w:lang w:val="en-ZW"/>
        </w:rPr>
      </w:pPr>
      <w:r w:rsidRPr="00B83D9A">
        <w:rPr>
          <w:color w:val="666666"/>
          <w:lang w:val="en-ZW"/>
        </w:rPr>
        <w:t>In</w:t>
      </w:r>
      <w:r w:rsidR="00E43FAD" w:rsidRPr="00B83D9A">
        <w:rPr>
          <w:color w:val="666666"/>
          <w:lang w:val="en-ZW"/>
        </w:rPr>
        <w:t xml:space="preserve"> </w:t>
      </w:r>
      <w:r w:rsidR="00694882" w:rsidRPr="00B83D9A">
        <w:rPr>
          <w:bCs/>
          <w:i/>
          <w:iCs/>
          <w:color w:val="666666"/>
        </w:rPr>
        <w:t>Superintendent Remembrancer Legal Affairs vs Anil Kumar</w:t>
      </w:r>
      <w:r w:rsidR="00694882" w:rsidRPr="00B83D9A">
        <w:rPr>
          <w:rStyle w:val="FootnoteReference"/>
          <w:bCs/>
          <w:i/>
          <w:iCs/>
          <w:color w:val="666666"/>
        </w:rPr>
        <w:footnoteReference w:id="10"/>
      </w:r>
      <w:r w:rsidR="00694882" w:rsidRPr="00B83D9A">
        <w:rPr>
          <w:color w:val="666666"/>
          <w:lang w:val="en-ZW"/>
        </w:rPr>
        <w:t xml:space="preserve"> the court noted that </w:t>
      </w:r>
      <w:r w:rsidRPr="00B83D9A">
        <w:rPr>
          <w:color w:val="666666"/>
          <w:lang w:val="en-ZW"/>
        </w:rPr>
        <w:t xml:space="preserve">a one size fits all definition of possession is difficult </w:t>
      </w:r>
      <w:r w:rsidR="00694882" w:rsidRPr="00B83D9A">
        <w:rPr>
          <w:color w:val="666666"/>
          <w:lang w:val="en-ZW"/>
        </w:rPr>
        <w:t xml:space="preserve">but it is agreed </w:t>
      </w:r>
      <w:r w:rsidR="00B374C0" w:rsidRPr="00B83D9A">
        <w:rPr>
          <w:color w:val="666666"/>
          <w:lang w:val="en-ZW"/>
        </w:rPr>
        <w:t>that possession</w:t>
      </w:r>
      <w:r w:rsidR="00694882" w:rsidRPr="00B83D9A">
        <w:rPr>
          <w:color w:val="666666"/>
        </w:rPr>
        <w:t xml:space="preserve"> has two essential elements actual power over the object possessed. i.e. </w:t>
      </w:r>
      <w:r w:rsidR="00694882" w:rsidRPr="00B83D9A">
        <w:rPr>
          <w:i/>
          <w:iCs/>
          <w:color w:val="666666"/>
        </w:rPr>
        <w:t>corpus possessionis</w:t>
      </w:r>
      <w:r w:rsidR="00694882" w:rsidRPr="00B83D9A">
        <w:rPr>
          <w:color w:val="666666"/>
        </w:rPr>
        <w:t> and intention of the possessor to exclude any interference from others. i.e. </w:t>
      </w:r>
      <w:r w:rsidR="00694882" w:rsidRPr="00B83D9A">
        <w:rPr>
          <w:i/>
          <w:iCs/>
          <w:color w:val="666666"/>
        </w:rPr>
        <w:t>animus possidendi.</w:t>
      </w:r>
      <w:r w:rsidR="00694882" w:rsidRPr="00B83D9A">
        <w:rPr>
          <w:color w:val="666666"/>
        </w:rPr>
        <w:t xml:space="preserve"> Possession is factual as well as legal concept.</w:t>
      </w:r>
      <w:r w:rsidRPr="00B83D9A">
        <w:rPr>
          <w:rFonts w:asciiTheme="minorHAnsi" w:eastAsiaTheme="minorHAnsi" w:hAnsiTheme="minorHAnsi" w:cstheme="minorBidi"/>
          <w:color w:val="666666"/>
          <w:lang w:val="en-ZW"/>
        </w:rPr>
        <w:t xml:space="preserve"> </w:t>
      </w:r>
    </w:p>
    <w:p w14:paraId="6F0331C8" w14:textId="10A5F87F" w:rsidR="009825EB" w:rsidRPr="00B83D9A" w:rsidRDefault="009825EB" w:rsidP="00BB22BF">
      <w:pPr>
        <w:pStyle w:val="NormalWeb"/>
        <w:spacing w:line="276" w:lineRule="auto"/>
        <w:ind w:firstLine="720"/>
        <w:jc w:val="both"/>
        <w:rPr>
          <w:color w:val="666666"/>
        </w:rPr>
      </w:pPr>
      <w:r w:rsidRPr="00B83D9A">
        <w:rPr>
          <w:color w:val="666666"/>
          <w:lang w:val="en-ZW"/>
        </w:rPr>
        <w:t>Although the applicants did not file an answering affidavit disputing the facts set out that the land occupied was unused, l do not take that as a ground to despoil them. In my view it is not in dispute that the applicants held an offer letter in respect of the farm. It is not in dispute that they exercise</w:t>
      </w:r>
      <w:r w:rsidR="00B374C0" w:rsidRPr="00B83D9A">
        <w:rPr>
          <w:color w:val="666666"/>
          <w:lang w:val="en-ZW"/>
        </w:rPr>
        <w:t>d</w:t>
      </w:r>
      <w:r w:rsidRPr="00B83D9A">
        <w:rPr>
          <w:color w:val="666666"/>
          <w:lang w:val="en-ZW"/>
        </w:rPr>
        <w:t xml:space="preserve"> rights over the farm. The fact of the possession is confirmed by the presence of the security guards on the farm. The fact that the main house</w:t>
      </w:r>
      <w:r w:rsidR="00B374C0" w:rsidRPr="00B83D9A">
        <w:rPr>
          <w:color w:val="666666"/>
          <w:lang w:val="en-ZW"/>
        </w:rPr>
        <w:t>,</w:t>
      </w:r>
      <w:r w:rsidRPr="00B83D9A">
        <w:rPr>
          <w:color w:val="666666"/>
          <w:lang w:val="en-ZW"/>
        </w:rPr>
        <w:t xml:space="preserve"> the chicken run and the land on that part of the farm lay fallow does not mean there was no possession. Despite the withdrawal of the offer letter, the 2</w:t>
      </w:r>
      <w:r w:rsidRPr="00B83D9A">
        <w:rPr>
          <w:color w:val="666666"/>
          <w:vertAlign w:val="superscript"/>
          <w:lang w:val="en-ZW"/>
        </w:rPr>
        <w:t>nd</w:t>
      </w:r>
      <w:r w:rsidRPr="00B83D9A">
        <w:rPr>
          <w:color w:val="666666"/>
          <w:lang w:val="en-ZW"/>
        </w:rPr>
        <w:t xml:space="preserve"> respondent is required to take occupation in terms of the law. Even if it can be said the applicants are now unlawfully occupying the land they must be protected from unlawful conduct. At this stage the court does not have to inquire into </w:t>
      </w:r>
      <w:r w:rsidR="00E8256D" w:rsidRPr="00B83D9A">
        <w:rPr>
          <w:color w:val="666666"/>
          <w:lang w:val="en-ZW"/>
        </w:rPr>
        <w:t>ownership,</w:t>
      </w:r>
      <w:r w:rsidRPr="00B83D9A">
        <w:rPr>
          <w:color w:val="666666"/>
          <w:lang w:val="en-ZW"/>
        </w:rPr>
        <w:t xml:space="preserve"> it is about possession only. See </w:t>
      </w:r>
      <w:r w:rsidRPr="00B83D9A">
        <w:rPr>
          <w:i/>
          <w:color w:val="666666"/>
        </w:rPr>
        <w:t xml:space="preserve">Etheredge </w:t>
      </w:r>
      <w:r w:rsidR="00E8256D" w:rsidRPr="00B83D9A">
        <w:rPr>
          <w:i/>
          <w:color w:val="666666"/>
        </w:rPr>
        <w:t xml:space="preserve">  v </w:t>
      </w:r>
      <w:r w:rsidRPr="00B83D9A">
        <w:rPr>
          <w:i/>
          <w:color w:val="666666"/>
        </w:rPr>
        <w:t>Minister of State for National Security Resp</w:t>
      </w:r>
      <w:r w:rsidR="00E8256D" w:rsidRPr="00B83D9A">
        <w:rPr>
          <w:i/>
          <w:color w:val="666666"/>
        </w:rPr>
        <w:t>onsible for Lands, Land Reform a</w:t>
      </w:r>
      <w:r w:rsidRPr="00B83D9A">
        <w:rPr>
          <w:i/>
          <w:color w:val="666666"/>
        </w:rPr>
        <w:t>nd Resettlement and Another</w:t>
      </w:r>
      <w:r w:rsidRPr="00B83D9A">
        <w:rPr>
          <w:rStyle w:val="FootnoteReference"/>
          <w:color w:val="666666"/>
        </w:rPr>
        <w:footnoteReference w:id="11"/>
      </w:r>
      <w:r w:rsidR="00E8256D" w:rsidRPr="00B83D9A">
        <w:rPr>
          <w:i/>
          <w:color w:val="666666"/>
        </w:rPr>
        <w:t>.</w:t>
      </w:r>
    </w:p>
    <w:p w14:paraId="2CC5A0AC" w14:textId="653F3B19" w:rsidR="00E8256D" w:rsidRPr="00B83D9A" w:rsidRDefault="00E8256D" w:rsidP="00BB22BF">
      <w:pPr>
        <w:pStyle w:val="NormalWeb"/>
        <w:spacing w:line="276" w:lineRule="auto"/>
        <w:ind w:firstLine="720"/>
        <w:jc w:val="both"/>
        <w:rPr>
          <w:color w:val="666666"/>
        </w:rPr>
      </w:pPr>
      <w:r w:rsidRPr="00B83D9A">
        <w:rPr>
          <w:color w:val="666666"/>
        </w:rPr>
        <w:t xml:space="preserve">In the final the applicants have failed in their quest for an interim interdict. The application partially succeeds in respect of the spoliation order sought. </w:t>
      </w:r>
    </w:p>
    <w:p w14:paraId="42C6C2C9" w14:textId="14A15251" w:rsidR="00652345" w:rsidRPr="00B83D9A" w:rsidRDefault="00652345" w:rsidP="00BB22BF">
      <w:pPr>
        <w:pStyle w:val="NormalWeb"/>
        <w:spacing w:line="276" w:lineRule="auto"/>
        <w:ind w:firstLine="720"/>
        <w:jc w:val="both"/>
        <w:rPr>
          <w:color w:val="666666"/>
        </w:rPr>
      </w:pPr>
      <w:r w:rsidRPr="00B83D9A">
        <w:rPr>
          <w:color w:val="666666"/>
        </w:rPr>
        <w:t>Since the application partially succeeded each party must bear its costs.</w:t>
      </w:r>
    </w:p>
    <w:p w14:paraId="45CB0AC5" w14:textId="6A9EB903" w:rsidR="00E8256D" w:rsidRPr="00B83D9A" w:rsidRDefault="00E8256D" w:rsidP="00BB22BF">
      <w:pPr>
        <w:pStyle w:val="NormalWeb"/>
        <w:spacing w:line="276" w:lineRule="auto"/>
        <w:ind w:firstLine="720"/>
        <w:jc w:val="both"/>
        <w:rPr>
          <w:color w:val="666666"/>
        </w:rPr>
      </w:pPr>
      <w:r w:rsidRPr="00B83D9A">
        <w:rPr>
          <w:color w:val="666666"/>
        </w:rPr>
        <w:t>Accordingly the following order is made</w:t>
      </w:r>
    </w:p>
    <w:p w14:paraId="1B50EAD9" w14:textId="6DD33CD6" w:rsidR="00A64E1E" w:rsidRPr="00B83D9A" w:rsidRDefault="00A64E1E" w:rsidP="00BB22BF">
      <w:pPr>
        <w:pStyle w:val="NormalWeb"/>
        <w:numPr>
          <w:ilvl w:val="0"/>
          <w:numId w:val="7"/>
        </w:numPr>
        <w:spacing w:line="276" w:lineRule="auto"/>
        <w:jc w:val="both"/>
        <w:rPr>
          <w:color w:val="666666"/>
        </w:rPr>
      </w:pPr>
      <w:r w:rsidRPr="00B83D9A">
        <w:rPr>
          <w:color w:val="666666"/>
        </w:rPr>
        <w:t xml:space="preserve">The </w:t>
      </w:r>
      <w:r w:rsidR="00B374C0" w:rsidRPr="00B83D9A">
        <w:rPr>
          <w:color w:val="666666"/>
        </w:rPr>
        <w:t xml:space="preserve">provisional order </w:t>
      </w:r>
      <w:r w:rsidR="00652345" w:rsidRPr="00B83D9A">
        <w:rPr>
          <w:color w:val="666666"/>
        </w:rPr>
        <w:t>for an</w:t>
      </w:r>
      <w:r w:rsidRPr="00B83D9A">
        <w:rPr>
          <w:color w:val="666666"/>
        </w:rPr>
        <w:t xml:space="preserve"> interim interdict be and is hereby dismissed.</w:t>
      </w:r>
    </w:p>
    <w:p w14:paraId="1968F57F" w14:textId="59B2390B" w:rsidR="00E8256D" w:rsidRPr="00B83D9A" w:rsidRDefault="00E8256D" w:rsidP="00BB22BF">
      <w:pPr>
        <w:pStyle w:val="NormalWeb"/>
        <w:numPr>
          <w:ilvl w:val="0"/>
          <w:numId w:val="7"/>
        </w:numPr>
        <w:spacing w:line="276" w:lineRule="auto"/>
        <w:jc w:val="both"/>
        <w:rPr>
          <w:i/>
          <w:color w:val="666666"/>
        </w:rPr>
      </w:pPr>
      <w:r w:rsidRPr="00B83D9A">
        <w:rPr>
          <w:color w:val="666666"/>
        </w:rPr>
        <w:t xml:space="preserve">The application for </w:t>
      </w:r>
      <w:r w:rsidR="00A64E1E" w:rsidRPr="00B83D9A">
        <w:rPr>
          <w:color w:val="666666"/>
        </w:rPr>
        <w:t>spoliation is granted.</w:t>
      </w:r>
    </w:p>
    <w:p w14:paraId="0BFE3ED6" w14:textId="2C179ACF" w:rsidR="00E8256D" w:rsidRPr="00B83D9A" w:rsidRDefault="00E8256D" w:rsidP="00BB22BF">
      <w:pPr>
        <w:pStyle w:val="NormalWeb"/>
        <w:numPr>
          <w:ilvl w:val="0"/>
          <w:numId w:val="7"/>
        </w:numPr>
        <w:spacing w:line="276" w:lineRule="auto"/>
        <w:jc w:val="both"/>
        <w:rPr>
          <w:i/>
          <w:color w:val="666666"/>
        </w:rPr>
      </w:pPr>
      <w:r w:rsidRPr="00B83D9A">
        <w:rPr>
          <w:color w:val="666666"/>
        </w:rPr>
        <w:t>The 2</w:t>
      </w:r>
      <w:r w:rsidRPr="00B83D9A">
        <w:rPr>
          <w:color w:val="666666"/>
          <w:vertAlign w:val="superscript"/>
        </w:rPr>
        <w:t>nd</w:t>
      </w:r>
      <w:r w:rsidRPr="00B83D9A">
        <w:rPr>
          <w:color w:val="666666"/>
        </w:rPr>
        <w:t xml:space="preserve"> respondent or anyone acting through him or under his instruction be and are hereby cease immediately all evictions of the applicants and removal of his property or farm workers.</w:t>
      </w:r>
    </w:p>
    <w:p w14:paraId="0D31019D" w14:textId="1E7A0097" w:rsidR="00E8256D" w:rsidRPr="00B83D9A" w:rsidRDefault="00E8256D" w:rsidP="00BB22BF">
      <w:pPr>
        <w:pStyle w:val="NormalWeb"/>
        <w:numPr>
          <w:ilvl w:val="0"/>
          <w:numId w:val="7"/>
        </w:numPr>
        <w:spacing w:line="276" w:lineRule="auto"/>
        <w:jc w:val="both"/>
        <w:rPr>
          <w:i/>
          <w:color w:val="666666"/>
        </w:rPr>
      </w:pPr>
      <w:r w:rsidRPr="00B83D9A">
        <w:rPr>
          <w:color w:val="666666"/>
        </w:rPr>
        <w:t>The 2</w:t>
      </w:r>
      <w:r w:rsidRPr="00B83D9A">
        <w:rPr>
          <w:color w:val="666666"/>
          <w:vertAlign w:val="superscript"/>
        </w:rPr>
        <w:t>nd</w:t>
      </w:r>
      <w:r w:rsidRPr="00B83D9A">
        <w:rPr>
          <w:color w:val="666666"/>
        </w:rPr>
        <w:t xml:space="preserve"> respondent is ordered to return any and all portions of the farm called Model A2, Phase II in respect of subdivision Consolidation measuring 1 804,9719 HA</w:t>
      </w:r>
      <w:r w:rsidR="00652345" w:rsidRPr="00B83D9A">
        <w:rPr>
          <w:color w:val="666666"/>
        </w:rPr>
        <w:t xml:space="preserve"> of RE </w:t>
      </w:r>
      <w:r w:rsidR="00652345" w:rsidRPr="00B83D9A">
        <w:rPr>
          <w:color w:val="666666"/>
        </w:rPr>
        <w:lastRenderedPageBreak/>
        <w:t>of Sigaro &amp; Gwebi Wood of</w:t>
      </w:r>
      <w:r w:rsidRPr="00B83D9A">
        <w:rPr>
          <w:color w:val="666666"/>
        </w:rPr>
        <w:t xml:space="preserve"> Sigaro farm in the District of Mazowe Mashonaland Central Province.</w:t>
      </w:r>
    </w:p>
    <w:p w14:paraId="65E95EDE" w14:textId="44E95858" w:rsidR="00A64E1E" w:rsidRPr="00B83D9A" w:rsidRDefault="00A64E1E" w:rsidP="00BB22BF">
      <w:pPr>
        <w:pStyle w:val="NormalWeb"/>
        <w:numPr>
          <w:ilvl w:val="0"/>
          <w:numId w:val="7"/>
        </w:numPr>
        <w:spacing w:line="276" w:lineRule="auto"/>
        <w:jc w:val="both"/>
        <w:rPr>
          <w:i/>
          <w:color w:val="666666"/>
        </w:rPr>
      </w:pPr>
      <w:r w:rsidRPr="00B83D9A">
        <w:rPr>
          <w:color w:val="666666"/>
        </w:rPr>
        <w:t>No order as to costs.</w:t>
      </w:r>
    </w:p>
    <w:p w14:paraId="008FEEB7" w14:textId="77777777" w:rsidR="00E8256D" w:rsidRPr="00B83D9A" w:rsidRDefault="00E8256D" w:rsidP="00BB22BF">
      <w:pPr>
        <w:pStyle w:val="NormalWeb"/>
        <w:spacing w:line="276" w:lineRule="auto"/>
        <w:ind w:firstLine="720"/>
        <w:jc w:val="both"/>
        <w:rPr>
          <w:i/>
          <w:color w:val="666666"/>
        </w:rPr>
      </w:pPr>
    </w:p>
    <w:p w14:paraId="2C092FAD" w14:textId="77777777" w:rsidR="00A976DB" w:rsidRPr="00B83D9A" w:rsidRDefault="001A14B0" w:rsidP="00BB22BF">
      <w:pPr>
        <w:pStyle w:val="NormalWeb"/>
        <w:shd w:val="clear" w:color="auto" w:fill="FFFFFF"/>
        <w:spacing w:before="0" w:beforeAutospacing="0" w:after="0" w:afterAutospacing="0" w:line="276" w:lineRule="auto"/>
        <w:ind w:firstLine="720"/>
        <w:jc w:val="both"/>
        <w:rPr>
          <w:color w:val="666666"/>
        </w:rPr>
      </w:pPr>
      <w:r w:rsidRPr="00B83D9A">
        <w:rPr>
          <w:i/>
          <w:color w:val="666666"/>
        </w:rPr>
        <w:t>Chimwamurombe Legal Practice Zenas Chambers,</w:t>
      </w:r>
      <w:r w:rsidRPr="00B83D9A">
        <w:rPr>
          <w:color w:val="666666"/>
        </w:rPr>
        <w:t xml:space="preserve"> applicant’s legal practitioners</w:t>
      </w:r>
    </w:p>
    <w:p w14:paraId="3729DF3B" w14:textId="7776BA37" w:rsidR="001450C1" w:rsidRPr="00B83D9A" w:rsidRDefault="001A14B0" w:rsidP="00BB22BF">
      <w:pPr>
        <w:pStyle w:val="NormalWeb"/>
        <w:shd w:val="clear" w:color="auto" w:fill="FFFFFF"/>
        <w:spacing w:before="0" w:beforeAutospacing="0" w:after="0" w:afterAutospacing="0" w:line="276" w:lineRule="auto"/>
        <w:ind w:firstLine="720"/>
        <w:jc w:val="both"/>
        <w:rPr>
          <w:color w:val="666666"/>
        </w:rPr>
      </w:pPr>
      <w:r w:rsidRPr="00B83D9A">
        <w:rPr>
          <w:i/>
          <w:color w:val="666666"/>
        </w:rPr>
        <w:t>Civil Division of the Attorney General’s Office</w:t>
      </w:r>
      <w:r w:rsidRPr="00B83D9A">
        <w:rPr>
          <w:color w:val="666666"/>
        </w:rPr>
        <w:t>, respondent’s legal practitioners</w:t>
      </w:r>
    </w:p>
    <w:p w14:paraId="20D2BCEE" w14:textId="242308C5" w:rsidR="00A976DB" w:rsidRPr="00B83D9A" w:rsidRDefault="00A976DB" w:rsidP="00BB22BF">
      <w:pPr>
        <w:pStyle w:val="NormalWeb"/>
        <w:shd w:val="clear" w:color="auto" w:fill="FFFFFF"/>
        <w:spacing w:before="0" w:beforeAutospacing="0" w:after="0" w:afterAutospacing="0" w:line="276" w:lineRule="auto"/>
        <w:ind w:firstLine="720"/>
        <w:jc w:val="both"/>
        <w:rPr>
          <w:color w:val="666666"/>
        </w:rPr>
      </w:pPr>
      <w:r w:rsidRPr="00B83D9A">
        <w:rPr>
          <w:i/>
          <w:color w:val="666666"/>
        </w:rPr>
        <w:t>Madzima,Chidyausiku &amp; Museta</w:t>
      </w:r>
      <w:r w:rsidRPr="00B83D9A">
        <w:rPr>
          <w:color w:val="666666"/>
        </w:rPr>
        <w:t xml:space="preserve"> ,2</w:t>
      </w:r>
      <w:r w:rsidRPr="00B83D9A">
        <w:rPr>
          <w:color w:val="666666"/>
          <w:vertAlign w:val="superscript"/>
        </w:rPr>
        <w:t>nd</w:t>
      </w:r>
      <w:r w:rsidRPr="00B83D9A">
        <w:rPr>
          <w:color w:val="666666"/>
        </w:rPr>
        <w:t xml:space="preserve"> respondent’s legal practitioners</w:t>
      </w:r>
    </w:p>
    <w:p w14:paraId="26621B39" w14:textId="24BF871F" w:rsidR="006042FA" w:rsidRPr="00B83D9A" w:rsidRDefault="006042FA" w:rsidP="00BB22BF">
      <w:pPr>
        <w:pStyle w:val="NormalWeb"/>
        <w:shd w:val="clear" w:color="auto" w:fill="FFFFFF"/>
        <w:spacing w:before="0" w:beforeAutospacing="0" w:after="168" w:afterAutospacing="0" w:line="276" w:lineRule="auto"/>
        <w:ind w:firstLine="720"/>
        <w:jc w:val="both"/>
        <w:rPr>
          <w:color w:val="666666"/>
        </w:rPr>
      </w:pPr>
      <w:r w:rsidRPr="00B83D9A">
        <w:rPr>
          <w:color w:val="666666"/>
        </w:rPr>
        <w:t xml:space="preserve"> </w:t>
      </w:r>
    </w:p>
    <w:p w14:paraId="2518B9E8" w14:textId="3CC59727" w:rsidR="00B04BCF" w:rsidRPr="00B83D9A" w:rsidRDefault="00B87806" w:rsidP="00BB22BF">
      <w:pPr>
        <w:pStyle w:val="NormalWeb"/>
        <w:shd w:val="clear" w:color="auto" w:fill="FFFFFF"/>
        <w:spacing w:before="0" w:beforeAutospacing="0" w:after="168" w:afterAutospacing="0" w:line="276" w:lineRule="auto"/>
        <w:ind w:firstLine="720"/>
        <w:jc w:val="both"/>
        <w:rPr>
          <w:color w:val="666666"/>
        </w:rPr>
      </w:pPr>
      <w:r w:rsidRPr="00B83D9A">
        <w:rPr>
          <w:color w:val="666666"/>
        </w:rPr>
        <w:t xml:space="preserve">  </w:t>
      </w:r>
    </w:p>
    <w:p w14:paraId="35E53576" w14:textId="77777777" w:rsidR="00F0716B" w:rsidRPr="00B83D9A" w:rsidRDefault="00F0716B" w:rsidP="00BB22BF">
      <w:pPr>
        <w:pStyle w:val="NormalWeb"/>
        <w:shd w:val="clear" w:color="auto" w:fill="FFFFFF"/>
        <w:spacing w:before="0" w:beforeAutospacing="0" w:after="168" w:afterAutospacing="0" w:line="276" w:lineRule="auto"/>
        <w:jc w:val="both"/>
        <w:rPr>
          <w:color w:val="666666"/>
        </w:rPr>
      </w:pPr>
    </w:p>
    <w:p w14:paraId="233D60C9" w14:textId="1415216A" w:rsidR="00C1249E" w:rsidRPr="00B83D9A" w:rsidRDefault="00824F3A" w:rsidP="00BB22BF">
      <w:pPr>
        <w:spacing w:line="276" w:lineRule="auto"/>
        <w:jc w:val="both"/>
        <w:rPr>
          <w:sz w:val="24"/>
          <w:szCs w:val="24"/>
        </w:rPr>
      </w:pPr>
      <w:r w:rsidRPr="00B83D9A">
        <w:rPr>
          <w:sz w:val="24"/>
          <w:szCs w:val="24"/>
        </w:rPr>
        <w:t xml:space="preserve"> </w:t>
      </w:r>
    </w:p>
    <w:sectPr w:rsidR="00C1249E" w:rsidRPr="00B83D9A" w:rsidSect="00656EB2">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D4778" w14:textId="77777777" w:rsidR="00190EEE" w:rsidRDefault="00190EEE" w:rsidP="001450C1">
      <w:pPr>
        <w:spacing w:after="0" w:line="240" w:lineRule="auto"/>
      </w:pPr>
      <w:r>
        <w:separator/>
      </w:r>
    </w:p>
  </w:endnote>
  <w:endnote w:type="continuationSeparator" w:id="0">
    <w:p w14:paraId="11214015" w14:textId="77777777" w:rsidR="00190EEE" w:rsidRDefault="00190EEE" w:rsidP="0014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35A2" w14:textId="77777777" w:rsidR="00190EEE" w:rsidRDefault="00190EEE" w:rsidP="001450C1">
      <w:pPr>
        <w:spacing w:after="0" w:line="240" w:lineRule="auto"/>
      </w:pPr>
      <w:r>
        <w:separator/>
      </w:r>
    </w:p>
  </w:footnote>
  <w:footnote w:type="continuationSeparator" w:id="0">
    <w:p w14:paraId="300E118F" w14:textId="77777777" w:rsidR="00190EEE" w:rsidRDefault="00190EEE" w:rsidP="001450C1">
      <w:pPr>
        <w:spacing w:after="0" w:line="240" w:lineRule="auto"/>
      </w:pPr>
      <w:r>
        <w:continuationSeparator/>
      </w:r>
    </w:p>
  </w:footnote>
  <w:footnote w:id="1">
    <w:p w14:paraId="592EB9C6" w14:textId="77777777" w:rsidR="00E025C8" w:rsidRDefault="00E025C8" w:rsidP="00E025C8">
      <w:pPr>
        <w:pStyle w:val="FootnoteText"/>
      </w:pPr>
      <w:r>
        <w:rPr>
          <w:rStyle w:val="FootnoteReference"/>
        </w:rPr>
        <w:footnoteRef/>
      </w:r>
      <w:r>
        <w:t xml:space="preserve"> SC 32/18</w:t>
      </w:r>
    </w:p>
  </w:footnote>
  <w:footnote w:id="2">
    <w:p w14:paraId="7099C3FB" w14:textId="77777777" w:rsidR="00E025C8" w:rsidRPr="00A61B10" w:rsidRDefault="00E025C8" w:rsidP="00E025C8">
      <w:pPr>
        <w:pStyle w:val="FootnoteText"/>
        <w:rPr>
          <w:lang w:val="en-ZW"/>
        </w:rPr>
      </w:pPr>
      <w:r>
        <w:rPr>
          <w:rStyle w:val="FootnoteReference"/>
        </w:rPr>
        <w:footnoteRef/>
      </w:r>
      <w:r>
        <w:t xml:space="preserve"> </w:t>
      </w:r>
      <w:r w:rsidRPr="00A61B10">
        <w:t>HH 31/02</w:t>
      </w:r>
    </w:p>
  </w:footnote>
  <w:footnote w:id="3">
    <w:p w14:paraId="26C580CB" w14:textId="3BEEC676" w:rsidR="008B68C3" w:rsidRDefault="008B68C3">
      <w:pPr>
        <w:pStyle w:val="FootnoteText"/>
      </w:pPr>
      <w:r>
        <w:rPr>
          <w:rStyle w:val="FootnoteReference"/>
        </w:rPr>
        <w:footnoteRef/>
      </w:r>
      <w:r>
        <w:t xml:space="preserve"> </w:t>
      </w:r>
      <w:r w:rsidRPr="008B68C3">
        <w:rPr>
          <w:lang w:val="en-ZW"/>
        </w:rPr>
        <w:t>SC 5/09</w:t>
      </w:r>
    </w:p>
  </w:footnote>
  <w:footnote w:id="4">
    <w:p w14:paraId="30E7BD15" w14:textId="113580D3" w:rsidR="008B68C3" w:rsidRDefault="008B68C3">
      <w:pPr>
        <w:pStyle w:val="FootnoteText"/>
      </w:pPr>
      <w:r>
        <w:rPr>
          <w:rStyle w:val="FootnoteReference"/>
        </w:rPr>
        <w:footnoteRef/>
      </w:r>
      <w:r>
        <w:t xml:space="preserve"> </w:t>
      </w:r>
      <w:r w:rsidRPr="008B68C3">
        <w:rPr>
          <w:lang w:val="en-ZW"/>
        </w:rPr>
        <w:t>The Civil Practice of the Supreme Court of South Africa 4</w:t>
      </w:r>
      <w:r w:rsidRPr="008B68C3">
        <w:rPr>
          <w:vertAlign w:val="superscript"/>
          <w:lang w:val="en-ZW"/>
        </w:rPr>
        <w:t>th</w:t>
      </w:r>
      <w:r w:rsidRPr="008B68C3">
        <w:rPr>
          <w:lang w:val="en-ZW"/>
        </w:rPr>
        <w:t xml:space="preserve">  ed by Van Winsen, Cilliers and Loots at p 249</w:t>
      </w:r>
    </w:p>
  </w:footnote>
  <w:footnote w:id="5">
    <w:p w14:paraId="60B02D51" w14:textId="49045FE7" w:rsidR="00590D13" w:rsidRDefault="00590D13">
      <w:pPr>
        <w:pStyle w:val="FootnoteText"/>
      </w:pPr>
      <w:r>
        <w:rPr>
          <w:rStyle w:val="FootnoteReference"/>
        </w:rPr>
        <w:footnoteRef/>
      </w:r>
      <w:r>
        <w:t xml:space="preserve"> </w:t>
      </w:r>
      <w:r w:rsidRPr="00590D13">
        <w:rPr>
          <w:lang w:val="en-GB"/>
        </w:rPr>
        <w:t xml:space="preserve">Zimbabwe Anti-Corruption Commission v Siney Uhse HH534/15 </w:t>
      </w:r>
      <w:r>
        <w:rPr>
          <w:lang w:val="en-GB"/>
        </w:rPr>
        <w:t>;</w:t>
      </w:r>
      <w:r w:rsidRPr="00590D13">
        <w:rPr>
          <w:lang w:val="en-GB"/>
        </w:rPr>
        <w:t xml:space="preserve"> Tonbridge Assets Limited And Ors v Livera Trading (Private) Limited And Ors</w:t>
      </w:r>
      <w:r>
        <w:rPr>
          <w:lang w:val="en-GB"/>
        </w:rPr>
        <w:t xml:space="preserve"> HH574/16</w:t>
      </w:r>
    </w:p>
  </w:footnote>
  <w:footnote w:id="6">
    <w:p w14:paraId="15663EC4" w14:textId="452DA0AE" w:rsidR="001005AB" w:rsidRDefault="001005AB">
      <w:pPr>
        <w:pStyle w:val="FootnoteText"/>
      </w:pPr>
      <w:r>
        <w:rPr>
          <w:rStyle w:val="FootnoteReference"/>
        </w:rPr>
        <w:footnoteRef/>
      </w:r>
      <w:r>
        <w:t xml:space="preserve"> SC36/04</w:t>
      </w:r>
    </w:p>
  </w:footnote>
  <w:footnote w:id="7">
    <w:p w14:paraId="026E152C" w14:textId="6D2D08D4" w:rsidR="00C92604" w:rsidRDefault="00C92604">
      <w:pPr>
        <w:pStyle w:val="FootnoteText"/>
      </w:pPr>
      <w:r>
        <w:rPr>
          <w:rStyle w:val="FootnoteReference"/>
        </w:rPr>
        <w:footnoteRef/>
      </w:r>
      <w:r>
        <w:t xml:space="preserve"> 1914 AD 221</w:t>
      </w:r>
    </w:p>
  </w:footnote>
  <w:footnote w:id="8">
    <w:p w14:paraId="3B42D837" w14:textId="108E1EB9" w:rsidR="00C92604" w:rsidRDefault="00C92604">
      <w:pPr>
        <w:pStyle w:val="FootnoteText"/>
      </w:pPr>
      <w:r>
        <w:rPr>
          <w:rStyle w:val="FootnoteReference"/>
        </w:rPr>
        <w:footnoteRef/>
      </w:r>
      <w:r>
        <w:t xml:space="preserve">  HMT 9/18</w:t>
      </w:r>
    </w:p>
  </w:footnote>
  <w:footnote w:id="9">
    <w:p w14:paraId="23ED86FB" w14:textId="707428A6" w:rsidR="005575CD" w:rsidRDefault="005575CD">
      <w:pPr>
        <w:pStyle w:val="FootnoteText"/>
      </w:pPr>
      <w:r>
        <w:rPr>
          <w:rStyle w:val="FootnoteReference"/>
        </w:rPr>
        <w:footnoteRef/>
      </w:r>
      <w:r>
        <w:t xml:space="preserve"> </w:t>
      </w:r>
      <w:r w:rsidRPr="005575CD">
        <w:rPr>
          <w:lang w:val="en-ZW"/>
        </w:rPr>
        <w:t xml:space="preserve">1996 (2) ZLR 73 </w:t>
      </w:r>
      <w:r>
        <w:rPr>
          <w:lang w:val="en-ZW"/>
        </w:rPr>
        <w:t xml:space="preserve"> @</w:t>
      </w:r>
      <w:r w:rsidRPr="005575CD">
        <w:rPr>
          <w:lang w:val="en-ZW"/>
        </w:rPr>
        <w:t>79D-E</w:t>
      </w:r>
    </w:p>
  </w:footnote>
  <w:footnote w:id="10">
    <w:p w14:paraId="4A1323E3" w14:textId="6AEF87FB" w:rsidR="00694882" w:rsidRDefault="00694882">
      <w:pPr>
        <w:pStyle w:val="FootnoteText"/>
      </w:pPr>
      <w:r>
        <w:rPr>
          <w:rStyle w:val="FootnoteReference"/>
        </w:rPr>
        <w:footnoteRef/>
      </w:r>
      <w:r>
        <w:t xml:space="preserve"> </w:t>
      </w:r>
      <w:r w:rsidRPr="00694882">
        <w:rPr>
          <w:bCs/>
          <w:iCs/>
          <w:color w:val="666666"/>
        </w:rPr>
        <w:t>AIR 1980 SC 52</w:t>
      </w:r>
    </w:p>
  </w:footnote>
  <w:footnote w:id="11">
    <w:p w14:paraId="6E6DB7EA" w14:textId="004F5E2E" w:rsidR="009825EB" w:rsidRDefault="009825EB">
      <w:pPr>
        <w:pStyle w:val="FootnoteText"/>
      </w:pPr>
      <w:r>
        <w:rPr>
          <w:rStyle w:val="FootnoteReference"/>
        </w:rPr>
        <w:footnoteRef/>
      </w:r>
      <w:r>
        <w:t xml:space="preserve"> HH16/09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30014"/>
      <w:docPartObj>
        <w:docPartGallery w:val="Page Numbers (Top of Page)"/>
        <w:docPartUnique/>
      </w:docPartObj>
    </w:sdtPr>
    <w:sdtEndPr>
      <w:rPr>
        <w:noProof/>
      </w:rPr>
    </w:sdtEndPr>
    <w:sdtContent>
      <w:p w14:paraId="6383C6C6" w14:textId="53CB1F9A" w:rsidR="001A14B0" w:rsidRDefault="001A14B0">
        <w:pPr>
          <w:pStyle w:val="Header"/>
          <w:jc w:val="right"/>
          <w:rPr>
            <w:noProof/>
          </w:rPr>
        </w:pPr>
        <w:r>
          <w:fldChar w:fldCharType="begin"/>
        </w:r>
        <w:r>
          <w:instrText xml:space="preserve"> PAGE   \* MERGEFORMAT </w:instrText>
        </w:r>
        <w:r>
          <w:fldChar w:fldCharType="separate"/>
        </w:r>
        <w:r w:rsidR="00F4097D">
          <w:rPr>
            <w:noProof/>
          </w:rPr>
          <w:t>1</w:t>
        </w:r>
        <w:r>
          <w:rPr>
            <w:noProof/>
          </w:rPr>
          <w:fldChar w:fldCharType="end"/>
        </w:r>
      </w:p>
      <w:p w14:paraId="7F574F1A" w14:textId="3321B9CA" w:rsidR="001A14B0" w:rsidRDefault="001A14B0">
        <w:pPr>
          <w:pStyle w:val="Header"/>
          <w:jc w:val="right"/>
          <w:rPr>
            <w:noProof/>
          </w:rPr>
        </w:pPr>
        <w:r>
          <w:rPr>
            <w:noProof/>
          </w:rPr>
          <w:t>HH</w:t>
        </w:r>
        <w:r w:rsidR="002D7F79">
          <w:rPr>
            <w:noProof/>
          </w:rPr>
          <w:t xml:space="preserve"> 407-21</w:t>
        </w:r>
      </w:p>
      <w:p w14:paraId="593E2D6D" w14:textId="521BC197" w:rsidR="001A14B0" w:rsidRDefault="001A14B0">
        <w:pPr>
          <w:pStyle w:val="Header"/>
          <w:jc w:val="right"/>
        </w:pPr>
        <w:r>
          <w:rPr>
            <w:noProof/>
          </w:rPr>
          <w:t>HC 3834/21</w:t>
        </w:r>
      </w:p>
    </w:sdtContent>
  </w:sdt>
  <w:p w14:paraId="4709BDC1" w14:textId="77777777" w:rsidR="001A14B0" w:rsidRDefault="001A14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3E1A"/>
    <w:multiLevelType w:val="hybridMultilevel"/>
    <w:tmpl w:val="DBBEBE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1B965C6"/>
    <w:multiLevelType w:val="hybridMultilevel"/>
    <w:tmpl w:val="93CA46C2"/>
    <w:lvl w:ilvl="0" w:tplc="EB70DE58">
      <w:start w:val="1"/>
      <w:numFmt w:val="decimal"/>
      <w:lvlText w:val="%1."/>
      <w:lvlJc w:val="left"/>
      <w:pPr>
        <w:ind w:left="3053"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E925319"/>
    <w:multiLevelType w:val="multilevel"/>
    <w:tmpl w:val="3D7E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81050"/>
    <w:multiLevelType w:val="multilevel"/>
    <w:tmpl w:val="197036E2"/>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4" w15:restartNumberingAfterBreak="0">
    <w:nsid w:val="4AB4156D"/>
    <w:multiLevelType w:val="multilevel"/>
    <w:tmpl w:val="60B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E6276"/>
    <w:multiLevelType w:val="hybridMultilevel"/>
    <w:tmpl w:val="3F924D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2D72667"/>
    <w:multiLevelType w:val="hybridMultilevel"/>
    <w:tmpl w:val="DB62E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CF"/>
    <w:rsid w:val="00070920"/>
    <w:rsid w:val="00085430"/>
    <w:rsid w:val="000929D5"/>
    <w:rsid w:val="000C7F34"/>
    <w:rsid w:val="001005AB"/>
    <w:rsid w:val="001450C1"/>
    <w:rsid w:val="00190EEE"/>
    <w:rsid w:val="00193DC2"/>
    <w:rsid w:val="001A14B0"/>
    <w:rsid w:val="00272D0B"/>
    <w:rsid w:val="00285937"/>
    <w:rsid w:val="002D7F79"/>
    <w:rsid w:val="003A3CDD"/>
    <w:rsid w:val="0043556D"/>
    <w:rsid w:val="00475BD6"/>
    <w:rsid w:val="004D0A86"/>
    <w:rsid w:val="00507F0E"/>
    <w:rsid w:val="005236A2"/>
    <w:rsid w:val="005552B3"/>
    <w:rsid w:val="005575CD"/>
    <w:rsid w:val="00572CE7"/>
    <w:rsid w:val="00584927"/>
    <w:rsid w:val="00590D13"/>
    <w:rsid w:val="00595BCE"/>
    <w:rsid w:val="005D0FEA"/>
    <w:rsid w:val="006042FA"/>
    <w:rsid w:val="006113F7"/>
    <w:rsid w:val="00652345"/>
    <w:rsid w:val="00656EB2"/>
    <w:rsid w:val="00694882"/>
    <w:rsid w:val="006C5582"/>
    <w:rsid w:val="0071628A"/>
    <w:rsid w:val="00795770"/>
    <w:rsid w:val="007968B8"/>
    <w:rsid w:val="00797BDC"/>
    <w:rsid w:val="007D4DE9"/>
    <w:rsid w:val="00824F3A"/>
    <w:rsid w:val="008554AD"/>
    <w:rsid w:val="008B68C3"/>
    <w:rsid w:val="008D4817"/>
    <w:rsid w:val="00974944"/>
    <w:rsid w:val="009825EB"/>
    <w:rsid w:val="00982675"/>
    <w:rsid w:val="009C0C7A"/>
    <w:rsid w:val="009E24AF"/>
    <w:rsid w:val="00A64E1E"/>
    <w:rsid w:val="00A976DB"/>
    <w:rsid w:val="00B01CA3"/>
    <w:rsid w:val="00B04BCF"/>
    <w:rsid w:val="00B05BFF"/>
    <w:rsid w:val="00B13F44"/>
    <w:rsid w:val="00B374C0"/>
    <w:rsid w:val="00B600BE"/>
    <w:rsid w:val="00B83D9A"/>
    <w:rsid w:val="00B87806"/>
    <w:rsid w:val="00BB22BF"/>
    <w:rsid w:val="00C46BAF"/>
    <w:rsid w:val="00C92604"/>
    <w:rsid w:val="00CC2855"/>
    <w:rsid w:val="00D03656"/>
    <w:rsid w:val="00D4604D"/>
    <w:rsid w:val="00D64AD1"/>
    <w:rsid w:val="00D956D6"/>
    <w:rsid w:val="00DA5567"/>
    <w:rsid w:val="00DE6401"/>
    <w:rsid w:val="00DE7FFA"/>
    <w:rsid w:val="00E025C8"/>
    <w:rsid w:val="00E43FAD"/>
    <w:rsid w:val="00E8256D"/>
    <w:rsid w:val="00E86BDE"/>
    <w:rsid w:val="00E92183"/>
    <w:rsid w:val="00EB322A"/>
    <w:rsid w:val="00EB6E14"/>
    <w:rsid w:val="00F05DC3"/>
    <w:rsid w:val="00F0716B"/>
    <w:rsid w:val="00F11E0B"/>
    <w:rsid w:val="00F25DA5"/>
    <w:rsid w:val="00F4097D"/>
    <w:rsid w:val="00F6052C"/>
    <w:rsid w:val="00F611BF"/>
    <w:rsid w:val="00F80415"/>
    <w:rsid w:val="00FD5928"/>
    <w:rsid w:val="00FD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2159"/>
  <w15:chartTrackingRefBased/>
  <w15:docId w15:val="{D32A083B-FCDF-411B-92AF-81E21CCF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4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BCF"/>
    <w:rPr>
      <w:b/>
      <w:bCs/>
    </w:rPr>
  </w:style>
  <w:style w:type="character" w:styleId="Emphasis">
    <w:name w:val="Emphasis"/>
    <w:basedOn w:val="DefaultParagraphFont"/>
    <w:uiPriority w:val="20"/>
    <w:qFormat/>
    <w:rsid w:val="00B04BCF"/>
    <w:rPr>
      <w:i/>
      <w:iCs/>
    </w:rPr>
  </w:style>
  <w:style w:type="paragraph" w:styleId="FootnoteText">
    <w:name w:val="footnote text"/>
    <w:basedOn w:val="Normal"/>
    <w:link w:val="FootnoteTextChar"/>
    <w:uiPriority w:val="99"/>
    <w:semiHidden/>
    <w:unhideWhenUsed/>
    <w:rsid w:val="00145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0C1"/>
    <w:rPr>
      <w:sz w:val="20"/>
      <w:szCs w:val="20"/>
    </w:rPr>
  </w:style>
  <w:style w:type="character" w:styleId="FootnoteReference">
    <w:name w:val="footnote reference"/>
    <w:basedOn w:val="DefaultParagraphFont"/>
    <w:uiPriority w:val="99"/>
    <w:semiHidden/>
    <w:unhideWhenUsed/>
    <w:rsid w:val="001450C1"/>
    <w:rPr>
      <w:vertAlign w:val="superscript"/>
    </w:rPr>
  </w:style>
  <w:style w:type="paragraph" w:styleId="Header">
    <w:name w:val="header"/>
    <w:basedOn w:val="Normal"/>
    <w:link w:val="HeaderChar"/>
    <w:uiPriority w:val="99"/>
    <w:unhideWhenUsed/>
    <w:rsid w:val="001A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4B0"/>
  </w:style>
  <w:style w:type="paragraph" w:styleId="Footer">
    <w:name w:val="footer"/>
    <w:basedOn w:val="Normal"/>
    <w:link w:val="FooterChar"/>
    <w:uiPriority w:val="99"/>
    <w:unhideWhenUsed/>
    <w:rsid w:val="001A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5663">
      <w:bodyDiv w:val="1"/>
      <w:marLeft w:val="0"/>
      <w:marRight w:val="0"/>
      <w:marTop w:val="0"/>
      <w:marBottom w:val="0"/>
      <w:divBdr>
        <w:top w:val="none" w:sz="0" w:space="0" w:color="auto"/>
        <w:left w:val="none" w:sz="0" w:space="0" w:color="auto"/>
        <w:bottom w:val="none" w:sz="0" w:space="0" w:color="auto"/>
        <w:right w:val="none" w:sz="0" w:space="0" w:color="auto"/>
      </w:divBdr>
    </w:div>
    <w:div w:id="219676863">
      <w:bodyDiv w:val="1"/>
      <w:marLeft w:val="0"/>
      <w:marRight w:val="0"/>
      <w:marTop w:val="0"/>
      <w:marBottom w:val="0"/>
      <w:divBdr>
        <w:top w:val="none" w:sz="0" w:space="0" w:color="auto"/>
        <w:left w:val="none" w:sz="0" w:space="0" w:color="auto"/>
        <w:bottom w:val="none" w:sz="0" w:space="0" w:color="auto"/>
        <w:right w:val="none" w:sz="0" w:space="0" w:color="auto"/>
      </w:divBdr>
    </w:div>
    <w:div w:id="615866125">
      <w:bodyDiv w:val="1"/>
      <w:marLeft w:val="0"/>
      <w:marRight w:val="0"/>
      <w:marTop w:val="0"/>
      <w:marBottom w:val="0"/>
      <w:divBdr>
        <w:top w:val="none" w:sz="0" w:space="0" w:color="auto"/>
        <w:left w:val="none" w:sz="0" w:space="0" w:color="auto"/>
        <w:bottom w:val="none" w:sz="0" w:space="0" w:color="auto"/>
        <w:right w:val="none" w:sz="0" w:space="0" w:color="auto"/>
      </w:divBdr>
    </w:div>
    <w:div w:id="1192259293">
      <w:bodyDiv w:val="1"/>
      <w:marLeft w:val="0"/>
      <w:marRight w:val="0"/>
      <w:marTop w:val="0"/>
      <w:marBottom w:val="0"/>
      <w:divBdr>
        <w:top w:val="none" w:sz="0" w:space="0" w:color="auto"/>
        <w:left w:val="none" w:sz="0" w:space="0" w:color="auto"/>
        <w:bottom w:val="none" w:sz="0" w:space="0" w:color="auto"/>
        <w:right w:val="none" w:sz="0" w:space="0" w:color="auto"/>
      </w:divBdr>
    </w:div>
    <w:div w:id="1254634077">
      <w:bodyDiv w:val="1"/>
      <w:marLeft w:val="0"/>
      <w:marRight w:val="0"/>
      <w:marTop w:val="0"/>
      <w:marBottom w:val="0"/>
      <w:divBdr>
        <w:top w:val="none" w:sz="0" w:space="0" w:color="auto"/>
        <w:left w:val="none" w:sz="0" w:space="0" w:color="auto"/>
        <w:bottom w:val="none" w:sz="0" w:space="0" w:color="auto"/>
        <w:right w:val="none" w:sz="0" w:space="0" w:color="auto"/>
      </w:divBdr>
    </w:div>
    <w:div w:id="1490827410">
      <w:bodyDiv w:val="1"/>
      <w:marLeft w:val="0"/>
      <w:marRight w:val="0"/>
      <w:marTop w:val="0"/>
      <w:marBottom w:val="0"/>
      <w:divBdr>
        <w:top w:val="none" w:sz="0" w:space="0" w:color="auto"/>
        <w:left w:val="none" w:sz="0" w:space="0" w:color="auto"/>
        <w:bottom w:val="none" w:sz="0" w:space="0" w:color="auto"/>
        <w:right w:val="none" w:sz="0" w:space="0" w:color="auto"/>
      </w:divBdr>
    </w:div>
    <w:div w:id="16694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BFE4-701E-4739-AABF-47CB294E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Makani Muzofa</dc:creator>
  <cp:keywords/>
  <dc:description/>
  <cp:lastModifiedBy>JSC</cp:lastModifiedBy>
  <cp:revision>2</cp:revision>
  <dcterms:created xsi:type="dcterms:W3CDTF">2021-08-06T10:59:00Z</dcterms:created>
  <dcterms:modified xsi:type="dcterms:W3CDTF">2021-08-06T10:59:00Z</dcterms:modified>
</cp:coreProperties>
</file>