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DE" w:rsidRDefault="00BD5569">
      <w:pPr>
        <w:rPr>
          <w:b/>
          <w:sz w:val="28"/>
          <w:szCs w:val="28"/>
        </w:rPr>
      </w:pPr>
      <w:r>
        <w:rPr>
          <w:b/>
          <w:sz w:val="28"/>
          <w:szCs w:val="28"/>
        </w:rPr>
        <w:t>IN THE LABOUR COURT OF ZIMBABWE</w:t>
      </w:r>
      <w:r>
        <w:rPr>
          <w:b/>
          <w:sz w:val="28"/>
          <w:szCs w:val="28"/>
        </w:rPr>
        <w:tab/>
      </w:r>
      <w:r>
        <w:rPr>
          <w:b/>
          <w:sz w:val="28"/>
          <w:szCs w:val="28"/>
        </w:rPr>
        <w:tab/>
        <w:t>JUDGMENT NO LC/H/58/13</w:t>
      </w:r>
    </w:p>
    <w:p w:rsidR="00BD5569" w:rsidRDefault="00BD5569">
      <w:pPr>
        <w:rPr>
          <w:b/>
          <w:sz w:val="28"/>
          <w:szCs w:val="28"/>
        </w:rPr>
      </w:pPr>
      <w:r>
        <w:rPr>
          <w:b/>
          <w:sz w:val="28"/>
          <w:szCs w:val="28"/>
        </w:rPr>
        <w:t>HELD AT HARARE 26</w:t>
      </w:r>
      <w:r w:rsidRPr="00BD5569">
        <w:rPr>
          <w:b/>
          <w:sz w:val="28"/>
          <w:szCs w:val="28"/>
          <w:vertAlign w:val="superscript"/>
        </w:rPr>
        <w:t>TH</w:t>
      </w:r>
      <w:r>
        <w:rPr>
          <w:b/>
          <w:sz w:val="28"/>
          <w:szCs w:val="28"/>
        </w:rPr>
        <w:t xml:space="preserve"> FEBRUARY 2013</w:t>
      </w:r>
      <w:r>
        <w:rPr>
          <w:b/>
          <w:sz w:val="28"/>
          <w:szCs w:val="28"/>
        </w:rPr>
        <w:tab/>
      </w:r>
      <w:r>
        <w:rPr>
          <w:b/>
          <w:sz w:val="28"/>
          <w:szCs w:val="28"/>
        </w:rPr>
        <w:tab/>
        <w:t>CASE NO LC/REV/H/60/12</w:t>
      </w:r>
    </w:p>
    <w:p w:rsidR="00BD5569" w:rsidRDefault="00BD5569">
      <w:pPr>
        <w:rPr>
          <w:b/>
          <w:sz w:val="28"/>
          <w:szCs w:val="28"/>
        </w:rPr>
      </w:pPr>
      <w:bookmarkStart w:id="0" w:name="_GoBack"/>
      <w:bookmarkEnd w:id="0"/>
    </w:p>
    <w:p w:rsidR="00BD5569" w:rsidRDefault="00BD5569">
      <w:pPr>
        <w:rPr>
          <w:b/>
          <w:sz w:val="28"/>
          <w:szCs w:val="28"/>
        </w:rPr>
      </w:pPr>
      <w:r>
        <w:rPr>
          <w:b/>
          <w:sz w:val="28"/>
          <w:szCs w:val="28"/>
        </w:rPr>
        <w:t>SIMBARASHE KANDENGA</w:t>
      </w:r>
      <w:r>
        <w:rPr>
          <w:b/>
          <w:sz w:val="28"/>
          <w:szCs w:val="28"/>
        </w:rPr>
        <w:tab/>
      </w:r>
      <w:r>
        <w:rPr>
          <w:b/>
          <w:sz w:val="28"/>
          <w:szCs w:val="28"/>
        </w:rPr>
        <w:tab/>
      </w:r>
      <w:r>
        <w:rPr>
          <w:b/>
          <w:sz w:val="28"/>
          <w:szCs w:val="28"/>
        </w:rPr>
        <w:tab/>
      </w:r>
      <w:r>
        <w:rPr>
          <w:b/>
          <w:sz w:val="28"/>
          <w:szCs w:val="28"/>
        </w:rPr>
        <w:tab/>
      </w:r>
      <w:r>
        <w:rPr>
          <w:b/>
          <w:sz w:val="28"/>
          <w:szCs w:val="28"/>
        </w:rPr>
        <w:tab/>
        <w:t>Applicant</w:t>
      </w:r>
    </w:p>
    <w:p w:rsidR="00127ABC" w:rsidRDefault="00127ABC">
      <w:pPr>
        <w:rPr>
          <w:b/>
          <w:sz w:val="28"/>
          <w:szCs w:val="28"/>
        </w:rPr>
      </w:pPr>
    </w:p>
    <w:p w:rsidR="00BD5569" w:rsidRDefault="00BD5569">
      <w:pPr>
        <w:rPr>
          <w:b/>
          <w:sz w:val="28"/>
          <w:szCs w:val="28"/>
        </w:rPr>
      </w:pPr>
      <w:r>
        <w:rPr>
          <w:b/>
          <w:sz w:val="28"/>
          <w:szCs w:val="28"/>
        </w:rPr>
        <w:t>UNIFREIGHT LIMITED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BD5569" w:rsidRDefault="00BD5569">
      <w:pPr>
        <w:rPr>
          <w:b/>
          <w:sz w:val="28"/>
          <w:szCs w:val="28"/>
        </w:rPr>
      </w:pPr>
    </w:p>
    <w:p w:rsidR="00BD5569" w:rsidRDefault="00BD5569">
      <w:pPr>
        <w:rPr>
          <w:sz w:val="28"/>
          <w:szCs w:val="28"/>
        </w:rPr>
      </w:pPr>
      <w:r>
        <w:rPr>
          <w:sz w:val="28"/>
          <w:szCs w:val="28"/>
        </w:rPr>
        <w:t>Before The Honourable G Musariri, President</w:t>
      </w:r>
    </w:p>
    <w:p w:rsidR="00BD5569" w:rsidRDefault="00BD5569">
      <w:pPr>
        <w:rPr>
          <w:sz w:val="28"/>
          <w:szCs w:val="28"/>
        </w:rPr>
      </w:pPr>
    </w:p>
    <w:p w:rsidR="00BD5569" w:rsidRDefault="00BD5569">
      <w:pPr>
        <w:rPr>
          <w:b/>
          <w:sz w:val="28"/>
          <w:szCs w:val="28"/>
        </w:rPr>
      </w:pPr>
      <w:r>
        <w:rPr>
          <w:b/>
          <w:sz w:val="28"/>
          <w:szCs w:val="28"/>
        </w:rPr>
        <w:t>For Applicant</w:t>
      </w:r>
      <w:r>
        <w:rPr>
          <w:b/>
          <w:sz w:val="28"/>
          <w:szCs w:val="28"/>
        </w:rPr>
        <w:tab/>
      </w:r>
      <w:r>
        <w:rPr>
          <w:b/>
          <w:sz w:val="28"/>
          <w:szCs w:val="28"/>
        </w:rPr>
        <w:tab/>
      </w:r>
      <w:r>
        <w:rPr>
          <w:b/>
          <w:sz w:val="28"/>
          <w:szCs w:val="28"/>
        </w:rPr>
        <w:tab/>
        <w:t xml:space="preserve">Mr L </w:t>
      </w:r>
      <w:proofErr w:type="spellStart"/>
      <w:r>
        <w:rPr>
          <w:b/>
          <w:sz w:val="28"/>
          <w:szCs w:val="28"/>
        </w:rPr>
        <w:t>Chimutashu</w:t>
      </w:r>
      <w:proofErr w:type="spellEnd"/>
      <w:r>
        <w:rPr>
          <w:b/>
          <w:sz w:val="28"/>
          <w:szCs w:val="28"/>
        </w:rPr>
        <w:t>, Unionist</w:t>
      </w:r>
    </w:p>
    <w:p w:rsidR="00BD5569" w:rsidRDefault="00BD5569">
      <w:pPr>
        <w:rPr>
          <w:b/>
          <w:sz w:val="28"/>
          <w:szCs w:val="28"/>
        </w:rPr>
      </w:pPr>
      <w:r>
        <w:rPr>
          <w:b/>
          <w:sz w:val="28"/>
          <w:szCs w:val="28"/>
        </w:rPr>
        <w:t>For Respondent</w:t>
      </w:r>
      <w:r>
        <w:rPr>
          <w:b/>
          <w:sz w:val="28"/>
          <w:szCs w:val="28"/>
        </w:rPr>
        <w:tab/>
      </w:r>
      <w:r>
        <w:rPr>
          <w:b/>
          <w:sz w:val="28"/>
          <w:szCs w:val="28"/>
        </w:rPr>
        <w:tab/>
      </w:r>
      <w:r>
        <w:rPr>
          <w:b/>
          <w:sz w:val="28"/>
          <w:szCs w:val="28"/>
        </w:rPr>
        <w:tab/>
        <w:t xml:space="preserve">Mr R </w:t>
      </w:r>
      <w:proofErr w:type="spellStart"/>
      <w:r>
        <w:rPr>
          <w:b/>
          <w:sz w:val="28"/>
          <w:szCs w:val="28"/>
        </w:rPr>
        <w:t>Matsikidze</w:t>
      </w:r>
      <w:proofErr w:type="spellEnd"/>
      <w:r>
        <w:rPr>
          <w:b/>
          <w:sz w:val="28"/>
          <w:szCs w:val="28"/>
        </w:rPr>
        <w:t>, Attorney</w:t>
      </w:r>
    </w:p>
    <w:p w:rsidR="00BD5569" w:rsidRDefault="00BD5569">
      <w:pPr>
        <w:rPr>
          <w:b/>
          <w:sz w:val="28"/>
          <w:szCs w:val="28"/>
        </w:rPr>
      </w:pPr>
    </w:p>
    <w:p w:rsidR="00BD5569" w:rsidRDefault="00BD5569">
      <w:pPr>
        <w:rPr>
          <w:b/>
          <w:sz w:val="28"/>
          <w:szCs w:val="28"/>
        </w:rPr>
      </w:pPr>
      <w:r>
        <w:rPr>
          <w:b/>
          <w:sz w:val="28"/>
          <w:szCs w:val="28"/>
        </w:rPr>
        <w:t>MUSARIRI, G:</w:t>
      </w:r>
    </w:p>
    <w:p w:rsidR="00BD5569" w:rsidRDefault="00BD5569">
      <w:pPr>
        <w:rPr>
          <w:b/>
          <w:sz w:val="28"/>
          <w:szCs w:val="28"/>
        </w:rPr>
      </w:pPr>
    </w:p>
    <w:p w:rsidR="00BD5569" w:rsidRDefault="00BD5569" w:rsidP="00BD5569">
      <w:pPr>
        <w:spacing w:line="360" w:lineRule="auto"/>
        <w:rPr>
          <w:sz w:val="28"/>
          <w:szCs w:val="28"/>
        </w:rPr>
      </w:pPr>
      <w:r>
        <w:rPr>
          <w:sz w:val="28"/>
          <w:szCs w:val="28"/>
        </w:rPr>
        <w:t>On 12</w:t>
      </w:r>
      <w:r w:rsidRPr="00BD5569">
        <w:rPr>
          <w:sz w:val="28"/>
          <w:szCs w:val="28"/>
          <w:vertAlign w:val="superscript"/>
        </w:rPr>
        <w:t>th</w:t>
      </w:r>
      <w:r>
        <w:rPr>
          <w:sz w:val="28"/>
          <w:szCs w:val="28"/>
        </w:rPr>
        <w:t xml:space="preserve"> February 2013 this Court’s Registrar issued a notification to the parties to attend today’s hearing.  The notification was issued in terms of Rule 19 (3) (a) of the </w:t>
      </w:r>
      <w:r>
        <w:rPr>
          <w:sz w:val="28"/>
          <w:szCs w:val="28"/>
          <w:u w:val="single"/>
        </w:rPr>
        <w:t>Labour Court Rules</w:t>
      </w:r>
      <w:r>
        <w:rPr>
          <w:sz w:val="28"/>
          <w:szCs w:val="28"/>
        </w:rPr>
        <w:t xml:space="preserve"> S.I. 59/06 (hereafter called the Rules).  At the hearing Applicant was represented by a unionist.  Respondent was represented by an attorney.  The attorney raised a point </w:t>
      </w:r>
      <w:r>
        <w:rPr>
          <w:sz w:val="28"/>
          <w:szCs w:val="28"/>
          <w:u w:val="single"/>
        </w:rPr>
        <w:t>in</w:t>
      </w:r>
      <w:r>
        <w:rPr>
          <w:sz w:val="28"/>
          <w:szCs w:val="28"/>
        </w:rPr>
        <w:t xml:space="preserve"> </w:t>
      </w:r>
      <w:proofErr w:type="spellStart"/>
      <w:r>
        <w:rPr>
          <w:sz w:val="28"/>
          <w:szCs w:val="28"/>
          <w:u w:val="single"/>
        </w:rPr>
        <w:t>limine</w:t>
      </w:r>
      <w:proofErr w:type="spellEnd"/>
      <w:r w:rsidRPr="0038602D">
        <w:rPr>
          <w:sz w:val="28"/>
          <w:szCs w:val="28"/>
        </w:rPr>
        <w:t>.  This was to the effect</w:t>
      </w:r>
      <w:r>
        <w:rPr>
          <w:sz w:val="28"/>
          <w:szCs w:val="28"/>
          <w:u w:val="single"/>
        </w:rPr>
        <w:t xml:space="preserve"> </w:t>
      </w:r>
      <w:r w:rsidR="0038602D">
        <w:rPr>
          <w:sz w:val="28"/>
          <w:szCs w:val="28"/>
        </w:rPr>
        <w:t xml:space="preserve">that </w:t>
      </w:r>
      <w:r w:rsidRPr="0038602D">
        <w:rPr>
          <w:sz w:val="28"/>
          <w:szCs w:val="28"/>
        </w:rPr>
        <w:t>Applicant was barred</w:t>
      </w:r>
      <w:r w:rsidR="0038602D">
        <w:rPr>
          <w:sz w:val="28"/>
          <w:szCs w:val="28"/>
        </w:rPr>
        <w:t xml:space="preserve"> for failu</w:t>
      </w:r>
      <w:r w:rsidR="00127ABC">
        <w:rPr>
          <w:sz w:val="28"/>
          <w:szCs w:val="28"/>
        </w:rPr>
        <w:t>re to file Heads o</w:t>
      </w:r>
      <w:r w:rsidR="00F81C9A">
        <w:rPr>
          <w:sz w:val="28"/>
          <w:szCs w:val="28"/>
        </w:rPr>
        <w:t>f Argument</w:t>
      </w:r>
      <w:r w:rsidR="0038602D">
        <w:rPr>
          <w:sz w:val="28"/>
          <w:szCs w:val="28"/>
        </w:rPr>
        <w:t xml:space="preserve"> </w:t>
      </w:r>
      <w:proofErr w:type="gramStart"/>
      <w:r w:rsidR="0038602D">
        <w:rPr>
          <w:sz w:val="28"/>
          <w:szCs w:val="28"/>
        </w:rPr>
        <w:t>timeously  Applicant’s</w:t>
      </w:r>
      <w:proofErr w:type="gramEnd"/>
      <w:r w:rsidR="0038602D">
        <w:rPr>
          <w:sz w:val="28"/>
          <w:szCs w:val="28"/>
        </w:rPr>
        <w:t xml:space="preserve"> representative stated that he had problems communicating with Applicant.  As a result he failed to </w:t>
      </w:r>
      <w:proofErr w:type="gramStart"/>
      <w:r w:rsidR="0038602D">
        <w:rPr>
          <w:sz w:val="28"/>
          <w:szCs w:val="28"/>
        </w:rPr>
        <w:t>filed</w:t>
      </w:r>
      <w:proofErr w:type="gramEnd"/>
      <w:r w:rsidR="0038602D">
        <w:rPr>
          <w:sz w:val="28"/>
          <w:szCs w:val="28"/>
        </w:rPr>
        <w:t xml:space="preserve"> Heads timeously.  He did however manage to file the Heads yesterday.</w:t>
      </w:r>
    </w:p>
    <w:p w:rsidR="0038602D" w:rsidRDefault="0038602D" w:rsidP="00BD5569">
      <w:pPr>
        <w:spacing w:line="360" w:lineRule="auto"/>
        <w:rPr>
          <w:sz w:val="28"/>
          <w:szCs w:val="28"/>
        </w:rPr>
      </w:pPr>
    </w:p>
    <w:p w:rsidR="0038602D" w:rsidRDefault="0038602D" w:rsidP="00BD5569">
      <w:pPr>
        <w:spacing w:line="360" w:lineRule="auto"/>
        <w:rPr>
          <w:sz w:val="28"/>
          <w:szCs w:val="28"/>
        </w:rPr>
      </w:pPr>
    </w:p>
    <w:p w:rsidR="0038602D" w:rsidRDefault="0038602D" w:rsidP="00BD5569">
      <w:pPr>
        <w:spacing w:line="360" w:lineRule="auto"/>
        <w:rPr>
          <w:sz w:val="28"/>
          <w:szCs w:val="28"/>
        </w:rPr>
      </w:pPr>
    </w:p>
    <w:p w:rsidR="00695889" w:rsidRDefault="0038602D" w:rsidP="00127ABC">
      <w:pPr>
        <w:spacing w:after="0" w:line="360" w:lineRule="auto"/>
        <w:rPr>
          <w:sz w:val="28"/>
          <w:szCs w:val="28"/>
        </w:rPr>
      </w:pPr>
      <w:r>
        <w:rPr>
          <w:sz w:val="28"/>
          <w:szCs w:val="28"/>
        </w:rPr>
        <w:t xml:space="preserve">Rule 19 (1) of the Rules provides that where an Applicant is to be represented by a </w:t>
      </w:r>
      <w:r>
        <w:rPr>
          <w:sz w:val="28"/>
          <w:szCs w:val="28"/>
          <w:u w:val="single"/>
        </w:rPr>
        <w:t>legal</w:t>
      </w:r>
      <w:r>
        <w:rPr>
          <w:sz w:val="28"/>
          <w:szCs w:val="28"/>
        </w:rPr>
        <w:t xml:space="preserve"> </w:t>
      </w:r>
      <w:r>
        <w:rPr>
          <w:sz w:val="28"/>
          <w:szCs w:val="28"/>
          <w:u w:val="single"/>
        </w:rPr>
        <w:t>practitioner</w:t>
      </w:r>
      <w:r>
        <w:rPr>
          <w:sz w:val="28"/>
          <w:szCs w:val="28"/>
        </w:rPr>
        <w:t xml:space="preserve"> at the hearing, he shall file Heads of Argument within 14 days of receipt of Respondent’s Response.  It is common cause that Applicant failed to file Heads within 14 days of receipt of the Response.  However the question is whether he was represented by a legal practitioner.  He was </w:t>
      </w:r>
      <w:r w:rsidR="00127ABC">
        <w:rPr>
          <w:sz w:val="28"/>
          <w:szCs w:val="28"/>
        </w:rPr>
        <w:t xml:space="preserve">in fact </w:t>
      </w:r>
      <w:r>
        <w:rPr>
          <w:sz w:val="28"/>
          <w:szCs w:val="28"/>
        </w:rPr>
        <w:t xml:space="preserve">represented by a member of his trade union (a unionist).  A unionist is clearly not </w:t>
      </w:r>
      <w:r>
        <w:rPr>
          <w:sz w:val="28"/>
          <w:szCs w:val="28"/>
          <w:u w:val="single"/>
        </w:rPr>
        <w:t>ex</w:t>
      </w:r>
      <w:r>
        <w:rPr>
          <w:sz w:val="28"/>
          <w:szCs w:val="28"/>
        </w:rPr>
        <w:t xml:space="preserve"> </w:t>
      </w:r>
      <w:r>
        <w:rPr>
          <w:sz w:val="28"/>
          <w:szCs w:val="28"/>
          <w:u w:val="single"/>
        </w:rPr>
        <w:t>officio</w:t>
      </w:r>
      <w:r>
        <w:rPr>
          <w:sz w:val="28"/>
          <w:szCs w:val="28"/>
        </w:rPr>
        <w:t xml:space="preserve"> a legal practitioner.  Respondent’s attorney urged this Court to construe reference to a legal practitioner as including such representatives as unionists.  I agree with him that it is desirable for such representatives to comply with Rules binding legal practitioners.  They both act as representatives.  The rationale behind the Rule is for representatives to forewarn each other of the arguments they will rely</w:t>
      </w:r>
      <w:r w:rsidR="00127ABC">
        <w:rPr>
          <w:sz w:val="28"/>
          <w:szCs w:val="28"/>
        </w:rPr>
        <w:t xml:space="preserve"> on</w:t>
      </w:r>
      <w:r>
        <w:rPr>
          <w:sz w:val="28"/>
          <w:szCs w:val="28"/>
        </w:rPr>
        <w:t>.  As such there is little need to exempt</w:t>
      </w:r>
      <w:r w:rsidR="00695889">
        <w:rPr>
          <w:sz w:val="28"/>
          <w:szCs w:val="28"/>
        </w:rPr>
        <w:t xml:space="preserve"> unionists from the duties imposed on legal practitioners in their appearances in this Court.  However I </w:t>
      </w:r>
      <w:r w:rsidR="00127ABC">
        <w:rPr>
          <w:sz w:val="28"/>
          <w:szCs w:val="28"/>
        </w:rPr>
        <w:t xml:space="preserve">cannot </w:t>
      </w:r>
      <w:r w:rsidR="00695889">
        <w:rPr>
          <w:sz w:val="28"/>
          <w:szCs w:val="28"/>
        </w:rPr>
        <w:t xml:space="preserve">construe the term legal practitioner as </w:t>
      </w:r>
      <w:r w:rsidR="00F81C9A">
        <w:rPr>
          <w:sz w:val="28"/>
          <w:szCs w:val="28"/>
        </w:rPr>
        <w:t>including a</w:t>
      </w:r>
      <w:r w:rsidR="00695889">
        <w:rPr>
          <w:sz w:val="28"/>
          <w:szCs w:val="28"/>
        </w:rPr>
        <w:t xml:space="preserve"> </w:t>
      </w:r>
      <w:r w:rsidR="00695889">
        <w:rPr>
          <w:sz w:val="28"/>
          <w:szCs w:val="28"/>
          <w:u w:val="single"/>
        </w:rPr>
        <w:t>unionist</w:t>
      </w:r>
      <w:r w:rsidR="00695889">
        <w:rPr>
          <w:sz w:val="28"/>
          <w:szCs w:val="28"/>
        </w:rPr>
        <w:t>.  The two are different as chalk and cheese.</w:t>
      </w:r>
      <w:r w:rsidR="00127ABC">
        <w:rPr>
          <w:sz w:val="28"/>
          <w:szCs w:val="28"/>
        </w:rPr>
        <w:t xml:space="preserve"> </w:t>
      </w:r>
      <w:r w:rsidR="00695889">
        <w:rPr>
          <w:sz w:val="28"/>
          <w:szCs w:val="28"/>
        </w:rPr>
        <w:t xml:space="preserve">The construction urged by Respondent can only be achieved by an amendment of the Rules.  Barring such amendment, the point taken </w:t>
      </w:r>
      <w:r w:rsidR="00695889">
        <w:rPr>
          <w:sz w:val="28"/>
          <w:szCs w:val="28"/>
          <w:u w:val="single"/>
        </w:rPr>
        <w:t>in</w:t>
      </w:r>
      <w:r w:rsidR="00695889">
        <w:rPr>
          <w:sz w:val="28"/>
          <w:szCs w:val="28"/>
        </w:rPr>
        <w:t xml:space="preserve"> </w:t>
      </w:r>
      <w:proofErr w:type="spellStart"/>
      <w:r w:rsidR="00695889">
        <w:rPr>
          <w:sz w:val="28"/>
          <w:szCs w:val="28"/>
          <w:u w:val="single"/>
        </w:rPr>
        <w:t>limine</w:t>
      </w:r>
      <w:proofErr w:type="spellEnd"/>
      <w:r w:rsidR="00695889">
        <w:rPr>
          <w:sz w:val="28"/>
          <w:szCs w:val="28"/>
        </w:rPr>
        <w:t xml:space="preserve"> is unsustainable.</w:t>
      </w:r>
    </w:p>
    <w:p w:rsidR="00695889" w:rsidRDefault="00695889" w:rsidP="00BD5569">
      <w:pPr>
        <w:spacing w:line="360" w:lineRule="auto"/>
        <w:rPr>
          <w:sz w:val="28"/>
          <w:szCs w:val="28"/>
        </w:rPr>
      </w:pPr>
    </w:p>
    <w:p w:rsidR="00695889" w:rsidRDefault="00695889" w:rsidP="00BD5569">
      <w:pPr>
        <w:spacing w:line="360" w:lineRule="auto"/>
        <w:rPr>
          <w:sz w:val="28"/>
          <w:szCs w:val="28"/>
        </w:rPr>
      </w:pPr>
    </w:p>
    <w:p w:rsidR="00695889" w:rsidRDefault="00695889" w:rsidP="00BD5569">
      <w:pPr>
        <w:spacing w:line="360" w:lineRule="auto"/>
        <w:rPr>
          <w:sz w:val="28"/>
          <w:szCs w:val="28"/>
        </w:rPr>
      </w:pPr>
    </w:p>
    <w:p w:rsidR="00695889" w:rsidRDefault="00695889" w:rsidP="00BD5569">
      <w:pPr>
        <w:spacing w:line="360" w:lineRule="auto"/>
        <w:rPr>
          <w:sz w:val="28"/>
          <w:szCs w:val="28"/>
        </w:rPr>
      </w:pPr>
    </w:p>
    <w:p w:rsidR="00695889" w:rsidRDefault="00695889" w:rsidP="00BD5569">
      <w:pPr>
        <w:spacing w:line="360" w:lineRule="auto"/>
        <w:rPr>
          <w:sz w:val="28"/>
          <w:szCs w:val="28"/>
        </w:rPr>
      </w:pPr>
    </w:p>
    <w:p w:rsidR="00695889" w:rsidRDefault="00695889" w:rsidP="00BD5569">
      <w:pPr>
        <w:spacing w:line="360" w:lineRule="auto"/>
        <w:rPr>
          <w:sz w:val="28"/>
          <w:szCs w:val="28"/>
        </w:rPr>
      </w:pPr>
    </w:p>
    <w:p w:rsidR="00695889" w:rsidRDefault="00695889" w:rsidP="00BD5569">
      <w:pPr>
        <w:spacing w:line="360" w:lineRule="auto"/>
        <w:rPr>
          <w:sz w:val="28"/>
          <w:szCs w:val="28"/>
        </w:rPr>
      </w:pPr>
      <w:r>
        <w:rPr>
          <w:sz w:val="28"/>
          <w:szCs w:val="28"/>
        </w:rPr>
        <w:t>Wherefore it is ordered that,</w:t>
      </w:r>
    </w:p>
    <w:p w:rsidR="00695889" w:rsidRDefault="00695889" w:rsidP="00BD5569">
      <w:pPr>
        <w:spacing w:line="360" w:lineRule="auto"/>
        <w:rPr>
          <w:sz w:val="28"/>
          <w:szCs w:val="28"/>
        </w:rPr>
      </w:pPr>
    </w:p>
    <w:p w:rsidR="00695889" w:rsidRDefault="00695889" w:rsidP="00695889">
      <w:pPr>
        <w:pStyle w:val="ListParagraph"/>
        <w:numPr>
          <w:ilvl w:val="0"/>
          <w:numId w:val="1"/>
        </w:numPr>
        <w:spacing w:line="360" w:lineRule="auto"/>
        <w:rPr>
          <w:sz w:val="28"/>
          <w:szCs w:val="28"/>
        </w:rPr>
      </w:pPr>
      <w:r>
        <w:rPr>
          <w:sz w:val="28"/>
          <w:szCs w:val="28"/>
        </w:rPr>
        <w:t xml:space="preserve"> The point taken </w:t>
      </w:r>
      <w:r>
        <w:rPr>
          <w:sz w:val="28"/>
          <w:szCs w:val="28"/>
          <w:u w:val="single"/>
        </w:rPr>
        <w:t>in</w:t>
      </w:r>
      <w:r>
        <w:rPr>
          <w:sz w:val="28"/>
          <w:szCs w:val="28"/>
        </w:rPr>
        <w:t xml:space="preserve"> </w:t>
      </w:r>
      <w:proofErr w:type="spellStart"/>
      <w:r>
        <w:rPr>
          <w:sz w:val="28"/>
          <w:szCs w:val="28"/>
          <w:u w:val="single"/>
        </w:rPr>
        <w:t>limine</w:t>
      </w:r>
      <w:proofErr w:type="spellEnd"/>
      <w:r>
        <w:rPr>
          <w:sz w:val="28"/>
          <w:szCs w:val="28"/>
        </w:rPr>
        <w:t xml:space="preserve"> by Respondent (that Applicant is barred) is hereby dismissed and;</w:t>
      </w:r>
    </w:p>
    <w:p w:rsidR="00695889" w:rsidRDefault="00695889" w:rsidP="00695889">
      <w:pPr>
        <w:pStyle w:val="ListParagraph"/>
        <w:spacing w:line="360" w:lineRule="auto"/>
        <w:rPr>
          <w:sz w:val="28"/>
          <w:szCs w:val="28"/>
        </w:rPr>
      </w:pPr>
    </w:p>
    <w:p w:rsidR="00695889" w:rsidRDefault="00695889" w:rsidP="00695889">
      <w:pPr>
        <w:pStyle w:val="ListParagraph"/>
        <w:spacing w:line="360" w:lineRule="auto"/>
        <w:rPr>
          <w:sz w:val="28"/>
          <w:szCs w:val="28"/>
        </w:rPr>
      </w:pPr>
    </w:p>
    <w:p w:rsidR="00695889" w:rsidRDefault="00695889" w:rsidP="00695889">
      <w:pPr>
        <w:pStyle w:val="ListParagraph"/>
        <w:numPr>
          <w:ilvl w:val="0"/>
          <w:numId w:val="1"/>
        </w:numPr>
        <w:spacing w:line="360" w:lineRule="auto"/>
        <w:rPr>
          <w:sz w:val="28"/>
          <w:szCs w:val="28"/>
        </w:rPr>
      </w:pPr>
      <w:r>
        <w:rPr>
          <w:sz w:val="28"/>
          <w:szCs w:val="28"/>
        </w:rPr>
        <w:t>The Registrar of this Court is directed to re-set the matter for hearing in due course.</w:t>
      </w:r>
    </w:p>
    <w:p w:rsidR="00695889" w:rsidRDefault="00695889" w:rsidP="00695889">
      <w:pPr>
        <w:spacing w:line="360" w:lineRule="auto"/>
        <w:rPr>
          <w:sz w:val="28"/>
          <w:szCs w:val="28"/>
        </w:rPr>
      </w:pPr>
    </w:p>
    <w:p w:rsidR="00695889" w:rsidRDefault="00695889" w:rsidP="00695889">
      <w:pPr>
        <w:spacing w:line="360" w:lineRule="auto"/>
        <w:rPr>
          <w:sz w:val="28"/>
          <w:szCs w:val="28"/>
        </w:rPr>
      </w:pPr>
    </w:p>
    <w:p w:rsidR="00695889" w:rsidRDefault="00695889" w:rsidP="00695889">
      <w:pPr>
        <w:spacing w:line="360" w:lineRule="auto"/>
        <w:rPr>
          <w:sz w:val="28"/>
          <w:szCs w:val="28"/>
        </w:rPr>
      </w:pPr>
    </w:p>
    <w:p w:rsidR="00695889" w:rsidRDefault="00695889" w:rsidP="00695889">
      <w:pPr>
        <w:spacing w:line="360" w:lineRule="auto"/>
        <w:ind w:left="4320"/>
        <w:rPr>
          <w:b/>
          <w:sz w:val="28"/>
          <w:szCs w:val="28"/>
        </w:rPr>
      </w:pPr>
      <w:r>
        <w:rPr>
          <w:b/>
          <w:sz w:val="28"/>
          <w:szCs w:val="28"/>
        </w:rPr>
        <w:t>G. MUSARIRI</w:t>
      </w:r>
    </w:p>
    <w:p w:rsidR="00695889" w:rsidRPr="00695889" w:rsidRDefault="00695889" w:rsidP="00695889">
      <w:pPr>
        <w:spacing w:line="360" w:lineRule="auto"/>
        <w:ind w:left="4320"/>
        <w:rPr>
          <w:b/>
          <w:sz w:val="28"/>
          <w:szCs w:val="28"/>
          <w:u w:val="single"/>
        </w:rPr>
      </w:pPr>
      <w:r>
        <w:rPr>
          <w:b/>
          <w:sz w:val="28"/>
          <w:szCs w:val="28"/>
          <w:u w:val="single"/>
        </w:rPr>
        <w:t>PRESIDENT</w:t>
      </w:r>
    </w:p>
    <w:sectPr w:rsidR="00695889" w:rsidRPr="00695889" w:rsidSect="0038602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72" w:rsidRDefault="000A5D72" w:rsidP="0038602D">
      <w:pPr>
        <w:spacing w:after="0" w:line="240" w:lineRule="auto"/>
      </w:pPr>
      <w:r>
        <w:separator/>
      </w:r>
    </w:p>
  </w:endnote>
  <w:endnote w:type="continuationSeparator" w:id="0">
    <w:p w:rsidR="000A5D72" w:rsidRDefault="000A5D72" w:rsidP="0038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961848"/>
      <w:docPartObj>
        <w:docPartGallery w:val="Page Numbers (Bottom of Page)"/>
        <w:docPartUnique/>
      </w:docPartObj>
    </w:sdtPr>
    <w:sdtEndPr>
      <w:rPr>
        <w:noProof/>
      </w:rPr>
    </w:sdtEndPr>
    <w:sdtContent>
      <w:p w:rsidR="0038602D" w:rsidRDefault="0038602D">
        <w:pPr>
          <w:pStyle w:val="Footer"/>
          <w:jc w:val="right"/>
        </w:pPr>
        <w:r>
          <w:fldChar w:fldCharType="begin"/>
        </w:r>
        <w:r>
          <w:instrText xml:space="preserve"> PAGE   \* MERGEFORMAT </w:instrText>
        </w:r>
        <w:r>
          <w:fldChar w:fldCharType="separate"/>
        </w:r>
        <w:r w:rsidR="00FA3889">
          <w:rPr>
            <w:noProof/>
          </w:rPr>
          <w:t>3</w:t>
        </w:r>
        <w:r>
          <w:rPr>
            <w:noProof/>
          </w:rPr>
          <w:fldChar w:fldCharType="end"/>
        </w:r>
      </w:p>
    </w:sdtContent>
  </w:sdt>
  <w:p w:rsidR="0038602D" w:rsidRDefault="00386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72" w:rsidRDefault="000A5D72" w:rsidP="0038602D">
      <w:pPr>
        <w:spacing w:after="0" w:line="240" w:lineRule="auto"/>
      </w:pPr>
      <w:r>
        <w:separator/>
      </w:r>
    </w:p>
  </w:footnote>
  <w:footnote w:type="continuationSeparator" w:id="0">
    <w:p w:rsidR="000A5D72" w:rsidRDefault="000A5D72" w:rsidP="00386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2D" w:rsidRDefault="0038602D" w:rsidP="0038602D">
    <w:pPr>
      <w:ind w:left="4320" w:firstLine="720"/>
      <w:rPr>
        <w:b/>
        <w:sz w:val="28"/>
        <w:szCs w:val="28"/>
      </w:rPr>
    </w:pPr>
    <w:r>
      <w:rPr>
        <w:b/>
        <w:sz w:val="28"/>
        <w:szCs w:val="28"/>
      </w:rPr>
      <w:t>JUDGMENT NO LC/H/58/13</w:t>
    </w:r>
  </w:p>
  <w:p w:rsidR="0038602D" w:rsidRPr="0038602D" w:rsidRDefault="0038602D" w:rsidP="00386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386A"/>
    <w:multiLevelType w:val="hybridMultilevel"/>
    <w:tmpl w:val="D9648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69"/>
    <w:rsid w:val="000A5D72"/>
    <w:rsid w:val="00127ABC"/>
    <w:rsid w:val="0038602D"/>
    <w:rsid w:val="00695889"/>
    <w:rsid w:val="009F12FE"/>
    <w:rsid w:val="00BD5569"/>
    <w:rsid w:val="00C03C80"/>
    <w:rsid w:val="00CE5328"/>
    <w:rsid w:val="00F031F9"/>
    <w:rsid w:val="00F47DDE"/>
    <w:rsid w:val="00F81C9A"/>
    <w:rsid w:val="00FA38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02D"/>
  </w:style>
  <w:style w:type="paragraph" w:styleId="Footer">
    <w:name w:val="footer"/>
    <w:basedOn w:val="Normal"/>
    <w:link w:val="FooterChar"/>
    <w:uiPriority w:val="99"/>
    <w:unhideWhenUsed/>
    <w:rsid w:val="00386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02D"/>
  </w:style>
  <w:style w:type="paragraph" w:styleId="ListParagraph">
    <w:name w:val="List Paragraph"/>
    <w:basedOn w:val="Normal"/>
    <w:uiPriority w:val="34"/>
    <w:qFormat/>
    <w:rsid w:val="00695889"/>
    <w:pPr>
      <w:ind w:left="720"/>
      <w:contextualSpacing/>
    </w:pPr>
  </w:style>
  <w:style w:type="paragraph" w:styleId="BalloonText">
    <w:name w:val="Balloon Text"/>
    <w:basedOn w:val="Normal"/>
    <w:link w:val="BalloonTextChar"/>
    <w:uiPriority w:val="99"/>
    <w:semiHidden/>
    <w:unhideWhenUsed/>
    <w:rsid w:val="00C03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02D"/>
  </w:style>
  <w:style w:type="paragraph" w:styleId="Footer">
    <w:name w:val="footer"/>
    <w:basedOn w:val="Normal"/>
    <w:link w:val="FooterChar"/>
    <w:uiPriority w:val="99"/>
    <w:unhideWhenUsed/>
    <w:rsid w:val="00386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02D"/>
  </w:style>
  <w:style w:type="paragraph" w:styleId="ListParagraph">
    <w:name w:val="List Paragraph"/>
    <w:basedOn w:val="Normal"/>
    <w:uiPriority w:val="34"/>
    <w:qFormat/>
    <w:rsid w:val="00695889"/>
    <w:pPr>
      <w:ind w:left="720"/>
      <w:contextualSpacing/>
    </w:pPr>
  </w:style>
  <w:style w:type="paragraph" w:styleId="BalloonText">
    <w:name w:val="Balloon Text"/>
    <w:basedOn w:val="Normal"/>
    <w:link w:val="BalloonTextChar"/>
    <w:uiPriority w:val="99"/>
    <w:semiHidden/>
    <w:unhideWhenUsed/>
    <w:rsid w:val="00C03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2013-02-28T10:43:00Z</cp:lastPrinted>
  <dcterms:created xsi:type="dcterms:W3CDTF">2013-02-27T13:07:00Z</dcterms:created>
  <dcterms:modified xsi:type="dcterms:W3CDTF">2013-02-28T10:44:00Z</dcterms:modified>
</cp:coreProperties>
</file>