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3386D" w:rsidRDefault="00D26D01" w:rsidP="00A3386D">
      <w:pPr>
        <w:pStyle w:val="NoSpacing"/>
        <w:jc w:val="both"/>
        <w:rPr>
          <w:b/>
          <w:szCs w:val="24"/>
        </w:rPr>
      </w:pPr>
      <w:r w:rsidRPr="00A3386D">
        <w:rPr>
          <w:b/>
          <w:szCs w:val="24"/>
        </w:rPr>
        <w:t>SIMBARAS</w:t>
      </w:r>
      <w:r w:rsidR="00A3386D" w:rsidRPr="00A3386D">
        <w:rPr>
          <w:b/>
          <w:szCs w:val="24"/>
        </w:rPr>
        <w:t>H</w:t>
      </w:r>
      <w:r w:rsidRPr="00A3386D">
        <w:rPr>
          <w:b/>
          <w:szCs w:val="24"/>
        </w:rPr>
        <w:t>E CHAUNOITA</w:t>
      </w:r>
    </w:p>
    <w:p w:rsidR="00D26D01" w:rsidRPr="00A3386D" w:rsidRDefault="00D26D01" w:rsidP="00A3386D">
      <w:pPr>
        <w:pStyle w:val="NoSpacing"/>
        <w:jc w:val="both"/>
        <w:rPr>
          <w:b/>
          <w:szCs w:val="24"/>
        </w:rPr>
      </w:pPr>
    </w:p>
    <w:p w:rsidR="00D26D01" w:rsidRPr="00A3386D" w:rsidRDefault="00D26D01" w:rsidP="00A3386D">
      <w:pPr>
        <w:pStyle w:val="NoSpacing"/>
        <w:jc w:val="both"/>
        <w:rPr>
          <w:b/>
          <w:szCs w:val="24"/>
        </w:rPr>
      </w:pPr>
      <w:r w:rsidRPr="00A3386D">
        <w:rPr>
          <w:b/>
          <w:szCs w:val="24"/>
        </w:rPr>
        <w:t>Versus</w:t>
      </w:r>
    </w:p>
    <w:p w:rsidR="00D26D01" w:rsidRPr="00A3386D" w:rsidRDefault="00D26D01" w:rsidP="00A3386D">
      <w:pPr>
        <w:pStyle w:val="NoSpacing"/>
        <w:jc w:val="both"/>
        <w:rPr>
          <w:b/>
          <w:szCs w:val="24"/>
        </w:rPr>
      </w:pPr>
    </w:p>
    <w:p w:rsidR="00D26D01" w:rsidRPr="00A3386D" w:rsidRDefault="00D26D01" w:rsidP="00A3386D">
      <w:pPr>
        <w:pStyle w:val="NoSpacing"/>
        <w:jc w:val="both"/>
        <w:rPr>
          <w:b/>
          <w:szCs w:val="24"/>
        </w:rPr>
      </w:pPr>
      <w:r w:rsidRPr="00A3386D">
        <w:rPr>
          <w:b/>
          <w:szCs w:val="24"/>
        </w:rPr>
        <w:t>THE STATE</w:t>
      </w:r>
    </w:p>
    <w:p w:rsidR="00D26D01" w:rsidRPr="00A3386D" w:rsidRDefault="00D26D01" w:rsidP="00A3386D">
      <w:pPr>
        <w:pStyle w:val="NoSpacing"/>
        <w:jc w:val="both"/>
        <w:rPr>
          <w:b/>
          <w:szCs w:val="24"/>
        </w:rPr>
      </w:pPr>
    </w:p>
    <w:p w:rsidR="00D26D01" w:rsidRPr="00A3386D" w:rsidRDefault="00D26D01" w:rsidP="00A3386D">
      <w:pPr>
        <w:pStyle w:val="NoSpacing"/>
        <w:jc w:val="both"/>
        <w:rPr>
          <w:szCs w:val="24"/>
        </w:rPr>
      </w:pPr>
      <w:r w:rsidRPr="00A3386D">
        <w:rPr>
          <w:szCs w:val="24"/>
        </w:rPr>
        <w:t>IN THE HIGH COURT OF ZIMBABWE</w:t>
      </w:r>
    </w:p>
    <w:p w:rsidR="00D26D01" w:rsidRPr="00A3386D" w:rsidRDefault="00D26D01" w:rsidP="00A3386D">
      <w:pPr>
        <w:pStyle w:val="NoSpacing"/>
        <w:jc w:val="both"/>
        <w:rPr>
          <w:szCs w:val="24"/>
        </w:rPr>
      </w:pPr>
      <w:r w:rsidRPr="00A3386D">
        <w:rPr>
          <w:szCs w:val="24"/>
        </w:rPr>
        <w:t>MAKONESE J</w:t>
      </w:r>
    </w:p>
    <w:p w:rsidR="00D26D01" w:rsidRPr="00A3386D" w:rsidRDefault="00D26D01" w:rsidP="00A3386D">
      <w:pPr>
        <w:pStyle w:val="NoSpacing"/>
        <w:jc w:val="both"/>
        <w:rPr>
          <w:szCs w:val="24"/>
        </w:rPr>
      </w:pPr>
      <w:r w:rsidRPr="00A3386D">
        <w:rPr>
          <w:szCs w:val="24"/>
        </w:rPr>
        <w:t>BULAWAYO 28 FEBRUARY 2019</w:t>
      </w:r>
    </w:p>
    <w:p w:rsidR="00D26D01" w:rsidRPr="00A3386D" w:rsidRDefault="00D26D01" w:rsidP="00A3386D">
      <w:pPr>
        <w:pStyle w:val="NoSpacing"/>
        <w:jc w:val="both"/>
        <w:rPr>
          <w:szCs w:val="24"/>
        </w:rPr>
      </w:pPr>
    </w:p>
    <w:p w:rsidR="00D26D01" w:rsidRPr="00A3386D" w:rsidRDefault="008214E7" w:rsidP="00A3386D">
      <w:pPr>
        <w:pStyle w:val="NoSpacing"/>
        <w:jc w:val="both"/>
        <w:rPr>
          <w:b/>
          <w:szCs w:val="24"/>
        </w:rPr>
      </w:pPr>
      <w:r>
        <w:rPr>
          <w:b/>
          <w:szCs w:val="24"/>
        </w:rPr>
        <w:t xml:space="preserve">Chamber </w:t>
      </w:r>
      <w:r w:rsidR="00D26D01" w:rsidRPr="00A3386D">
        <w:rPr>
          <w:b/>
          <w:szCs w:val="24"/>
        </w:rPr>
        <w:t>Application</w:t>
      </w:r>
    </w:p>
    <w:p w:rsidR="0003386C" w:rsidRPr="00BC5C3E" w:rsidRDefault="009E5B9C" w:rsidP="00A3386D">
      <w:pPr>
        <w:jc w:val="both"/>
        <w:rPr>
          <w:szCs w:val="24"/>
        </w:rPr>
      </w:pPr>
      <w:r w:rsidRPr="00A3386D">
        <w:rPr>
          <w:szCs w:val="24"/>
        </w:rPr>
        <w:tab/>
      </w:r>
      <w:r w:rsidR="0003386C">
        <w:rPr>
          <w:b/>
          <w:szCs w:val="24"/>
        </w:rPr>
        <w:t>MAKONESE J:</w:t>
      </w:r>
      <w:r w:rsidR="00BC5C3E">
        <w:rPr>
          <w:b/>
          <w:szCs w:val="24"/>
        </w:rPr>
        <w:tab/>
      </w:r>
      <w:r w:rsidR="0003386C" w:rsidRPr="00BC5C3E">
        <w:rPr>
          <w:szCs w:val="24"/>
        </w:rPr>
        <w:t>The applicant appeared before the High Court at Gweru on the 18</w:t>
      </w:r>
      <w:r w:rsidR="0003386C" w:rsidRPr="00BC5C3E">
        <w:rPr>
          <w:szCs w:val="24"/>
          <w:vertAlign w:val="superscript"/>
        </w:rPr>
        <w:t>th</w:t>
      </w:r>
      <w:r w:rsidR="0003386C" w:rsidRPr="00BC5C3E">
        <w:rPr>
          <w:szCs w:val="24"/>
        </w:rPr>
        <w:t xml:space="preserve"> of May 2009 on a charge of murder. He was c</w:t>
      </w:r>
      <w:r w:rsidR="00BC5C3E">
        <w:rPr>
          <w:szCs w:val="24"/>
        </w:rPr>
        <w:t>onvicted of murder with actual</w:t>
      </w:r>
      <w:r w:rsidR="004E389F" w:rsidRPr="00BC5C3E">
        <w:rPr>
          <w:szCs w:val="24"/>
        </w:rPr>
        <w:t xml:space="preserve"> intent.</w:t>
      </w:r>
      <w:r w:rsidR="0003386C" w:rsidRPr="00BC5C3E">
        <w:rPr>
          <w:szCs w:val="24"/>
        </w:rPr>
        <w:t xml:space="preserve"> The learned judge sentenced the applicant to life imprisonment. The applicant sought to appeal against both conviction and sentence and brought this application before th</w:t>
      </w:r>
      <w:r w:rsidR="005F6E9B" w:rsidRPr="00BC5C3E">
        <w:rPr>
          <w:szCs w:val="24"/>
        </w:rPr>
        <w:t>is court</w:t>
      </w:r>
      <w:r w:rsidR="0003386C" w:rsidRPr="00BC5C3E">
        <w:rPr>
          <w:szCs w:val="24"/>
        </w:rPr>
        <w:t xml:space="preserve"> on 17 October 2018, some nine years after conviction and sente</w:t>
      </w:r>
      <w:r w:rsidR="005F6E9B" w:rsidRPr="00BC5C3E">
        <w:rPr>
          <w:szCs w:val="24"/>
        </w:rPr>
        <w:t>nce.</w:t>
      </w:r>
    </w:p>
    <w:p w:rsidR="00D26D01" w:rsidRPr="00A3386D" w:rsidRDefault="004E389F" w:rsidP="00BC5C3E">
      <w:pPr>
        <w:ind w:firstLine="720"/>
        <w:jc w:val="both"/>
        <w:rPr>
          <w:szCs w:val="24"/>
        </w:rPr>
      </w:pPr>
      <w:r>
        <w:rPr>
          <w:szCs w:val="24"/>
        </w:rPr>
        <w:t xml:space="preserve"> T</w:t>
      </w:r>
      <w:r w:rsidR="009E5B9C" w:rsidRPr="00A3386D">
        <w:rPr>
          <w:szCs w:val="24"/>
        </w:rPr>
        <w:t>he applicant filed an application he referred t</w:t>
      </w:r>
      <w:r w:rsidR="00D61984">
        <w:rPr>
          <w:szCs w:val="24"/>
        </w:rPr>
        <w:t>o</w:t>
      </w:r>
      <w:r w:rsidR="009E5B9C" w:rsidRPr="00A3386D">
        <w:rPr>
          <w:szCs w:val="24"/>
        </w:rPr>
        <w:t xml:space="preserve"> as a chamber application for failure to apply for leave to appeal timeously and leave to appeal.  The application was purportedly brought in terms of Rule 266 of the High Court Rules, 1971.  The application was brought through the chamber book and not as court application.  The Registr</w:t>
      </w:r>
      <w:r w:rsidR="00A3386D" w:rsidRPr="00A3386D">
        <w:rPr>
          <w:szCs w:val="24"/>
        </w:rPr>
        <w:t>a</w:t>
      </w:r>
      <w:r w:rsidR="009E5B9C" w:rsidRPr="00A3386D">
        <w:rPr>
          <w:szCs w:val="24"/>
        </w:rPr>
        <w:t>r advise</w:t>
      </w:r>
      <w:r w:rsidR="00D61984">
        <w:rPr>
          <w:szCs w:val="24"/>
        </w:rPr>
        <w:t>d the applicant of the patent</w:t>
      </w:r>
      <w:r w:rsidR="009E5B9C" w:rsidRPr="00A3386D">
        <w:rPr>
          <w:szCs w:val="24"/>
        </w:rPr>
        <w:t xml:space="preserve"> defects in the application and advised him to comply with the rules.  Numerous other defe</w:t>
      </w:r>
      <w:r w:rsidR="008C07F3" w:rsidRPr="00A3386D">
        <w:rPr>
          <w:szCs w:val="24"/>
        </w:rPr>
        <w:t>cts were detected by the Registrar but the applicant refused to comply with the requirements by the Registrar.</w:t>
      </w:r>
    </w:p>
    <w:p w:rsidR="008C07F3" w:rsidRPr="00A3386D" w:rsidRDefault="008C07F3" w:rsidP="00A3386D">
      <w:pPr>
        <w:jc w:val="both"/>
        <w:rPr>
          <w:szCs w:val="24"/>
        </w:rPr>
      </w:pPr>
      <w:r w:rsidRPr="00A3386D">
        <w:rPr>
          <w:szCs w:val="24"/>
        </w:rPr>
        <w:tab/>
        <w:t>An application for condonation</w:t>
      </w:r>
      <w:r w:rsidR="00BF6006">
        <w:rPr>
          <w:szCs w:val="24"/>
        </w:rPr>
        <w:t xml:space="preserve"> for leave</w:t>
      </w:r>
      <w:r w:rsidRPr="00A3386D">
        <w:rPr>
          <w:szCs w:val="24"/>
        </w:rPr>
        <w:t xml:space="preserve"> ought to have been made and submitted to the court in the proper form.  This was not done.  The application further </w:t>
      </w:r>
      <w:r w:rsidR="00A3386D" w:rsidRPr="00A3386D">
        <w:rPr>
          <w:szCs w:val="24"/>
        </w:rPr>
        <w:t>p</w:t>
      </w:r>
      <w:r w:rsidRPr="00A3386D">
        <w:rPr>
          <w:szCs w:val="24"/>
        </w:rPr>
        <w:t>urp</w:t>
      </w:r>
      <w:r w:rsidR="00A3386D" w:rsidRPr="00A3386D">
        <w:rPr>
          <w:szCs w:val="24"/>
        </w:rPr>
        <w:t>o</w:t>
      </w:r>
      <w:r w:rsidRPr="00A3386D">
        <w:rPr>
          <w:szCs w:val="24"/>
        </w:rPr>
        <w:t>rts</w:t>
      </w:r>
      <w:r w:rsidR="00611433">
        <w:rPr>
          <w:szCs w:val="24"/>
        </w:rPr>
        <w:t>, firstly,</w:t>
      </w:r>
      <w:r w:rsidRPr="00A3386D">
        <w:rPr>
          <w:szCs w:val="24"/>
        </w:rPr>
        <w:t xml:space="preserve"> to be both an application for condonation for failure to apply for leave to appeal </w:t>
      </w:r>
      <w:proofErr w:type="gramStart"/>
      <w:r w:rsidRPr="00A3386D">
        <w:rPr>
          <w:szCs w:val="24"/>
        </w:rPr>
        <w:t>timeously,</w:t>
      </w:r>
      <w:proofErr w:type="gramEnd"/>
      <w:r w:rsidRPr="00A3386D">
        <w:rPr>
          <w:szCs w:val="24"/>
        </w:rPr>
        <w:t xml:space="preserve"> and secondly an application for leave to appeal.  In terms of the High Court Rules there is no provision for such a hybrid application.  The application itself fails dismally to address the issue of prospects of success against conviction and sentence.  The d</w:t>
      </w:r>
      <w:r w:rsidR="00C7684E">
        <w:rPr>
          <w:szCs w:val="24"/>
        </w:rPr>
        <w:t>raft notice of appeal</w:t>
      </w:r>
      <w:r w:rsidR="00B96CA1">
        <w:rPr>
          <w:szCs w:val="24"/>
        </w:rPr>
        <w:t xml:space="preserve"> itself</w:t>
      </w:r>
      <w:r w:rsidR="00C7684E">
        <w:rPr>
          <w:szCs w:val="24"/>
        </w:rPr>
        <w:t xml:space="preserve"> discloses</w:t>
      </w:r>
      <w:r w:rsidRPr="00A3386D">
        <w:rPr>
          <w:szCs w:val="24"/>
        </w:rPr>
        <w:t xml:space="preserve"> no prospe</w:t>
      </w:r>
      <w:r w:rsidR="00F66B9F">
        <w:rPr>
          <w:szCs w:val="24"/>
        </w:rPr>
        <w:t>cts of success on both conviction</w:t>
      </w:r>
      <w:r w:rsidRPr="00A3386D">
        <w:rPr>
          <w:szCs w:val="24"/>
        </w:rPr>
        <w:t xml:space="preserve"> and sentence.  The application does</w:t>
      </w:r>
      <w:r w:rsidR="00A3386D" w:rsidRPr="00A3386D">
        <w:rPr>
          <w:szCs w:val="24"/>
        </w:rPr>
        <w:t xml:space="preserve"> not refer to any misdirection </w:t>
      </w:r>
      <w:r w:rsidR="00E02808">
        <w:rPr>
          <w:szCs w:val="24"/>
        </w:rPr>
        <w:t>by the learned judge who presided over the matter.</w:t>
      </w:r>
    </w:p>
    <w:p w:rsidR="008C07F3" w:rsidRPr="00A3386D" w:rsidRDefault="008C07F3" w:rsidP="00A3386D">
      <w:pPr>
        <w:jc w:val="both"/>
        <w:rPr>
          <w:szCs w:val="24"/>
        </w:rPr>
      </w:pPr>
      <w:r w:rsidRPr="00A3386D">
        <w:rPr>
          <w:szCs w:val="24"/>
        </w:rPr>
        <w:lastRenderedPageBreak/>
        <w:tab/>
        <w:t>This court is always reluctant to condone non-compliance with the Rules of Court, and when such condonation is sought there must be a formal application and the applicant must furnish an explanation satisfying the court of the failure to comply with the rules and must show that there is a proper case for condonation.  See</w:t>
      </w:r>
      <w:proofErr w:type="gramStart"/>
      <w:r w:rsidR="002823DB">
        <w:rPr>
          <w:szCs w:val="24"/>
        </w:rPr>
        <w:t xml:space="preserve">; </w:t>
      </w:r>
      <w:r w:rsidRPr="00A3386D">
        <w:rPr>
          <w:szCs w:val="24"/>
        </w:rPr>
        <w:t xml:space="preserve"> </w:t>
      </w:r>
      <w:r w:rsidRPr="00A3386D">
        <w:rPr>
          <w:i/>
          <w:szCs w:val="24"/>
        </w:rPr>
        <w:t>R</w:t>
      </w:r>
      <w:proofErr w:type="gramEnd"/>
      <w:r w:rsidRPr="00A3386D">
        <w:rPr>
          <w:szCs w:val="24"/>
        </w:rPr>
        <w:t xml:space="preserve"> </w:t>
      </w:r>
      <w:r w:rsidR="008E16DC">
        <w:rPr>
          <w:szCs w:val="24"/>
        </w:rPr>
        <w:t xml:space="preserve"> </w:t>
      </w:r>
      <w:r w:rsidRPr="00A3386D">
        <w:rPr>
          <w:szCs w:val="24"/>
        </w:rPr>
        <w:t xml:space="preserve">v </w:t>
      </w:r>
      <w:r w:rsidRPr="00A3386D">
        <w:rPr>
          <w:i/>
          <w:szCs w:val="24"/>
        </w:rPr>
        <w:t xml:space="preserve">Rail </w:t>
      </w:r>
      <w:r w:rsidRPr="00A3386D">
        <w:rPr>
          <w:szCs w:val="24"/>
        </w:rPr>
        <w:t>1959 (1) RFN 220 (SR).</w:t>
      </w:r>
    </w:p>
    <w:p w:rsidR="008C07F3" w:rsidRPr="00A3386D" w:rsidRDefault="008C07F3" w:rsidP="00A3386D">
      <w:pPr>
        <w:jc w:val="both"/>
        <w:rPr>
          <w:szCs w:val="24"/>
        </w:rPr>
      </w:pPr>
      <w:r w:rsidRPr="00A3386D">
        <w:rPr>
          <w:szCs w:val="24"/>
        </w:rPr>
        <w:tab/>
        <w:t>The point must therefore be made</w:t>
      </w:r>
      <w:r w:rsidR="000C78C3">
        <w:rPr>
          <w:szCs w:val="24"/>
        </w:rPr>
        <w:t>,</w:t>
      </w:r>
      <w:r w:rsidRPr="00A3386D">
        <w:rPr>
          <w:szCs w:val="24"/>
        </w:rPr>
        <w:t xml:space="preserve"> that this court will not entertain applications that are not properly before the court.</w:t>
      </w:r>
      <w:r w:rsidR="00D57698">
        <w:rPr>
          <w:szCs w:val="24"/>
        </w:rPr>
        <w:t xml:space="preserve"> This application is</w:t>
      </w:r>
      <w:r w:rsidR="000500F4">
        <w:rPr>
          <w:szCs w:val="24"/>
        </w:rPr>
        <w:t xml:space="preserve"> </w:t>
      </w:r>
      <w:r w:rsidR="00556EF8">
        <w:rPr>
          <w:szCs w:val="24"/>
        </w:rPr>
        <w:t>an</w:t>
      </w:r>
      <w:r w:rsidR="000500F4">
        <w:rPr>
          <w:szCs w:val="24"/>
        </w:rPr>
        <w:t xml:space="preserve"> </w:t>
      </w:r>
      <w:r w:rsidR="00556EF8">
        <w:rPr>
          <w:szCs w:val="24"/>
        </w:rPr>
        <w:t>abuse of court process. The Registrar was correct in declining to place a</w:t>
      </w:r>
      <w:r w:rsidR="00081CB2">
        <w:rPr>
          <w:szCs w:val="24"/>
        </w:rPr>
        <w:t xml:space="preserve"> defective</w:t>
      </w:r>
      <w:r w:rsidR="00556EF8">
        <w:rPr>
          <w:szCs w:val="24"/>
        </w:rPr>
        <w:t xml:space="preserve"> application before a judge in chambers.</w:t>
      </w:r>
      <w:r w:rsidR="00A372C2">
        <w:rPr>
          <w:szCs w:val="24"/>
        </w:rPr>
        <w:t xml:space="preserve"> I was compelled to make a ruling on the application because of various unsubstantiated complaints against the Registrar.</w:t>
      </w:r>
    </w:p>
    <w:p w:rsidR="008C07F3" w:rsidRPr="00A3386D" w:rsidRDefault="008C07F3" w:rsidP="00A3386D">
      <w:pPr>
        <w:jc w:val="both"/>
        <w:rPr>
          <w:szCs w:val="24"/>
        </w:rPr>
      </w:pPr>
      <w:r w:rsidRPr="00A3386D">
        <w:rPr>
          <w:szCs w:val="24"/>
        </w:rPr>
        <w:tab/>
        <w:t>In the result, the application is dismissed with costs.</w:t>
      </w:r>
    </w:p>
    <w:p w:rsidR="008C07F3" w:rsidRPr="00A3386D" w:rsidRDefault="008C07F3" w:rsidP="00A3386D">
      <w:pPr>
        <w:jc w:val="both"/>
        <w:rPr>
          <w:szCs w:val="24"/>
        </w:rPr>
      </w:pPr>
    </w:p>
    <w:p w:rsidR="00D26D01" w:rsidRPr="00A3386D" w:rsidRDefault="00D26D01" w:rsidP="00A3386D">
      <w:pPr>
        <w:pStyle w:val="NoSpacing"/>
        <w:jc w:val="both"/>
        <w:rPr>
          <w:szCs w:val="24"/>
        </w:rPr>
      </w:pPr>
    </w:p>
    <w:sectPr w:rsidR="00D26D01" w:rsidRPr="00A3386D"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712" w:rsidRDefault="00583712" w:rsidP="00A3386D">
      <w:pPr>
        <w:spacing w:before="0" w:after="0" w:line="240" w:lineRule="auto"/>
      </w:pPr>
      <w:r>
        <w:separator/>
      </w:r>
    </w:p>
  </w:endnote>
  <w:endnote w:type="continuationSeparator" w:id="1">
    <w:p w:rsidR="00583712" w:rsidRDefault="00583712" w:rsidP="00A3386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712" w:rsidRDefault="00583712" w:rsidP="00A3386D">
      <w:pPr>
        <w:spacing w:before="0" w:after="0" w:line="240" w:lineRule="auto"/>
      </w:pPr>
      <w:r>
        <w:separator/>
      </w:r>
    </w:p>
  </w:footnote>
  <w:footnote w:type="continuationSeparator" w:id="1">
    <w:p w:rsidR="00583712" w:rsidRDefault="00583712" w:rsidP="00A3386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9918"/>
      <w:docPartObj>
        <w:docPartGallery w:val="Page Numbers (Top of Page)"/>
        <w:docPartUnique/>
      </w:docPartObj>
    </w:sdtPr>
    <w:sdtContent>
      <w:p w:rsidR="00A3386D" w:rsidRDefault="003024BE">
        <w:pPr>
          <w:pStyle w:val="Header"/>
          <w:jc w:val="right"/>
        </w:pPr>
        <w:fldSimple w:instr=" PAGE   \* MERGEFORMAT ">
          <w:r w:rsidR="00BC5C3E">
            <w:rPr>
              <w:noProof/>
            </w:rPr>
            <w:t>1</w:t>
          </w:r>
        </w:fldSimple>
      </w:p>
      <w:p w:rsidR="00A3386D" w:rsidRDefault="00A3386D" w:rsidP="00A3386D">
        <w:pPr>
          <w:pStyle w:val="NoSpacing"/>
          <w:ind w:left="7920"/>
        </w:pPr>
        <w:r>
          <w:t xml:space="preserve">       HB 32/19</w:t>
        </w:r>
      </w:p>
      <w:p w:rsidR="00A3386D" w:rsidRDefault="00A3386D" w:rsidP="00A3386D">
        <w:pPr>
          <w:pStyle w:val="NoSpacing"/>
          <w:ind w:left="7920"/>
        </w:pPr>
        <w:r>
          <w:t xml:space="preserve">    HC 2768/18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26D01"/>
    <w:rsid w:val="0003386C"/>
    <w:rsid w:val="000500F4"/>
    <w:rsid w:val="00081CB2"/>
    <w:rsid w:val="000C78C3"/>
    <w:rsid w:val="001D126B"/>
    <w:rsid w:val="002823DB"/>
    <w:rsid w:val="002C7F8A"/>
    <w:rsid w:val="003024BE"/>
    <w:rsid w:val="00381F3B"/>
    <w:rsid w:val="003A3365"/>
    <w:rsid w:val="003E5BAA"/>
    <w:rsid w:val="00477B02"/>
    <w:rsid w:val="004E389F"/>
    <w:rsid w:val="0054317D"/>
    <w:rsid w:val="00556EF8"/>
    <w:rsid w:val="00583712"/>
    <w:rsid w:val="00590E07"/>
    <w:rsid w:val="005F6E9B"/>
    <w:rsid w:val="00611433"/>
    <w:rsid w:val="00621211"/>
    <w:rsid w:val="0068662E"/>
    <w:rsid w:val="006A03C9"/>
    <w:rsid w:val="00701C30"/>
    <w:rsid w:val="00781F23"/>
    <w:rsid w:val="007B49A6"/>
    <w:rsid w:val="007D0B26"/>
    <w:rsid w:val="007D2790"/>
    <w:rsid w:val="0080167C"/>
    <w:rsid w:val="008214E7"/>
    <w:rsid w:val="00860F7F"/>
    <w:rsid w:val="008A7672"/>
    <w:rsid w:val="008C07F3"/>
    <w:rsid w:val="008C3209"/>
    <w:rsid w:val="008E16DC"/>
    <w:rsid w:val="009E5B9C"/>
    <w:rsid w:val="009E5C1A"/>
    <w:rsid w:val="00A3386D"/>
    <w:rsid w:val="00A372C2"/>
    <w:rsid w:val="00A50BC8"/>
    <w:rsid w:val="00B96CA1"/>
    <w:rsid w:val="00BC5C3E"/>
    <w:rsid w:val="00BF6006"/>
    <w:rsid w:val="00C41486"/>
    <w:rsid w:val="00C61900"/>
    <w:rsid w:val="00C7684E"/>
    <w:rsid w:val="00C83322"/>
    <w:rsid w:val="00CE00E1"/>
    <w:rsid w:val="00D20B4C"/>
    <w:rsid w:val="00D26D01"/>
    <w:rsid w:val="00D57698"/>
    <w:rsid w:val="00D61984"/>
    <w:rsid w:val="00DE5BD7"/>
    <w:rsid w:val="00E02808"/>
    <w:rsid w:val="00E10C27"/>
    <w:rsid w:val="00F66B9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338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386D"/>
    <w:rPr>
      <w:rFonts w:ascii="Times New Roman" w:hAnsi="Times New Roman"/>
      <w:sz w:val="24"/>
    </w:rPr>
  </w:style>
  <w:style w:type="paragraph" w:styleId="Footer">
    <w:name w:val="footer"/>
    <w:basedOn w:val="Normal"/>
    <w:link w:val="FooterChar"/>
    <w:uiPriority w:val="99"/>
    <w:semiHidden/>
    <w:unhideWhenUsed/>
    <w:rsid w:val="00A3386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3386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2019-02-22T12:21:00Z</cp:lastPrinted>
  <dcterms:created xsi:type="dcterms:W3CDTF">2019-02-22T12:05:00Z</dcterms:created>
  <dcterms:modified xsi:type="dcterms:W3CDTF">2019-02-22T13:08:00Z</dcterms:modified>
</cp:coreProperties>
</file>