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434D7B" w:rsidP="00434D7B">
      <w:pPr>
        <w:pStyle w:val="NoSpacing"/>
        <w:rPr>
          <w:b/>
        </w:rPr>
      </w:pPr>
      <w:r>
        <w:rPr>
          <w:b/>
        </w:rPr>
        <w:t>SIMALU MINING (PVT) LTD &amp; 4 OTHERS</w:t>
      </w:r>
    </w:p>
    <w:p w:rsidR="00434D7B" w:rsidRDefault="00434D7B" w:rsidP="00434D7B">
      <w:pPr>
        <w:pStyle w:val="NoSpacing"/>
        <w:rPr>
          <w:b/>
        </w:rPr>
      </w:pPr>
    </w:p>
    <w:p w:rsidR="00434D7B" w:rsidRDefault="00434D7B" w:rsidP="00434D7B">
      <w:pPr>
        <w:pStyle w:val="NoSpacing"/>
        <w:rPr>
          <w:b/>
        </w:rPr>
      </w:pPr>
      <w:r>
        <w:rPr>
          <w:b/>
        </w:rPr>
        <w:t>Versus</w:t>
      </w:r>
    </w:p>
    <w:p w:rsidR="00434D7B" w:rsidRDefault="00434D7B" w:rsidP="00434D7B">
      <w:pPr>
        <w:pStyle w:val="NoSpacing"/>
        <w:rPr>
          <w:b/>
        </w:rPr>
      </w:pPr>
    </w:p>
    <w:p w:rsidR="00434D7B" w:rsidRDefault="00434D7B" w:rsidP="00434D7B">
      <w:pPr>
        <w:pStyle w:val="NoSpacing"/>
        <w:rPr>
          <w:b/>
        </w:rPr>
      </w:pPr>
      <w:r>
        <w:rPr>
          <w:b/>
        </w:rPr>
        <w:t>ZIBON SIBANDA &amp; 13 OTHERS</w:t>
      </w:r>
    </w:p>
    <w:p w:rsidR="00434D7B" w:rsidRDefault="00434D7B" w:rsidP="00434D7B">
      <w:pPr>
        <w:pStyle w:val="NoSpacing"/>
        <w:rPr>
          <w:b/>
        </w:rPr>
      </w:pPr>
    </w:p>
    <w:p w:rsidR="00434D7B" w:rsidRDefault="00434D7B" w:rsidP="00434D7B">
      <w:pPr>
        <w:pStyle w:val="NoSpacing"/>
      </w:pPr>
      <w:r>
        <w:t>IN THE HIGH COURT OF ZIMBABWE</w:t>
      </w:r>
    </w:p>
    <w:p w:rsidR="00434D7B" w:rsidRDefault="00434D7B" w:rsidP="00434D7B">
      <w:pPr>
        <w:pStyle w:val="NoSpacing"/>
      </w:pPr>
      <w:r>
        <w:t>MAKONESE J</w:t>
      </w:r>
    </w:p>
    <w:p w:rsidR="00434D7B" w:rsidRDefault="00434D7B" w:rsidP="00434D7B">
      <w:pPr>
        <w:pStyle w:val="NoSpacing"/>
      </w:pPr>
      <w:r>
        <w:t>BULAWAYO 13 FEBRUARY &amp; 12 MARCH 2020</w:t>
      </w:r>
    </w:p>
    <w:p w:rsidR="00434D7B" w:rsidRDefault="00434D7B" w:rsidP="00434D7B">
      <w:pPr>
        <w:pStyle w:val="NoSpacing"/>
      </w:pPr>
    </w:p>
    <w:p w:rsidR="00434D7B" w:rsidRDefault="00434D7B" w:rsidP="00434D7B">
      <w:pPr>
        <w:pStyle w:val="NoSpacing"/>
        <w:rPr>
          <w:b/>
        </w:rPr>
      </w:pPr>
      <w:r>
        <w:rPr>
          <w:b/>
        </w:rPr>
        <w:t>Urgent Chamber Application</w:t>
      </w:r>
    </w:p>
    <w:p w:rsidR="00434D7B" w:rsidRDefault="00434D7B" w:rsidP="00434D7B">
      <w:pPr>
        <w:pStyle w:val="NoSpacing"/>
      </w:pPr>
    </w:p>
    <w:p w:rsidR="00434D7B" w:rsidRDefault="00434D7B" w:rsidP="00434D7B">
      <w:pPr>
        <w:pStyle w:val="NoSpacing"/>
      </w:pPr>
      <w:r w:rsidRPr="000D18D5">
        <w:rPr>
          <w:i/>
        </w:rPr>
        <w:t xml:space="preserve">T. </w:t>
      </w:r>
      <w:proofErr w:type="spellStart"/>
      <w:r w:rsidRPr="000D18D5">
        <w:rPr>
          <w:i/>
        </w:rPr>
        <w:t>Muganyi</w:t>
      </w:r>
      <w:proofErr w:type="spellEnd"/>
      <w:r w:rsidRPr="000D18D5">
        <w:rPr>
          <w:i/>
        </w:rPr>
        <w:t xml:space="preserve">, </w:t>
      </w:r>
      <w:r w:rsidR="00450C49">
        <w:rPr>
          <w:i/>
        </w:rPr>
        <w:t xml:space="preserve">&amp; </w:t>
      </w:r>
      <w:r w:rsidRPr="000D18D5">
        <w:rPr>
          <w:i/>
        </w:rPr>
        <w:t xml:space="preserve">M. </w:t>
      </w:r>
      <w:proofErr w:type="spellStart"/>
      <w:r w:rsidRPr="000D18D5">
        <w:rPr>
          <w:i/>
        </w:rPr>
        <w:t>Mahasao</w:t>
      </w:r>
      <w:proofErr w:type="spellEnd"/>
      <w:r w:rsidRPr="000D18D5">
        <w:rPr>
          <w:i/>
        </w:rPr>
        <w:t xml:space="preserve"> </w:t>
      </w:r>
      <w:r>
        <w:t>for the applicant</w:t>
      </w:r>
      <w:r w:rsidR="000D18D5">
        <w:t>s</w:t>
      </w:r>
    </w:p>
    <w:p w:rsidR="00434D7B" w:rsidRDefault="00434D7B" w:rsidP="00434D7B">
      <w:pPr>
        <w:pStyle w:val="NoSpacing"/>
      </w:pPr>
      <w:r w:rsidRPr="000D18D5">
        <w:rPr>
          <w:i/>
        </w:rPr>
        <w:t xml:space="preserve">D. </w:t>
      </w:r>
      <w:proofErr w:type="spellStart"/>
      <w:r w:rsidRPr="000D18D5">
        <w:rPr>
          <w:i/>
        </w:rPr>
        <w:t>Dube</w:t>
      </w:r>
      <w:proofErr w:type="spellEnd"/>
      <w:r w:rsidRPr="000D18D5">
        <w:rPr>
          <w:i/>
        </w:rPr>
        <w:t xml:space="preserve"> </w:t>
      </w:r>
      <w:r>
        <w:t xml:space="preserve">for </w:t>
      </w:r>
      <w:r w:rsidR="00450C49">
        <w:t>1</w:t>
      </w:r>
      <w:r w:rsidR="00450C49">
        <w:rPr>
          <w:vertAlign w:val="superscript"/>
        </w:rPr>
        <w:t xml:space="preserve">st </w:t>
      </w:r>
      <w:r w:rsidR="00450C49">
        <w:t>to 9</w:t>
      </w:r>
      <w:r w:rsidR="00450C49" w:rsidRPr="00450C49">
        <w:rPr>
          <w:vertAlign w:val="superscript"/>
        </w:rPr>
        <w:t>th</w:t>
      </w:r>
      <w:r w:rsidR="00450C49">
        <w:t xml:space="preserve"> </w:t>
      </w:r>
      <w:r>
        <w:t>respondent</w:t>
      </w:r>
      <w:r w:rsidR="00450C49">
        <w:t>s</w:t>
      </w:r>
    </w:p>
    <w:p w:rsidR="00434D7B" w:rsidRDefault="00434D7B" w:rsidP="00434D7B">
      <w:pPr>
        <w:pStyle w:val="NoSpacing"/>
      </w:pPr>
      <w:r w:rsidRPr="000D18D5">
        <w:rPr>
          <w:i/>
        </w:rPr>
        <w:t xml:space="preserve">Ms B. T. </w:t>
      </w:r>
      <w:proofErr w:type="spellStart"/>
      <w:r w:rsidRPr="000D18D5">
        <w:rPr>
          <w:i/>
        </w:rPr>
        <w:t>Nyoni</w:t>
      </w:r>
      <w:proofErr w:type="spellEnd"/>
      <w:r>
        <w:t xml:space="preserve"> for </w:t>
      </w:r>
      <w:r w:rsidR="00450C49">
        <w:t>10</w:t>
      </w:r>
      <w:r w:rsidR="00450C49" w:rsidRPr="00450C49">
        <w:rPr>
          <w:vertAlign w:val="superscript"/>
        </w:rPr>
        <w:t>th</w:t>
      </w:r>
      <w:r w:rsidR="00450C49">
        <w:t xml:space="preserve"> to 13</w:t>
      </w:r>
      <w:r w:rsidR="00450C49" w:rsidRPr="00450C49">
        <w:rPr>
          <w:vertAlign w:val="superscript"/>
        </w:rPr>
        <w:t>th</w:t>
      </w:r>
      <w:r w:rsidR="00450C49">
        <w:t xml:space="preserve"> </w:t>
      </w:r>
      <w:r>
        <w:t>respondent</w:t>
      </w:r>
      <w:r w:rsidR="00450C49">
        <w:t>s</w:t>
      </w:r>
    </w:p>
    <w:p w:rsidR="007B446D" w:rsidRPr="00532DD3" w:rsidRDefault="00434D7B" w:rsidP="00954E10">
      <w:pPr>
        <w:jc w:val="both"/>
        <w:rPr>
          <w:szCs w:val="24"/>
        </w:rPr>
      </w:pPr>
      <w:r w:rsidRPr="00954E10">
        <w:rPr>
          <w:b/>
          <w:szCs w:val="24"/>
        </w:rPr>
        <w:tab/>
        <w:t>MAKONESE J:</w:t>
      </w:r>
      <w:r w:rsidRPr="00954E10">
        <w:rPr>
          <w:b/>
          <w:szCs w:val="24"/>
        </w:rPr>
        <w:tab/>
      </w:r>
      <w:r w:rsidR="007B446D" w:rsidRPr="00532DD3">
        <w:rPr>
          <w:szCs w:val="24"/>
        </w:rPr>
        <w:t xml:space="preserve">This </w:t>
      </w:r>
      <w:r w:rsidR="00532DD3" w:rsidRPr="00532DD3">
        <w:rPr>
          <w:szCs w:val="24"/>
        </w:rPr>
        <w:t>urgent application was filed on the 7</w:t>
      </w:r>
      <w:r w:rsidR="00532DD3" w:rsidRPr="00532DD3">
        <w:rPr>
          <w:szCs w:val="24"/>
          <w:vertAlign w:val="superscript"/>
        </w:rPr>
        <w:t>th</w:t>
      </w:r>
      <w:r w:rsidR="00532DD3">
        <w:rPr>
          <w:b/>
          <w:szCs w:val="24"/>
        </w:rPr>
        <w:t xml:space="preserve"> </w:t>
      </w:r>
      <w:r w:rsidR="00532DD3" w:rsidRPr="00532DD3">
        <w:rPr>
          <w:szCs w:val="24"/>
        </w:rPr>
        <w:t xml:space="preserve">February 2020.  I heard the </w:t>
      </w:r>
      <w:r w:rsidR="00532DD3" w:rsidRPr="002637C6">
        <w:rPr>
          <w:szCs w:val="24"/>
        </w:rPr>
        <w:t>par</w:t>
      </w:r>
      <w:r w:rsidR="002637C6" w:rsidRPr="002637C6">
        <w:rPr>
          <w:szCs w:val="24"/>
        </w:rPr>
        <w:t>t</w:t>
      </w:r>
      <w:r w:rsidR="00532DD3" w:rsidRPr="002637C6">
        <w:rPr>
          <w:szCs w:val="24"/>
        </w:rPr>
        <w:t>ies</w:t>
      </w:r>
      <w:r w:rsidR="00532DD3" w:rsidRPr="00532DD3">
        <w:rPr>
          <w:szCs w:val="24"/>
        </w:rPr>
        <w:t xml:space="preserve"> in chambers on the 13</w:t>
      </w:r>
      <w:r w:rsidR="00532DD3" w:rsidRPr="00532DD3">
        <w:rPr>
          <w:szCs w:val="24"/>
          <w:vertAlign w:val="superscript"/>
        </w:rPr>
        <w:t>th</w:t>
      </w:r>
      <w:r w:rsidR="00532DD3" w:rsidRPr="00532DD3">
        <w:rPr>
          <w:szCs w:val="24"/>
        </w:rPr>
        <w:t xml:space="preserve"> of February 2020.  This is my determination on the chamber application.</w:t>
      </w:r>
    </w:p>
    <w:p w:rsidR="00434D7B" w:rsidRPr="00954E10" w:rsidRDefault="00434D7B" w:rsidP="007B446D">
      <w:pPr>
        <w:ind w:firstLine="720"/>
        <w:jc w:val="both"/>
        <w:rPr>
          <w:szCs w:val="24"/>
        </w:rPr>
      </w:pPr>
      <w:r w:rsidRPr="00954E10">
        <w:rPr>
          <w:szCs w:val="24"/>
        </w:rPr>
        <w:t>The order sought in the draft order is couched in the following terms:</w:t>
      </w:r>
    </w:p>
    <w:p w:rsidR="00434D7B" w:rsidRPr="00954E10" w:rsidRDefault="00434D7B" w:rsidP="00954E10">
      <w:pPr>
        <w:pStyle w:val="NoSpacing"/>
        <w:jc w:val="both"/>
        <w:rPr>
          <w:szCs w:val="24"/>
          <w:u w:val="single"/>
        </w:rPr>
      </w:pPr>
      <w:r w:rsidRPr="00954E10">
        <w:rPr>
          <w:szCs w:val="24"/>
        </w:rPr>
        <w:tab/>
      </w:r>
      <w:r w:rsidRPr="00954E10">
        <w:rPr>
          <w:szCs w:val="24"/>
          <w:u w:val="single"/>
        </w:rPr>
        <w:t>“Terms of Interim Relief sought</w:t>
      </w:r>
    </w:p>
    <w:p w:rsidR="00434D7B" w:rsidRPr="00954E10" w:rsidRDefault="00434D7B" w:rsidP="00954E10">
      <w:pPr>
        <w:pStyle w:val="NoSpacing"/>
        <w:jc w:val="both"/>
        <w:rPr>
          <w:szCs w:val="24"/>
        </w:rPr>
      </w:pPr>
    </w:p>
    <w:p w:rsidR="00434D7B" w:rsidRPr="00954E10" w:rsidRDefault="00434D7B" w:rsidP="00954E10">
      <w:pPr>
        <w:pStyle w:val="NoSpacing"/>
        <w:ind w:left="720"/>
        <w:jc w:val="both"/>
        <w:rPr>
          <w:szCs w:val="24"/>
        </w:rPr>
      </w:pPr>
      <w:r w:rsidRPr="00954E10">
        <w:rPr>
          <w:szCs w:val="24"/>
        </w:rPr>
        <w:t xml:space="preserve">Pending the final determination on this matter on the return date applicants are hereby granted the </w:t>
      </w:r>
      <w:r w:rsidR="001068BA" w:rsidRPr="00954E10">
        <w:rPr>
          <w:szCs w:val="24"/>
        </w:rPr>
        <w:t>f</w:t>
      </w:r>
      <w:r w:rsidRPr="00954E10">
        <w:rPr>
          <w:szCs w:val="24"/>
        </w:rPr>
        <w:t>ollowing relief:</w:t>
      </w:r>
    </w:p>
    <w:p w:rsidR="00434D7B" w:rsidRPr="00954E10" w:rsidRDefault="00434D7B" w:rsidP="00954E10">
      <w:pPr>
        <w:pStyle w:val="NoSpacing"/>
        <w:jc w:val="both"/>
        <w:rPr>
          <w:szCs w:val="24"/>
        </w:rPr>
      </w:pPr>
    </w:p>
    <w:p w:rsidR="00434D7B" w:rsidRPr="00954E10" w:rsidRDefault="00434D7B" w:rsidP="00954E10">
      <w:pPr>
        <w:pStyle w:val="NoSpacing"/>
        <w:numPr>
          <w:ilvl w:val="0"/>
          <w:numId w:val="1"/>
        </w:numPr>
        <w:jc w:val="both"/>
        <w:rPr>
          <w:szCs w:val="24"/>
        </w:rPr>
      </w:pPr>
      <w:r w:rsidRPr="00954E10">
        <w:rPr>
          <w:szCs w:val="24"/>
        </w:rPr>
        <w:t xml:space="preserve">That respondents are hereby interdicted from </w:t>
      </w:r>
      <w:r w:rsidR="001068BA" w:rsidRPr="00954E10">
        <w:rPr>
          <w:szCs w:val="24"/>
        </w:rPr>
        <w:t>executing u</w:t>
      </w:r>
      <w:r w:rsidR="007058D0" w:rsidRPr="00954E10">
        <w:rPr>
          <w:szCs w:val="24"/>
        </w:rPr>
        <w:t>nder the order issued in favour of 1</w:t>
      </w:r>
      <w:r w:rsidR="007058D0" w:rsidRPr="00954E10">
        <w:rPr>
          <w:szCs w:val="24"/>
          <w:vertAlign w:val="superscript"/>
        </w:rPr>
        <w:t>st</w:t>
      </w:r>
      <w:r w:rsidR="007058D0" w:rsidRPr="00954E10">
        <w:rPr>
          <w:szCs w:val="24"/>
        </w:rPr>
        <w:t>, 2</w:t>
      </w:r>
      <w:r w:rsidR="007058D0" w:rsidRPr="00954E10">
        <w:rPr>
          <w:szCs w:val="24"/>
          <w:vertAlign w:val="superscript"/>
        </w:rPr>
        <w:t>nd</w:t>
      </w:r>
      <w:r w:rsidR="007058D0" w:rsidRPr="00954E10">
        <w:rPr>
          <w:szCs w:val="24"/>
        </w:rPr>
        <w:t>, 3</w:t>
      </w:r>
      <w:r w:rsidR="007058D0" w:rsidRPr="00954E10">
        <w:rPr>
          <w:szCs w:val="24"/>
          <w:vertAlign w:val="superscript"/>
        </w:rPr>
        <w:t>rd</w:t>
      </w:r>
      <w:r w:rsidR="007058D0" w:rsidRPr="00954E10">
        <w:rPr>
          <w:szCs w:val="24"/>
        </w:rPr>
        <w:t>, 4</w:t>
      </w:r>
      <w:r w:rsidR="007058D0" w:rsidRPr="00954E10">
        <w:rPr>
          <w:szCs w:val="24"/>
          <w:vertAlign w:val="superscript"/>
        </w:rPr>
        <w:t>th</w:t>
      </w:r>
      <w:r w:rsidR="007058D0" w:rsidRPr="00954E10">
        <w:rPr>
          <w:szCs w:val="24"/>
        </w:rPr>
        <w:t>, 5</w:t>
      </w:r>
      <w:r w:rsidR="007058D0" w:rsidRPr="00954E10">
        <w:rPr>
          <w:szCs w:val="24"/>
          <w:vertAlign w:val="superscript"/>
        </w:rPr>
        <w:t>th</w:t>
      </w:r>
      <w:r w:rsidR="007058D0" w:rsidRPr="00954E10">
        <w:rPr>
          <w:szCs w:val="24"/>
        </w:rPr>
        <w:t>, 6</w:t>
      </w:r>
      <w:r w:rsidR="007058D0" w:rsidRPr="00954E10">
        <w:rPr>
          <w:szCs w:val="24"/>
          <w:vertAlign w:val="superscript"/>
        </w:rPr>
        <w:t>th</w:t>
      </w:r>
      <w:r w:rsidR="007058D0" w:rsidRPr="00954E10">
        <w:rPr>
          <w:szCs w:val="24"/>
        </w:rPr>
        <w:t>, 7</w:t>
      </w:r>
      <w:r w:rsidR="007058D0" w:rsidRPr="00954E10">
        <w:rPr>
          <w:szCs w:val="24"/>
          <w:vertAlign w:val="superscript"/>
        </w:rPr>
        <w:t>th</w:t>
      </w:r>
      <w:r w:rsidR="007058D0" w:rsidRPr="00954E10">
        <w:rPr>
          <w:szCs w:val="24"/>
        </w:rPr>
        <w:t>, 8</w:t>
      </w:r>
      <w:r w:rsidR="007058D0" w:rsidRPr="00954E10">
        <w:rPr>
          <w:szCs w:val="24"/>
          <w:vertAlign w:val="superscript"/>
        </w:rPr>
        <w:t>th</w:t>
      </w:r>
      <w:r w:rsidR="007058D0" w:rsidRPr="00954E10">
        <w:rPr>
          <w:szCs w:val="24"/>
        </w:rPr>
        <w:t xml:space="preserve"> and 9</w:t>
      </w:r>
      <w:r w:rsidR="007058D0" w:rsidRPr="00954E10">
        <w:rPr>
          <w:szCs w:val="24"/>
          <w:vertAlign w:val="superscript"/>
        </w:rPr>
        <w:t>th</w:t>
      </w:r>
      <w:r w:rsidR="007058D0" w:rsidRPr="00954E10">
        <w:rPr>
          <w:szCs w:val="24"/>
        </w:rPr>
        <w:t xml:space="preserve"> respondents under</w:t>
      </w:r>
      <w:r w:rsidR="001068BA" w:rsidRPr="00954E10">
        <w:rPr>
          <w:szCs w:val="24"/>
        </w:rPr>
        <w:t xml:space="preserve"> </w:t>
      </w:r>
      <w:r w:rsidR="007058D0" w:rsidRPr="00954E10">
        <w:rPr>
          <w:szCs w:val="24"/>
        </w:rPr>
        <w:t>case number HC 3013/19 pending finalization of this matter.</w:t>
      </w:r>
    </w:p>
    <w:p w:rsidR="007058D0" w:rsidRPr="00954E10" w:rsidRDefault="007058D0" w:rsidP="00954E10">
      <w:pPr>
        <w:pStyle w:val="NoSpacing"/>
        <w:ind w:left="720"/>
        <w:jc w:val="both"/>
        <w:rPr>
          <w:szCs w:val="24"/>
        </w:rPr>
      </w:pPr>
    </w:p>
    <w:p w:rsidR="007058D0" w:rsidRPr="00954E10" w:rsidRDefault="007058D0" w:rsidP="00954E10">
      <w:pPr>
        <w:pStyle w:val="NoSpacing"/>
        <w:ind w:left="720"/>
        <w:jc w:val="both"/>
        <w:rPr>
          <w:szCs w:val="24"/>
          <w:u w:val="single"/>
        </w:rPr>
      </w:pPr>
      <w:r w:rsidRPr="00954E10">
        <w:rPr>
          <w:szCs w:val="24"/>
          <w:u w:val="single"/>
        </w:rPr>
        <w:t>“Terms of final order sought</w:t>
      </w:r>
    </w:p>
    <w:p w:rsidR="007058D0" w:rsidRPr="00954E10" w:rsidRDefault="007058D0" w:rsidP="00954E10">
      <w:pPr>
        <w:pStyle w:val="NoSpacing"/>
        <w:ind w:left="720"/>
        <w:jc w:val="both"/>
        <w:rPr>
          <w:szCs w:val="24"/>
        </w:rPr>
      </w:pPr>
    </w:p>
    <w:p w:rsidR="007058D0" w:rsidRDefault="007058D0" w:rsidP="00954E10">
      <w:pPr>
        <w:pStyle w:val="NoSpacing"/>
        <w:numPr>
          <w:ilvl w:val="0"/>
          <w:numId w:val="2"/>
        </w:numPr>
        <w:jc w:val="both"/>
        <w:rPr>
          <w:szCs w:val="24"/>
        </w:rPr>
      </w:pPr>
      <w:r w:rsidRPr="00954E10">
        <w:rPr>
          <w:szCs w:val="24"/>
        </w:rPr>
        <w:t xml:space="preserve">The order issued against applicants under HC 3013/19 shall be permanently stayed pending finalisation of the application for rescission of judgment under case number HC </w:t>
      </w:r>
      <w:r w:rsidR="008F28CE">
        <w:rPr>
          <w:szCs w:val="24"/>
        </w:rPr>
        <w:t>324</w:t>
      </w:r>
      <w:r w:rsidRPr="00954E10">
        <w:rPr>
          <w:szCs w:val="24"/>
        </w:rPr>
        <w:t>/20.</w:t>
      </w:r>
    </w:p>
    <w:p w:rsidR="00532DD3" w:rsidRPr="00954E10" w:rsidRDefault="00532DD3" w:rsidP="00532DD3">
      <w:pPr>
        <w:pStyle w:val="NoSpacing"/>
        <w:ind w:left="720"/>
        <w:jc w:val="both"/>
        <w:rPr>
          <w:szCs w:val="24"/>
        </w:rPr>
      </w:pPr>
    </w:p>
    <w:p w:rsidR="007058D0" w:rsidRDefault="00532DD3" w:rsidP="00954E10">
      <w:pPr>
        <w:pStyle w:val="NoSpacing"/>
        <w:numPr>
          <w:ilvl w:val="0"/>
          <w:numId w:val="2"/>
        </w:numPr>
        <w:jc w:val="both"/>
        <w:rPr>
          <w:szCs w:val="24"/>
        </w:rPr>
      </w:pPr>
      <w:r>
        <w:rPr>
          <w:szCs w:val="24"/>
        </w:rPr>
        <w:t xml:space="preserve">Applicant </w:t>
      </w:r>
      <w:proofErr w:type="gramStart"/>
      <w:r>
        <w:rPr>
          <w:szCs w:val="24"/>
        </w:rPr>
        <w:t>be</w:t>
      </w:r>
      <w:proofErr w:type="gramEnd"/>
      <w:r>
        <w:rPr>
          <w:szCs w:val="24"/>
        </w:rPr>
        <w:t xml:space="preserve"> declared to be in</w:t>
      </w:r>
      <w:r w:rsidR="007058D0" w:rsidRPr="00954E10">
        <w:rPr>
          <w:szCs w:val="24"/>
        </w:rPr>
        <w:t xml:space="preserve"> lawful occupation of </w:t>
      </w:r>
      <w:r>
        <w:rPr>
          <w:szCs w:val="24"/>
        </w:rPr>
        <w:t>Goldwin N</w:t>
      </w:r>
      <w:r w:rsidR="007058D0" w:rsidRPr="00954E10">
        <w:rPr>
          <w:szCs w:val="24"/>
        </w:rPr>
        <w:t xml:space="preserve"> Mining claims consisting 10 Gold Reef</w:t>
      </w:r>
      <w:r>
        <w:rPr>
          <w:szCs w:val="24"/>
        </w:rPr>
        <w:t>s</w:t>
      </w:r>
      <w:r w:rsidR="007058D0" w:rsidRPr="00954E10">
        <w:rPr>
          <w:szCs w:val="24"/>
        </w:rPr>
        <w:t xml:space="preserve"> registration number 48981.</w:t>
      </w:r>
    </w:p>
    <w:p w:rsidR="00532DD3" w:rsidRPr="00954E10" w:rsidRDefault="00532DD3" w:rsidP="00532DD3">
      <w:pPr>
        <w:pStyle w:val="NoSpacing"/>
        <w:ind w:left="1080"/>
        <w:jc w:val="both"/>
        <w:rPr>
          <w:szCs w:val="24"/>
        </w:rPr>
      </w:pPr>
    </w:p>
    <w:p w:rsidR="00532DD3" w:rsidRDefault="007058D0" w:rsidP="00954E10">
      <w:pPr>
        <w:pStyle w:val="NoSpacing"/>
        <w:numPr>
          <w:ilvl w:val="0"/>
          <w:numId w:val="2"/>
        </w:numPr>
        <w:jc w:val="both"/>
        <w:rPr>
          <w:szCs w:val="24"/>
        </w:rPr>
      </w:pPr>
      <w:r w:rsidRPr="00954E10">
        <w:rPr>
          <w:szCs w:val="24"/>
        </w:rPr>
        <w:t>1</w:t>
      </w:r>
      <w:r w:rsidRPr="00954E10">
        <w:rPr>
          <w:szCs w:val="24"/>
          <w:vertAlign w:val="superscript"/>
        </w:rPr>
        <w:t>st</w:t>
      </w:r>
      <w:r w:rsidRPr="00954E10">
        <w:rPr>
          <w:szCs w:val="24"/>
        </w:rPr>
        <w:t>, 2</w:t>
      </w:r>
      <w:r w:rsidRPr="00954E10">
        <w:rPr>
          <w:szCs w:val="24"/>
          <w:vertAlign w:val="superscript"/>
        </w:rPr>
        <w:t>nd</w:t>
      </w:r>
      <w:r w:rsidRPr="00954E10">
        <w:rPr>
          <w:szCs w:val="24"/>
        </w:rPr>
        <w:t>, 3</w:t>
      </w:r>
      <w:r w:rsidRPr="00954E10">
        <w:rPr>
          <w:szCs w:val="24"/>
          <w:vertAlign w:val="superscript"/>
        </w:rPr>
        <w:t>rd</w:t>
      </w:r>
      <w:r w:rsidRPr="00954E10">
        <w:rPr>
          <w:szCs w:val="24"/>
        </w:rPr>
        <w:t>, 4</w:t>
      </w:r>
      <w:r w:rsidRPr="00954E10">
        <w:rPr>
          <w:szCs w:val="24"/>
          <w:vertAlign w:val="superscript"/>
        </w:rPr>
        <w:t>th</w:t>
      </w:r>
      <w:r w:rsidRPr="00954E10">
        <w:rPr>
          <w:szCs w:val="24"/>
        </w:rPr>
        <w:t>, 5</w:t>
      </w:r>
      <w:r w:rsidRPr="00954E10">
        <w:rPr>
          <w:szCs w:val="24"/>
          <w:vertAlign w:val="superscript"/>
        </w:rPr>
        <w:t>th</w:t>
      </w:r>
      <w:r w:rsidRPr="00954E10">
        <w:rPr>
          <w:szCs w:val="24"/>
        </w:rPr>
        <w:t>, 6</w:t>
      </w:r>
      <w:r w:rsidRPr="00954E10">
        <w:rPr>
          <w:szCs w:val="24"/>
          <w:vertAlign w:val="superscript"/>
        </w:rPr>
        <w:t>th</w:t>
      </w:r>
      <w:r w:rsidRPr="00954E10">
        <w:rPr>
          <w:szCs w:val="24"/>
        </w:rPr>
        <w:t>, 7</w:t>
      </w:r>
      <w:r w:rsidRPr="00954E10">
        <w:rPr>
          <w:szCs w:val="24"/>
          <w:vertAlign w:val="superscript"/>
        </w:rPr>
        <w:t>th</w:t>
      </w:r>
      <w:r w:rsidRPr="00954E10">
        <w:rPr>
          <w:szCs w:val="24"/>
        </w:rPr>
        <w:t>, 8</w:t>
      </w:r>
      <w:r w:rsidRPr="00954E10">
        <w:rPr>
          <w:szCs w:val="24"/>
          <w:vertAlign w:val="superscript"/>
        </w:rPr>
        <w:t>th</w:t>
      </w:r>
      <w:r w:rsidRPr="00954E10">
        <w:rPr>
          <w:szCs w:val="24"/>
        </w:rPr>
        <w:t xml:space="preserve"> and 9</w:t>
      </w:r>
      <w:r w:rsidRPr="00954E10">
        <w:rPr>
          <w:szCs w:val="24"/>
          <w:vertAlign w:val="superscript"/>
        </w:rPr>
        <w:t>th</w:t>
      </w:r>
      <w:r w:rsidRPr="00954E10">
        <w:rPr>
          <w:szCs w:val="24"/>
        </w:rPr>
        <w:t xml:space="preserve"> respondents be and hereby ordered to pay costs of an attorney and client scale, the one paying the other to be absolved.</w:t>
      </w:r>
    </w:p>
    <w:p w:rsidR="007058D0" w:rsidRPr="00954E10" w:rsidRDefault="007058D0" w:rsidP="00532DD3">
      <w:pPr>
        <w:pStyle w:val="NoSpacing"/>
        <w:ind w:left="1080"/>
        <w:jc w:val="both"/>
        <w:rPr>
          <w:szCs w:val="24"/>
        </w:rPr>
      </w:pPr>
    </w:p>
    <w:p w:rsidR="007058D0" w:rsidRPr="00954E10" w:rsidRDefault="007058D0" w:rsidP="00954E10">
      <w:pPr>
        <w:ind w:firstLine="720"/>
        <w:jc w:val="both"/>
        <w:rPr>
          <w:szCs w:val="24"/>
        </w:rPr>
      </w:pPr>
      <w:r w:rsidRPr="00954E10">
        <w:rPr>
          <w:szCs w:val="24"/>
        </w:rPr>
        <w:t>This application is opposed by the respondents.  Several points</w:t>
      </w:r>
      <w:r w:rsidR="00BA358F" w:rsidRPr="00954E10">
        <w:rPr>
          <w:szCs w:val="24"/>
        </w:rPr>
        <w:t xml:space="preserve"> </w:t>
      </w:r>
      <w:r w:rsidRPr="009C5FE6">
        <w:rPr>
          <w:i/>
          <w:szCs w:val="24"/>
        </w:rPr>
        <w:t>in limine</w:t>
      </w:r>
      <w:r w:rsidRPr="00954E10">
        <w:rPr>
          <w:szCs w:val="24"/>
        </w:rPr>
        <w:t xml:space="preserve"> have been raised by the respondents. I shall consider each one of these preliminary points in turn.  Before </w:t>
      </w:r>
      <w:r w:rsidR="00516EC3" w:rsidRPr="00954E10">
        <w:rPr>
          <w:szCs w:val="24"/>
        </w:rPr>
        <w:t xml:space="preserve">I </w:t>
      </w:r>
      <w:r w:rsidRPr="00954E10">
        <w:rPr>
          <w:szCs w:val="24"/>
        </w:rPr>
        <w:t>do so, I shall set out by way of a brief background, the circumstances surrounding this matter.</w:t>
      </w:r>
    </w:p>
    <w:p w:rsidR="00BA358F" w:rsidRPr="00954E10" w:rsidRDefault="00BA358F" w:rsidP="00954E10">
      <w:pPr>
        <w:jc w:val="both"/>
        <w:rPr>
          <w:b/>
          <w:szCs w:val="24"/>
        </w:rPr>
      </w:pPr>
      <w:r w:rsidRPr="00954E10">
        <w:rPr>
          <w:b/>
          <w:szCs w:val="24"/>
        </w:rPr>
        <w:t>Background</w:t>
      </w:r>
    </w:p>
    <w:p w:rsidR="00BA358F" w:rsidRPr="00954E10" w:rsidRDefault="00BA358F" w:rsidP="00954E10">
      <w:pPr>
        <w:jc w:val="both"/>
        <w:rPr>
          <w:szCs w:val="24"/>
        </w:rPr>
      </w:pPr>
      <w:r w:rsidRPr="00954E10">
        <w:rPr>
          <w:szCs w:val="24"/>
        </w:rPr>
        <w:tab/>
        <w:t>The respondents are members of a Community Share Ownership Trust, known as</w:t>
      </w:r>
      <w:r w:rsidR="00C73C29">
        <w:rPr>
          <w:szCs w:val="24"/>
        </w:rPr>
        <w:t xml:space="preserve"> </w:t>
      </w:r>
      <w:proofErr w:type="spellStart"/>
      <w:r w:rsidR="00C73C29">
        <w:rPr>
          <w:szCs w:val="24"/>
        </w:rPr>
        <w:t>Lushonkwe</w:t>
      </w:r>
      <w:proofErr w:type="spellEnd"/>
      <w:r w:rsidRPr="00954E10">
        <w:rPr>
          <w:szCs w:val="24"/>
        </w:rPr>
        <w:t xml:space="preserve"> </w:t>
      </w:r>
      <w:proofErr w:type="spellStart"/>
      <w:r w:rsidRPr="00954E10">
        <w:rPr>
          <w:szCs w:val="24"/>
        </w:rPr>
        <w:t>Nqama</w:t>
      </w:r>
      <w:proofErr w:type="spellEnd"/>
      <w:r w:rsidRPr="00954E10">
        <w:rPr>
          <w:szCs w:val="24"/>
        </w:rPr>
        <w:t xml:space="preserve"> Small Scale Miners Association.  T</w:t>
      </w:r>
      <w:r w:rsidR="00BE47C5">
        <w:rPr>
          <w:szCs w:val="24"/>
        </w:rPr>
        <w:t xml:space="preserve">he association is based at </w:t>
      </w:r>
      <w:proofErr w:type="spellStart"/>
      <w:r w:rsidR="00BE47C5">
        <w:rPr>
          <w:szCs w:val="24"/>
        </w:rPr>
        <w:t>Lusho</w:t>
      </w:r>
      <w:r w:rsidRPr="00954E10">
        <w:rPr>
          <w:szCs w:val="24"/>
        </w:rPr>
        <w:t>nkwe</w:t>
      </w:r>
      <w:proofErr w:type="spellEnd"/>
      <w:r w:rsidRPr="00954E10">
        <w:rPr>
          <w:szCs w:val="24"/>
        </w:rPr>
        <w:t xml:space="preserve">, Ward 4, </w:t>
      </w:r>
      <w:proofErr w:type="spellStart"/>
      <w:proofErr w:type="gramStart"/>
      <w:r w:rsidRPr="00954E10">
        <w:rPr>
          <w:szCs w:val="24"/>
        </w:rPr>
        <w:t>Gwanda</w:t>
      </w:r>
      <w:proofErr w:type="spellEnd"/>
      <w:proofErr w:type="gramEnd"/>
      <w:r w:rsidRPr="00954E10">
        <w:rPr>
          <w:szCs w:val="24"/>
        </w:rPr>
        <w:t xml:space="preserve">.  The association, under the banner of this Community Share Ownership Scheme secured mining claims belonging to Freda </w:t>
      </w:r>
      <w:r w:rsidR="00F24C39">
        <w:rPr>
          <w:szCs w:val="24"/>
        </w:rPr>
        <w:t>Rebecca</w:t>
      </w:r>
      <w:r w:rsidR="00D915AE" w:rsidRPr="00954E10">
        <w:rPr>
          <w:szCs w:val="24"/>
        </w:rPr>
        <w:t xml:space="preserve"> Mine.  The community members with the involvement of the local Chief and the political leadership received a donation of certain mining claims</w:t>
      </w:r>
      <w:r w:rsidR="001219B3" w:rsidRPr="00954E10">
        <w:rPr>
          <w:szCs w:val="24"/>
        </w:rPr>
        <w:t xml:space="preserve"> located in the </w:t>
      </w:r>
      <w:proofErr w:type="spellStart"/>
      <w:r w:rsidR="001219B3" w:rsidRPr="00954E10">
        <w:rPr>
          <w:szCs w:val="24"/>
        </w:rPr>
        <w:t>Tuli</w:t>
      </w:r>
      <w:proofErr w:type="spellEnd"/>
      <w:r w:rsidR="001219B3" w:rsidRPr="00954E10">
        <w:rPr>
          <w:szCs w:val="24"/>
        </w:rPr>
        <w:t xml:space="preserve"> area, known as Orient 1, 2, Lady Anna 4, Lady Anna 5, Lady Anna 6, Lady Anna 7, Lady Anna 8, Lady Anna 9, Lady Anna 10 and 11, which were registered under registration number</w:t>
      </w:r>
      <w:r w:rsidR="00A8389E">
        <w:rPr>
          <w:szCs w:val="24"/>
        </w:rPr>
        <w:t>s</w:t>
      </w:r>
      <w:r w:rsidR="001219B3" w:rsidRPr="00954E10">
        <w:rPr>
          <w:szCs w:val="24"/>
        </w:rPr>
        <w:t xml:space="preserve"> 37537 – 46.  The respondents delegated 2</w:t>
      </w:r>
      <w:r w:rsidR="001219B3" w:rsidRPr="00954E10">
        <w:rPr>
          <w:szCs w:val="24"/>
          <w:vertAlign w:val="superscript"/>
        </w:rPr>
        <w:t>nd</w:t>
      </w:r>
      <w:r w:rsidR="001219B3" w:rsidRPr="00954E10">
        <w:rPr>
          <w:szCs w:val="24"/>
        </w:rPr>
        <w:t>, 3</w:t>
      </w:r>
      <w:r w:rsidR="001219B3" w:rsidRPr="00954E10">
        <w:rPr>
          <w:szCs w:val="24"/>
          <w:vertAlign w:val="superscript"/>
        </w:rPr>
        <w:t>rd</w:t>
      </w:r>
      <w:r w:rsidR="001219B3" w:rsidRPr="00954E10">
        <w:rPr>
          <w:szCs w:val="24"/>
        </w:rPr>
        <w:t>, 4</w:t>
      </w:r>
      <w:r w:rsidR="001219B3" w:rsidRPr="00954E10">
        <w:rPr>
          <w:szCs w:val="24"/>
          <w:vertAlign w:val="superscript"/>
        </w:rPr>
        <w:t>th</w:t>
      </w:r>
      <w:r w:rsidR="001219B3" w:rsidRPr="00954E10">
        <w:rPr>
          <w:szCs w:val="24"/>
        </w:rPr>
        <w:t xml:space="preserve"> and 5</w:t>
      </w:r>
      <w:r w:rsidR="001219B3" w:rsidRPr="00954E10">
        <w:rPr>
          <w:szCs w:val="24"/>
          <w:vertAlign w:val="superscript"/>
        </w:rPr>
        <w:t>th</w:t>
      </w:r>
      <w:r w:rsidR="001219B3" w:rsidRPr="00954E10">
        <w:rPr>
          <w:szCs w:val="24"/>
        </w:rPr>
        <w:t xml:space="preserve"> applicants in this matter to oversee legal transfers</w:t>
      </w:r>
      <w:r w:rsidR="00516EC3" w:rsidRPr="00954E10">
        <w:rPr>
          <w:szCs w:val="24"/>
        </w:rPr>
        <w:t>,</w:t>
      </w:r>
      <w:r w:rsidR="0007749D">
        <w:rPr>
          <w:szCs w:val="24"/>
        </w:rPr>
        <w:t xml:space="preserve"> logistics</w:t>
      </w:r>
      <w:proofErr w:type="gramStart"/>
      <w:r w:rsidR="0007749D">
        <w:rPr>
          <w:szCs w:val="24"/>
        </w:rPr>
        <w:t>,</w:t>
      </w:r>
      <w:r w:rsidR="008F28CE">
        <w:rPr>
          <w:szCs w:val="24"/>
        </w:rPr>
        <w:t xml:space="preserve"> </w:t>
      </w:r>
      <w:r w:rsidR="0007749D">
        <w:rPr>
          <w:szCs w:val="24"/>
        </w:rPr>
        <w:t xml:space="preserve"> payment</w:t>
      </w:r>
      <w:proofErr w:type="gramEnd"/>
      <w:r w:rsidR="00150BE4">
        <w:rPr>
          <w:szCs w:val="24"/>
        </w:rPr>
        <w:t xml:space="preserve"> </w:t>
      </w:r>
      <w:r w:rsidR="001219B3" w:rsidRPr="00954E10">
        <w:rPr>
          <w:szCs w:val="24"/>
        </w:rPr>
        <w:t xml:space="preserve">of </w:t>
      </w:r>
      <w:r w:rsidR="0007749D">
        <w:rPr>
          <w:szCs w:val="24"/>
        </w:rPr>
        <w:t>arrear fees</w:t>
      </w:r>
      <w:r w:rsidR="003D4DCF">
        <w:rPr>
          <w:szCs w:val="24"/>
        </w:rPr>
        <w:t xml:space="preserve"> at the Ministry of Mines and</w:t>
      </w:r>
      <w:r w:rsidR="0007749D">
        <w:rPr>
          <w:szCs w:val="24"/>
        </w:rPr>
        <w:t xml:space="preserve"> to</w:t>
      </w:r>
      <w:r w:rsidR="008E1912" w:rsidRPr="00954E10">
        <w:rPr>
          <w:szCs w:val="24"/>
        </w:rPr>
        <w:t xml:space="preserve"> have the claims transferred to the community.  Unknown to the respondents and the community leaders, 2</w:t>
      </w:r>
      <w:r w:rsidR="008E1912" w:rsidRPr="00954E10">
        <w:rPr>
          <w:szCs w:val="24"/>
          <w:vertAlign w:val="superscript"/>
        </w:rPr>
        <w:t>nd</w:t>
      </w:r>
      <w:r w:rsidR="008E1912" w:rsidRPr="00954E10">
        <w:rPr>
          <w:szCs w:val="24"/>
        </w:rPr>
        <w:t>, 3</w:t>
      </w:r>
      <w:r w:rsidR="008E1912" w:rsidRPr="00954E10">
        <w:rPr>
          <w:szCs w:val="24"/>
          <w:vertAlign w:val="superscript"/>
        </w:rPr>
        <w:t>rd</w:t>
      </w:r>
      <w:r w:rsidR="008E1912" w:rsidRPr="00954E10">
        <w:rPr>
          <w:szCs w:val="24"/>
        </w:rPr>
        <w:t>, 4</w:t>
      </w:r>
      <w:r w:rsidR="008E1912" w:rsidRPr="00954E10">
        <w:rPr>
          <w:szCs w:val="24"/>
          <w:vertAlign w:val="superscript"/>
        </w:rPr>
        <w:t>th</w:t>
      </w:r>
      <w:r w:rsidR="008E1912" w:rsidRPr="00954E10">
        <w:rPr>
          <w:szCs w:val="24"/>
        </w:rPr>
        <w:t xml:space="preserve"> and 5</w:t>
      </w:r>
      <w:r w:rsidR="008E1912" w:rsidRPr="00954E10">
        <w:rPr>
          <w:szCs w:val="24"/>
          <w:vertAlign w:val="superscript"/>
        </w:rPr>
        <w:t>th</w:t>
      </w:r>
      <w:r w:rsidR="008E1912" w:rsidRPr="00954E10">
        <w:rPr>
          <w:szCs w:val="24"/>
        </w:rPr>
        <w:t xml:space="preserve"> applicants invited the Zimbabwe Republic Police to evict</w:t>
      </w:r>
      <w:r w:rsidR="00516EC3" w:rsidRPr="00954E10">
        <w:rPr>
          <w:szCs w:val="24"/>
        </w:rPr>
        <w:t xml:space="preserve"> the community from the claims </w:t>
      </w:r>
      <w:r w:rsidR="008E1912" w:rsidRPr="00954E10">
        <w:rPr>
          <w:szCs w:val="24"/>
        </w:rPr>
        <w:t>alleging that these claims belonged to a private c</w:t>
      </w:r>
      <w:r w:rsidR="00150BE4">
        <w:rPr>
          <w:szCs w:val="24"/>
        </w:rPr>
        <w:t xml:space="preserve">ompany, </w:t>
      </w:r>
      <w:proofErr w:type="spellStart"/>
      <w:r w:rsidR="00150BE4">
        <w:rPr>
          <w:szCs w:val="24"/>
        </w:rPr>
        <w:t>Simalu</w:t>
      </w:r>
      <w:proofErr w:type="spellEnd"/>
      <w:r w:rsidR="00150BE4">
        <w:rPr>
          <w:szCs w:val="24"/>
        </w:rPr>
        <w:t xml:space="preserve"> Mining (Pvt) Ltd, the 1</w:t>
      </w:r>
      <w:r w:rsidR="00150BE4" w:rsidRPr="00150BE4">
        <w:rPr>
          <w:szCs w:val="24"/>
          <w:vertAlign w:val="superscript"/>
        </w:rPr>
        <w:t>st</w:t>
      </w:r>
      <w:r w:rsidR="00150BE4">
        <w:rPr>
          <w:szCs w:val="24"/>
        </w:rPr>
        <w:t xml:space="preserve"> applicant.</w:t>
      </w:r>
      <w:r w:rsidR="008E1912" w:rsidRPr="00954E10">
        <w:rPr>
          <w:szCs w:val="24"/>
        </w:rPr>
        <w:t xml:space="preserve">  The</w:t>
      </w:r>
      <w:r w:rsidR="00150BE4">
        <w:rPr>
          <w:szCs w:val="24"/>
        </w:rPr>
        <w:t xml:space="preserve">  </w:t>
      </w:r>
      <w:r w:rsidR="008E1912" w:rsidRPr="00954E10">
        <w:rPr>
          <w:szCs w:val="24"/>
        </w:rPr>
        <w:t xml:space="preserve"> respondents lodged a complaint with the Minister of State for the Province of Matabeleland South and the Provincial Mining Director.  The respondents subsequently filed summons commencing action against the applicants unde</w:t>
      </w:r>
      <w:r w:rsidR="00516EC3" w:rsidRPr="00954E10">
        <w:rPr>
          <w:szCs w:val="24"/>
        </w:rPr>
        <w:t>r</w:t>
      </w:r>
      <w:r w:rsidR="008F28CE">
        <w:rPr>
          <w:szCs w:val="24"/>
        </w:rPr>
        <w:t xml:space="preserve"> case number HC 3013/19 for the eviction of the applicants from the mining claims.</w:t>
      </w:r>
      <w:r w:rsidR="00517AB3">
        <w:rPr>
          <w:szCs w:val="24"/>
        </w:rPr>
        <w:t xml:space="preserve">  A </w:t>
      </w:r>
      <w:r w:rsidR="008E1912" w:rsidRPr="00954E10">
        <w:rPr>
          <w:szCs w:val="24"/>
        </w:rPr>
        <w:t>default judgment was granted against the applicants on the 3</w:t>
      </w:r>
      <w:r w:rsidR="008E1912" w:rsidRPr="00954E10">
        <w:rPr>
          <w:szCs w:val="24"/>
          <w:vertAlign w:val="superscript"/>
        </w:rPr>
        <w:t>rd</w:t>
      </w:r>
      <w:r w:rsidR="008E1912" w:rsidRPr="00954E10">
        <w:rPr>
          <w:szCs w:val="24"/>
        </w:rPr>
        <w:t xml:space="preserve"> of February 2020.  The applicants contend that the default judgment was fraudulently obtained and that proceedings to set aside the default judgment have been commenced.  That application is yet to be set down and determined.  This urgent chamber application is meant to operate as an interdict preventing the operation of the judgment under HC 3013/19 pending the outcome of the application for rescission of judgment.  The effect of the order so</w:t>
      </w:r>
      <w:r w:rsidR="00516EC3" w:rsidRPr="00954E10">
        <w:rPr>
          <w:szCs w:val="24"/>
        </w:rPr>
        <w:t>ug</w:t>
      </w:r>
      <w:r w:rsidR="008E1912" w:rsidRPr="00954E10">
        <w:rPr>
          <w:szCs w:val="24"/>
        </w:rPr>
        <w:t xml:space="preserve">ht is to allow the applicants to resume occupation of the mining </w:t>
      </w:r>
      <w:r w:rsidR="008E1912" w:rsidRPr="00954E10">
        <w:rPr>
          <w:szCs w:val="24"/>
        </w:rPr>
        <w:lastRenderedPageBreak/>
        <w:t>claims which are the subject of the application for</w:t>
      </w:r>
      <w:r w:rsidR="00C97ACE">
        <w:rPr>
          <w:szCs w:val="24"/>
        </w:rPr>
        <w:t xml:space="preserve"> rescission of judgment.  I shall</w:t>
      </w:r>
      <w:r w:rsidR="008E1912" w:rsidRPr="00954E10">
        <w:rPr>
          <w:szCs w:val="24"/>
        </w:rPr>
        <w:t xml:space="preserve"> proceed to deal with the points </w:t>
      </w:r>
      <w:r w:rsidR="008E1912" w:rsidRPr="00954E10">
        <w:rPr>
          <w:i/>
          <w:szCs w:val="24"/>
        </w:rPr>
        <w:t>in limine</w:t>
      </w:r>
      <w:r w:rsidR="008E1912" w:rsidRPr="00954E10">
        <w:rPr>
          <w:szCs w:val="24"/>
        </w:rPr>
        <w:t>.</w:t>
      </w:r>
    </w:p>
    <w:p w:rsidR="00954E10" w:rsidRDefault="00954E10" w:rsidP="00954E10">
      <w:pPr>
        <w:jc w:val="both"/>
        <w:rPr>
          <w:b/>
          <w:szCs w:val="24"/>
        </w:rPr>
      </w:pPr>
    </w:p>
    <w:p w:rsidR="008E1912" w:rsidRPr="00954E10" w:rsidRDefault="008E1912" w:rsidP="00954E10">
      <w:pPr>
        <w:jc w:val="both"/>
        <w:rPr>
          <w:b/>
          <w:szCs w:val="24"/>
        </w:rPr>
      </w:pPr>
      <w:r w:rsidRPr="00954E10">
        <w:rPr>
          <w:b/>
          <w:szCs w:val="24"/>
        </w:rPr>
        <w:t>Wrong form used</w:t>
      </w:r>
    </w:p>
    <w:p w:rsidR="008E1912" w:rsidRPr="00954E10" w:rsidRDefault="008E1912" w:rsidP="00954E10">
      <w:pPr>
        <w:jc w:val="both"/>
        <w:rPr>
          <w:szCs w:val="24"/>
        </w:rPr>
      </w:pPr>
      <w:r w:rsidRPr="00954E10">
        <w:rPr>
          <w:szCs w:val="24"/>
        </w:rPr>
        <w:tab/>
        <w:t xml:space="preserve">The respondents </w:t>
      </w:r>
      <w:r w:rsidR="00516EC3" w:rsidRPr="00954E10">
        <w:rPr>
          <w:szCs w:val="24"/>
        </w:rPr>
        <w:t xml:space="preserve">contend that there is no proper </w:t>
      </w:r>
      <w:r w:rsidRPr="00954E10">
        <w:rPr>
          <w:szCs w:val="24"/>
        </w:rPr>
        <w:t>application before this court.  The urgent application, it is a</w:t>
      </w:r>
      <w:r w:rsidR="00516EC3" w:rsidRPr="00954E10">
        <w:rPr>
          <w:szCs w:val="24"/>
        </w:rPr>
        <w:t>r</w:t>
      </w:r>
      <w:r w:rsidRPr="00954E10">
        <w:rPr>
          <w:szCs w:val="24"/>
        </w:rPr>
        <w:t>gued, does not comply with the High C</w:t>
      </w:r>
      <w:r w:rsidR="00C97ACE">
        <w:rPr>
          <w:szCs w:val="24"/>
        </w:rPr>
        <w:t>o</w:t>
      </w:r>
      <w:r w:rsidRPr="00954E10">
        <w:rPr>
          <w:szCs w:val="24"/>
        </w:rPr>
        <w:t>urt Civil Rules, 1971.  The application should be in F</w:t>
      </w:r>
      <w:r w:rsidR="00954E10" w:rsidRPr="00954E10">
        <w:rPr>
          <w:szCs w:val="24"/>
        </w:rPr>
        <w:t>orm</w:t>
      </w:r>
      <w:r w:rsidRPr="00954E10">
        <w:rPr>
          <w:szCs w:val="24"/>
        </w:rPr>
        <w:t xml:space="preserve"> 29B.  The applicants do not</w:t>
      </w:r>
      <w:r w:rsidR="00292620" w:rsidRPr="00954E10">
        <w:rPr>
          <w:szCs w:val="24"/>
        </w:rPr>
        <w:t xml:space="preserve"> deal with this objection at all.  They simply state that the use of the wrong form is not fatal to the application.  No explanation is given why the wrong form was used.  In the event that the court can exercise its discretion in terms of Rule 4C, this should be done where in the</w:t>
      </w:r>
      <w:r w:rsidR="008675F9">
        <w:rPr>
          <w:szCs w:val="24"/>
        </w:rPr>
        <w:t xml:space="preserve"> interests justice of the case it is pru</w:t>
      </w:r>
      <w:r w:rsidR="00292620" w:rsidRPr="00954E10">
        <w:rPr>
          <w:szCs w:val="24"/>
        </w:rPr>
        <w:t>dent to deal with the matter.  The applican</w:t>
      </w:r>
      <w:r w:rsidR="00611DB6">
        <w:rPr>
          <w:szCs w:val="24"/>
        </w:rPr>
        <w:t>ts cannot avoid the issue.  S</w:t>
      </w:r>
      <w:r w:rsidR="00292620" w:rsidRPr="00954E10">
        <w:rPr>
          <w:szCs w:val="24"/>
        </w:rPr>
        <w:t>trict compliance with the rules of this court is fundamental</w:t>
      </w:r>
      <w:r w:rsidR="00611DB6">
        <w:rPr>
          <w:szCs w:val="24"/>
        </w:rPr>
        <w:t xml:space="preserve"> in respect of</w:t>
      </w:r>
      <w:r w:rsidR="00292620" w:rsidRPr="00954E10">
        <w:rPr>
          <w:szCs w:val="24"/>
        </w:rPr>
        <w:t xml:space="preserve"> all applications that are filed in this court.  See</w:t>
      </w:r>
      <w:proofErr w:type="gramStart"/>
      <w:r w:rsidR="00611DB6">
        <w:rPr>
          <w:szCs w:val="24"/>
        </w:rPr>
        <w:t>;</w:t>
      </w:r>
      <w:r w:rsidR="00472921">
        <w:rPr>
          <w:szCs w:val="24"/>
        </w:rPr>
        <w:t xml:space="preserve"> </w:t>
      </w:r>
      <w:r w:rsidR="00292620" w:rsidRPr="00954E10">
        <w:rPr>
          <w:szCs w:val="24"/>
        </w:rPr>
        <w:t xml:space="preserve"> </w:t>
      </w:r>
      <w:r w:rsidR="00292620" w:rsidRPr="00954E10">
        <w:rPr>
          <w:i/>
          <w:szCs w:val="24"/>
        </w:rPr>
        <w:t>R</w:t>
      </w:r>
      <w:proofErr w:type="gramEnd"/>
      <w:r w:rsidR="00954E10" w:rsidRPr="00954E10">
        <w:rPr>
          <w:i/>
          <w:szCs w:val="24"/>
        </w:rPr>
        <w:t>.</w:t>
      </w:r>
      <w:r w:rsidR="00292620" w:rsidRPr="00954E10">
        <w:rPr>
          <w:i/>
          <w:szCs w:val="24"/>
        </w:rPr>
        <w:t xml:space="preserve"> M</w:t>
      </w:r>
      <w:r w:rsidR="00954E10" w:rsidRPr="00954E10">
        <w:rPr>
          <w:i/>
          <w:szCs w:val="24"/>
        </w:rPr>
        <w:t>.</w:t>
      </w:r>
      <w:r w:rsidR="00292620" w:rsidRPr="00954E10">
        <w:rPr>
          <w:i/>
          <w:szCs w:val="24"/>
        </w:rPr>
        <w:t xml:space="preserve"> Mining &amp; Industrial Zimbabwe Ltd </w:t>
      </w:r>
      <w:r w:rsidR="00292620" w:rsidRPr="00954E10">
        <w:rPr>
          <w:szCs w:val="24"/>
        </w:rPr>
        <w:t xml:space="preserve">v </w:t>
      </w:r>
      <w:r w:rsidR="00292620" w:rsidRPr="00954E10">
        <w:rPr>
          <w:i/>
          <w:szCs w:val="24"/>
        </w:rPr>
        <w:t>STANBIC Bank</w:t>
      </w:r>
      <w:r w:rsidR="00472921">
        <w:rPr>
          <w:i/>
          <w:szCs w:val="24"/>
        </w:rPr>
        <w:t xml:space="preserve"> </w:t>
      </w:r>
      <w:r w:rsidR="00292620" w:rsidRPr="00954E10">
        <w:rPr>
          <w:szCs w:val="24"/>
        </w:rPr>
        <w:t xml:space="preserve"> HH-11-15.</w:t>
      </w:r>
      <w:r w:rsidR="003C35A6" w:rsidRPr="00954E10">
        <w:rPr>
          <w:szCs w:val="24"/>
        </w:rPr>
        <w:t xml:space="preserve">  I would not however,</w:t>
      </w:r>
      <w:r w:rsidR="00472921">
        <w:rPr>
          <w:szCs w:val="24"/>
        </w:rPr>
        <w:t xml:space="preserve"> dismiss this application on this alone.</w:t>
      </w:r>
      <w:r w:rsidR="003C35A6" w:rsidRPr="00954E10">
        <w:rPr>
          <w:szCs w:val="24"/>
        </w:rPr>
        <w:t xml:space="preserve">  The</w:t>
      </w:r>
      <w:r w:rsidR="00472921">
        <w:rPr>
          <w:szCs w:val="24"/>
        </w:rPr>
        <w:t xml:space="preserve">  </w:t>
      </w:r>
      <w:r w:rsidR="003C35A6" w:rsidRPr="00954E10">
        <w:rPr>
          <w:szCs w:val="24"/>
        </w:rPr>
        <w:t xml:space="preserve"> grounds upon which the application has been made are clear from the application and the suppo</w:t>
      </w:r>
      <w:r w:rsidR="00954E10" w:rsidRPr="00954E10">
        <w:rPr>
          <w:szCs w:val="24"/>
        </w:rPr>
        <w:t>r</w:t>
      </w:r>
      <w:r w:rsidR="003C35A6" w:rsidRPr="00954E10">
        <w:rPr>
          <w:szCs w:val="24"/>
        </w:rPr>
        <w:t>ting affidavits.</w:t>
      </w:r>
    </w:p>
    <w:p w:rsidR="003C35A6" w:rsidRPr="00954E10" w:rsidRDefault="003C35A6" w:rsidP="00954E10">
      <w:pPr>
        <w:jc w:val="both"/>
        <w:rPr>
          <w:b/>
          <w:szCs w:val="24"/>
        </w:rPr>
      </w:pPr>
      <w:r w:rsidRPr="00954E10">
        <w:rPr>
          <w:b/>
          <w:szCs w:val="24"/>
        </w:rPr>
        <w:t xml:space="preserve">Defective </w:t>
      </w:r>
      <w:r w:rsidR="00954E10" w:rsidRPr="00954E10">
        <w:rPr>
          <w:b/>
          <w:szCs w:val="24"/>
        </w:rPr>
        <w:t>C</w:t>
      </w:r>
      <w:r w:rsidRPr="00954E10">
        <w:rPr>
          <w:b/>
          <w:szCs w:val="24"/>
        </w:rPr>
        <w:t xml:space="preserve">ertificate of </w:t>
      </w:r>
      <w:r w:rsidR="00954E10" w:rsidRPr="00954E10">
        <w:rPr>
          <w:b/>
          <w:szCs w:val="24"/>
        </w:rPr>
        <w:t>S</w:t>
      </w:r>
      <w:r w:rsidRPr="00954E10">
        <w:rPr>
          <w:b/>
          <w:szCs w:val="24"/>
        </w:rPr>
        <w:t>ervice</w:t>
      </w:r>
    </w:p>
    <w:p w:rsidR="003C35A6" w:rsidRPr="00954E10" w:rsidRDefault="005E7909" w:rsidP="00954E10">
      <w:pPr>
        <w:jc w:val="both"/>
        <w:rPr>
          <w:szCs w:val="24"/>
        </w:rPr>
      </w:pPr>
      <w:r w:rsidRPr="00954E10">
        <w:rPr>
          <w:szCs w:val="24"/>
        </w:rPr>
        <w:tab/>
        <w:t xml:space="preserve">The respondents contend that the certificate of urgency is defective as it does not comply with Rule 244 of the High Court Rules.  I do not agree that the certificate of urgency is defective in any manner.  The applicants have set out in the certificate of urgency sufficient particulars of the perceived urgency.  This point </w:t>
      </w:r>
      <w:r w:rsidR="00954E10" w:rsidRPr="00954E10">
        <w:rPr>
          <w:i/>
          <w:szCs w:val="24"/>
        </w:rPr>
        <w:t>in limine</w:t>
      </w:r>
      <w:r w:rsidRPr="00954E10">
        <w:rPr>
          <w:szCs w:val="24"/>
        </w:rPr>
        <w:t xml:space="preserve"> is not sustained.</w:t>
      </w:r>
    </w:p>
    <w:p w:rsidR="005E7909" w:rsidRPr="00954E10" w:rsidRDefault="005E7909" w:rsidP="00954E10">
      <w:pPr>
        <w:jc w:val="both"/>
        <w:rPr>
          <w:b/>
          <w:szCs w:val="24"/>
        </w:rPr>
      </w:pPr>
      <w:r w:rsidRPr="00954E10">
        <w:rPr>
          <w:b/>
          <w:szCs w:val="24"/>
        </w:rPr>
        <w:t>Matter overtaken by events</w:t>
      </w:r>
    </w:p>
    <w:p w:rsidR="005E7909" w:rsidRPr="00954E10" w:rsidRDefault="005E7909" w:rsidP="00954E10">
      <w:pPr>
        <w:jc w:val="both"/>
        <w:rPr>
          <w:szCs w:val="24"/>
        </w:rPr>
      </w:pPr>
      <w:r w:rsidRPr="00954E10">
        <w:rPr>
          <w:szCs w:val="24"/>
        </w:rPr>
        <w:tab/>
        <w:t>The respondents allege that the matter has already been overtaken by</w:t>
      </w:r>
      <w:r w:rsidR="00A1366B">
        <w:rPr>
          <w:szCs w:val="24"/>
        </w:rPr>
        <w:t xml:space="preserve"> events.  This is so because an order is </w:t>
      </w:r>
      <w:r w:rsidRPr="00954E10">
        <w:rPr>
          <w:szCs w:val="24"/>
        </w:rPr>
        <w:t>sought seeking to inter</w:t>
      </w:r>
      <w:r w:rsidR="00A1366B">
        <w:rPr>
          <w:szCs w:val="24"/>
        </w:rPr>
        <w:t xml:space="preserve">dict the execution of an order which was </w:t>
      </w:r>
      <w:r w:rsidRPr="00954E10">
        <w:rPr>
          <w:szCs w:val="24"/>
        </w:rPr>
        <w:t>executed by the Sheriff on the 4</w:t>
      </w:r>
      <w:r w:rsidRPr="00954E10">
        <w:rPr>
          <w:szCs w:val="24"/>
          <w:vertAlign w:val="superscript"/>
        </w:rPr>
        <w:t>th</w:t>
      </w:r>
      <w:r w:rsidRPr="00954E10">
        <w:rPr>
          <w:szCs w:val="24"/>
        </w:rPr>
        <w:t xml:space="preserve"> of February 2020.  It is </w:t>
      </w:r>
      <w:r w:rsidR="00DC148E">
        <w:rPr>
          <w:szCs w:val="24"/>
        </w:rPr>
        <w:t>f</w:t>
      </w:r>
      <w:r w:rsidRPr="00954E10">
        <w:rPr>
          <w:szCs w:val="24"/>
        </w:rPr>
        <w:t>actually correct that the order granted by this court on the 3</w:t>
      </w:r>
      <w:r w:rsidRPr="00954E10">
        <w:rPr>
          <w:szCs w:val="24"/>
          <w:vertAlign w:val="superscript"/>
        </w:rPr>
        <w:t>rd</w:t>
      </w:r>
      <w:r w:rsidRPr="00954E10">
        <w:rPr>
          <w:szCs w:val="24"/>
        </w:rPr>
        <w:t xml:space="preserve"> February 2020 by the Honourable K</w:t>
      </w:r>
      <w:r w:rsidR="00954E10" w:rsidRPr="00954E10">
        <w:rPr>
          <w:sz w:val="20"/>
          <w:szCs w:val="20"/>
        </w:rPr>
        <w:t>ABASA</w:t>
      </w:r>
      <w:r w:rsidRPr="00954E10">
        <w:rPr>
          <w:szCs w:val="24"/>
        </w:rPr>
        <w:t xml:space="preserve"> J had already been executed.  For this court </w:t>
      </w:r>
      <w:r w:rsidRPr="00954E10">
        <w:rPr>
          <w:szCs w:val="24"/>
        </w:rPr>
        <w:lastRenderedPageBreak/>
        <w:t>to order that the “</w:t>
      </w:r>
      <w:r w:rsidRPr="00D237DC">
        <w:rPr>
          <w:i/>
          <w:szCs w:val="24"/>
        </w:rPr>
        <w:t>respondents are hereby interdicted from executing the order issued in favour of 1</w:t>
      </w:r>
      <w:r w:rsidRPr="00D237DC">
        <w:rPr>
          <w:i/>
          <w:szCs w:val="24"/>
          <w:vertAlign w:val="superscript"/>
        </w:rPr>
        <w:t>st</w:t>
      </w:r>
      <w:r w:rsidRPr="00D237DC">
        <w:rPr>
          <w:i/>
          <w:szCs w:val="24"/>
        </w:rPr>
        <w:t>, 2</w:t>
      </w:r>
      <w:r w:rsidRPr="00D237DC">
        <w:rPr>
          <w:i/>
          <w:szCs w:val="24"/>
          <w:vertAlign w:val="superscript"/>
        </w:rPr>
        <w:t>nd</w:t>
      </w:r>
      <w:r w:rsidRPr="00D237DC">
        <w:rPr>
          <w:i/>
          <w:szCs w:val="24"/>
        </w:rPr>
        <w:t>, 3</w:t>
      </w:r>
      <w:r w:rsidRPr="00D237DC">
        <w:rPr>
          <w:i/>
          <w:szCs w:val="24"/>
          <w:vertAlign w:val="superscript"/>
        </w:rPr>
        <w:t>rd</w:t>
      </w:r>
      <w:r w:rsidRPr="00D237DC">
        <w:rPr>
          <w:i/>
          <w:szCs w:val="24"/>
        </w:rPr>
        <w:t>, 4</w:t>
      </w:r>
      <w:r w:rsidRPr="00D237DC">
        <w:rPr>
          <w:i/>
          <w:szCs w:val="24"/>
          <w:vertAlign w:val="superscript"/>
        </w:rPr>
        <w:t>th</w:t>
      </w:r>
      <w:r w:rsidRPr="00D237DC">
        <w:rPr>
          <w:i/>
          <w:szCs w:val="24"/>
        </w:rPr>
        <w:t>, 5</w:t>
      </w:r>
      <w:r w:rsidRPr="00D237DC">
        <w:rPr>
          <w:i/>
          <w:szCs w:val="24"/>
          <w:vertAlign w:val="superscript"/>
        </w:rPr>
        <w:t>th</w:t>
      </w:r>
      <w:r w:rsidRPr="00D237DC">
        <w:rPr>
          <w:i/>
          <w:szCs w:val="24"/>
        </w:rPr>
        <w:t>, 6</w:t>
      </w:r>
      <w:r w:rsidRPr="00D237DC">
        <w:rPr>
          <w:i/>
          <w:szCs w:val="24"/>
          <w:vertAlign w:val="superscript"/>
        </w:rPr>
        <w:t>th</w:t>
      </w:r>
      <w:r w:rsidRPr="00D237DC">
        <w:rPr>
          <w:i/>
          <w:szCs w:val="24"/>
        </w:rPr>
        <w:t>, 7</w:t>
      </w:r>
      <w:r w:rsidRPr="00D237DC">
        <w:rPr>
          <w:i/>
          <w:szCs w:val="24"/>
          <w:vertAlign w:val="superscript"/>
        </w:rPr>
        <w:t>th</w:t>
      </w:r>
      <w:r w:rsidRPr="00D237DC">
        <w:rPr>
          <w:i/>
          <w:szCs w:val="24"/>
        </w:rPr>
        <w:t>, 8</w:t>
      </w:r>
      <w:r w:rsidRPr="00D237DC">
        <w:rPr>
          <w:i/>
          <w:szCs w:val="24"/>
          <w:vertAlign w:val="superscript"/>
        </w:rPr>
        <w:t>th</w:t>
      </w:r>
      <w:r w:rsidRPr="00D237DC">
        <w:rPr>
          <w:i/>
          <w:szCs w:val="24"/>
        </w:rPr>
        <w:t xml:space="preserve"> and 9</w:t>
      </w:r>
      <w:r w:rsidRPr="00D237DC">
        <w:rPr>
          <w:i/>
          <w:szCs w:val="24"/>
          <w:vertAlign w:val="superscript"/>
        </w:rPr>
        <w:t>th</w:t>
      </w:r>
      <w:r w:rsidRPr="00D237DC">
        <w:rPr>
          <w:i/>
          <w:szCs w:val="24"/>
        </w:rPr>
        <w:t xml:space="preserve"> respondents under HC 3013/19 pending finalisation of this</w:t>
      </w:r>
      <w:r w:rsidRPr="00954E10">
        <w:rPr>
          <w:szCs w:val="24"/>
        </w:rPr>
        <w:t xml:space="preserve"> </w:t>
      </w:r>
      <w:r w:rsidRPr="00D237DC">
        <w:rPr>
          <w:i/>
          <w:szCs w:val="24"/>
        </w:rPr>
        <w:t>matter.”</w:t>
      </w:r>
      <w:r w:rsidRPr="00954E10">
        <w:rPr>
          <w:szCs w:val="24"/>
        </w:rPr>
        <w:t xml:space="preserve"> </w:t>
      </w:r>
      <w:r w:rsidR="00961BB1" w:rsidRPr="00954E10">
        <w:rPr>
          <w:szCs w:val="24"/>
        </w:rPr>
        <w:t>m</w:t>
      </w:r>
      <w:r w:rsidRPr="00954E10">
        <w:rPr>
          <w:szCs w:val="24"/>
        </w:rPr>
        <w:t>ay indeed</w:t>
      </w:r>
      <w:r w:rsidR="00961BB1" w:rsidRPr="00954E10">
        <w:rPr>
          <w:szCs w:val="24"/>
        </w:rPr>
        <w:t xml:space="preserve"> be academic.  The order if granted in its present form would be a </w:t>
      </w:r>
      <w:proofErr w:type="spellStart"/>
      <w:r w:rsidR="00D237DC">
        <w:rPr>
          <w:i/>
          <w:szCs w:val="24"/>
        </w:rPr>
        <w:t>brutum</w:t>
      </w:r>
      <w:proofErr w:type="spellEnd"/>
      <w:r w:rsidR="00D237DC">
        <w:rPr>
          <w:i/>
          <w:szCs w:val="24"/>
        </w:rPr>
        <w:t xml:space="preserve"> </w:t>
      </w:r>
      <w:proofErr w:type="spellStart"/>
      <w:r w:rsidR="00D237DC">
        <w:rPr>
          <w:i/>
          <w:szCs w:val="24"/>
        </w:rPr>
        <w:t>ful</w:t>
      </w:r>
      <w:r w:rsidR="00961BB1" w:rsidRPr="00D237DC">
        <w:rPr>
          <w:i/>
          <w:szCs w:val="24"/>
        </w:rPr>
        <w:t>m</w:t>
      </w:r>
      <w:r w:rsidR="00D237DC" w:rsidRPr="00D237DC">
        <w:rPr>
          <w:i/>
          <w:szCs w:val="24"/>
        </w:rPr>
        <w:t>en</w:t>
      </w:r>
      <w:proofErr w:type="spellEnd"/>
      <w:r w:rsidR="00D237DC" w:rsidRPr="00D237DC">
        <w:rPr>
          <w:i/>
          <w:szCs w:val="24"/>
        </w:rPr>
        <w:t>.</w:t>
      </w:r>
      <w:r w:rsidR="00961BB1" w:rsidRPr="00D237DC">
        <w:rPr>
          <w:i/>
          <w:szCs w:val="24"/>
        </w:rPr>
        <w:t xml:space="preserve">  </w:t>
      </w:r>
      <w:proofErr w:type="gramStart"/>
      <w:r w:rsidR="00961BB1" w:rsidRPr="00954E10">
        <w:rPr>
          <w:szCs w:val="24"/>
        </w:rPr>
        <w:t xml:space="preserve">See </w:t>
      </w:r>
      <w:r w:rsidR="0076091F">
        <w:rPr>
          <w:szCs w:val="24"/>
        </w:rPr>
        <w:t>;</w:t>
      </w:r>
      <w:proofErr w:type="gramEnd"/>
      <w:r w:rsidR="0076091F">
        <w:rPr>
          <w:szCs w:val="24"/>
        </w:rPr>
        <w:t xml:space="preserve"> </w:t>
      </w:r>
      <w:proofErr w:type="spellStart"/>
      <w:r w:rsidR="00961BB1" w:rsidRPr="00954E10">
        <w:rPr>
          <w:i/>
          <w:szCs w:val="24"/>
        </w:rPr>
        <w:t>Kashumba</w:t>
      </w:r>
      <w:proofErr w:type="spellEnd"/>
      <w:r w:rsidR="00961BB1" w:rsidRPr="00954E10">
        <w:rPr>
          <w:i/>
          <w:szCs w:val="24"/>
        </w:rPr>
        <w:t xml:space="preserve"> </w:t>
      </w:r>
      <w:r w:rsidR="00961BB1" w:rsidRPr="00954E10">
        <w:rPr>
          <w:szCs w:val="24"/>
        </w:rPr>
        <w:t xml:space="preserve">v </w:t>
      </w:r>
      <w:proofErr w:type="spellStart"/>
      <w:r w:rsidR="00961BB1" w:rsidRPr="00954E10">
        <w:rPr>
          <w:i/>
          <w:szCs w:val="24"/>
        </w:rPr>
        <w:t>Idehen</w:t>
      </w:r>
      <w:proofErr w:type="spellEnd"/>
      <w:r w:rsidR="00961BB1" w:rsidRPr="00954E10">
        <w:rPr>
          <w:i/>
          <w:szCs w:val="24"/>
        </w:rPr>
        <w:t xml:space="preserve"> &amp; 4 Ors</w:t>
      </w:r>
      <w:r w:rsidR="00961BB1" w:rsidRPr="00954E10">
        <w:rPr>
          <w:szCs w:val="24"/>
        </w:rPr>
        <w:t xml:space="preserve"> 279/18.</w:t>
      </w:r>
    </w:p>
    <w:p w:rsidR="00961BB1" w:rsidRPr="00954E10" w:rsidRDefault="00961BB1" w:rsidP="00954E10">
      <w:pPr>
        <w:jc w:val="both"/>
        <w:rPr>
          <w:szCs w:val="24"/>
        </w:rPr>
      </w:pPr>
      <w:r w:rsidRPr="00954E10">
        <w:rPr>
          <w:szCs w:val="24"/>
        </w:rPr>
        <w:tab/>
        <w:t>To compound the diff</w:t>
      </w:r>
      <w:r w:rsidR="006B2B69">
        <w:rPr>
          <w:szCs w:val="24"/>
        </w:rPr>
        <w:t>iculty for the applicants, the final</w:t>
      </w:r>
      <w:r w:rsidR="00AB4E1F">
        <w:rPr>
          <w:szCs w:val="24"/>
        </w:rPr>
        <w:t xml:space="preserve"> order seeks an order</w:t>
      </w:r>
      <w:r w:rsidRPr="00954E10">
        <w:rPr>
          <w:szCs w:val="24"/>
        </w:rPr>
        <w:t xml:space="preserve"> that the applicants be declared to be in lawful occupation of the premises.  The applicants seek to obtain substantive relief on the lawfulness of their occupancy of the claims.  That matter is not before the court, in this application. </w:t>
      </w:r>
      <w:r w:rsidR="00AB4E1F">
        <w:rPr>
          <w:szCs w:val="24"/>
        </w:rPr>
        <w:t xml:space="preserve"> The applicants seek relief which has not been raised in the founding affidavit. This cannot be correct.  An applicant may not seek substantive relief which is not canvassed in the application.</w:t>
      </w:r>
      <w:r w:rsidRPr="00954E10">
        <w:rPr>
          <w:szCs w:val="24"/>
        </w:rPr>
        <w:t xml:space="preserve"> In</w:t>
      </w:r>
      <w:r w:rsidR="00AB4E1F">
        <w:rPr>
          <w:szCs w:val="24"/>
        </w:rPr>
        <w:t xml:space="preserve"> </w:t>
      </w:r>
      <w:r w:rsidRPr="00954E10">
        <w:rPr>
          <w:szCs w:val="24"/>
        </w:rPr>
        <w:t>response to the submission that the matter has been overtaken by events, the applicants, aver that the court is enjoined to ensure that real and substantial justice is done between the parties.  The applicants aver that real and substantial justice can only be achieved if this court intervenes posi</w:t>
      </w:r>
      <w:r w:rsidR="00954E10" w:rsidRPr="00954E10">
        <w:rPr>
          <w:szCs w:val="24"/>
        </w:rPr>
        <w:t>tive</w:t>
      </w:r>
      <w:r w:rsidRPr="00954E10">
        <w:rPr>
          <w:szCs w:val="24"/>
        </w:rPr>
        <w:t>ly.  In essence, the applicants assert that real and substantial justice can only be achieved if the matter is decided in their favour.  The applicants con</w:t>
      </w:r>
      <w:r w:rsidR="00954E10" w:rsidRPr="00954E10">
        <w:rPr>
          <w:szCs w:val="24"/>
        </w:rPr>
        <w:t>t</w:t>
      </w:r>
      <w:r w:rsidRPr="00954E10">
        <w:rPr>
          <w:szCs w:val="24"/>
        </w:rPr>
        <w:t>end that the default judgment was procured improperly and therefore this court must intervene, and stay the execution of the order which by their own admission has already been executed.  On this aspect</w:t>
      </w:r>
      <w:r w:rsidR="0012439F">
        <w:rPr>
          <w:szCs w:val="24"/>
        </w:rPr>
        <w:t>, I must</w:t>
      </w:r>
      <w:r w:rsidRPr="00954E10">
        <w:rPr>
          <w:szCs w:val="24"/>
        </w:rPr>
        <w:t xml:space="preserve"> point out that the applicants </w:t>
      </w:r>
      <w:r w:rsidR="00954E10" w:rsidRPr="00954E10">
        <w:rPr>
          <w:szCs w:val="24"/>
        </w:rPr>
        <w:t>m</w:t>
      </w:r>
      <w:r w:rsidRPr="00954E10">
        <w:rPr>
          <w:szCs w:val="24"/>
        </w:rPr>
        <w:t>ust themselves take positive steps to set aside the default judgment.  The judgment of the 3</w:t>
      </w:r>
      <w:r w:rsidRPr="00954E10">
        <w:rPr>
          <w:szCs w:val="24"/>
          <w:vertAlign w:val="superscript"/>
        </w:rPr>
        <w:t>rd</w:t>
      </w:r>
      <w:r w:rsidR="0012439F">
        <w:rPr>
          <w:szCs w:val="24"/>
        </w:rPr>
        <w:t xml:space="preserve"> of February 2020 is still exta</w:t>
      </w:r>
      <w:r w:rsidRPr="00954E10">
        <w:rPr>
          <w:szCs w:val="24"/>
        </w:rPr>
        <w:t>nt.  A default judgment cannot be set aside in the m</w:t>
      </w:r>
      <w:r w:rsidR="0012439F">
        <w:rPr>
          <w:szCs w:val="24"/>
        </w:rPr>
        <w:t>anner proposed by the applicant via an urgent chamber application</w:t>
      </w:r>
      <w:r w:rsidRPr="00954E10">
        <w:rPr>
          <w:szCs w:val="24"/>
        </w:rPr>
        <w:t>.</w:t>
      </w:r>
      <w:r w:rsidR="00C8586A">
        <w:rPr>
          <w:szCs w:val="24"/>
        </w:rPr>
        <w:t xml:space="preserve"> I have had occasion to peruse the record under case number HC324/20 and observe that no steps have been taken to set down the application for rescission of </w:t>
      </w:r>
      <w:r w:rsidR="00AB4D42">
        <w:rPr>
          <w:szCs w:val="24"/>
        </w:rPr>
        <w:t>judgment</w:t>
      </w:r>
      <w:r w:rsidR="00C8586A">
        <w:rPr>
          <w:szCs w:val="24"/>
        </w:rPr>
        <w:t>.</w:t>
      </w:r>
    </w:p>
    <w:p w:rsidR="00961BB1" w:rsidRPr="00954E10" w:rsidRDefault="00961BB1" w:rsidP="00954E10">
      <w:pPr>
        <w:jc w:val="both"/>
        <w:rPr>
          <w:szCs w:val="24"/>
        </w:rPr>
      </w:pPr>
      <w:r w:rsidRPr="00954E10">
        <w:rPr>
          <w:szCs w:val="24"/>
        </w:rPr>
        <w:tab/>
        <w:t xml:space="preserve">It is my view hat this point </w:t>
      </w:r>
      <w:r w:rsidRPr="00954E10">
        <w:rPr>
          <w:i/>
          <w:szCs w:val="24"/>
        </w:rPr>
        <w:t>in limine</w:t>
      </w:r>
      <w:r w:rsidRPr="00954E10">
        <w:rPr>
          <w:szCs w:val="24"/>
        </w:rPr>
        <w:t xml:space="preserve"> has merit.  The order sought by the applicants if granted, would be a </w:t>
      </w:r>
      <w:proofErr w:type="spellStart"/>
      <w:r w:rsidRPr="00954E10">
        <w:rPr>
          <w:i/>
          <w:szCs w:val="24"/>
        </w:rPr>
        <w:t>brutum</w:t>
      </w:r>
      <w:proofErr w:type="spellEnd"/>
      <w:r w:rsidRPr="00954E10">
        <w:rPr>
          <w:i/>
          <w:szCs w:val="24"/>
        </w:rPr>
        <w:t xml:space="preserve"> </w:t>
      </w:r>
      <w:proofErr w:type="spellStart"/>
      <w:r w:rsidRPr="00954E10">
        <w:rPr>
          <w:i/>
          <w:szCs w:val="24"/>
        </w:rPr>
        <w:t>fulum</w:t>
      </w:r>
      <w:proofErr w:type="spellEnd"/>
      <w:r w:rsidRPr="00954E10">
        <w:rPr>
          <w:szCs w:val="24"/>
        </w:rPr>
        <w:t>.</w:t>
      </w:r>
    </w:p>
    <w:p w:rsidR="00961BB1" w:rsidRPr="00954E10" w:rsidRDefault="00961BB1" w:rsidP="00954E10">
      <w:pPr>
        <w:jc w:val="both"/>
        <w:rPr>
          <w:b/>
          <w:szCs w:val="24"/>
        </w:rPr>
      </w:pPr>
      <w:r w:rsidRPr="00954E10">
        <w:rPr>
          <w:b/>
          <w:szCs w:val="24"/>
        </w:rPr>
        <w:t>Material dispute of facts</w:t>
      </w:r>
    </w:p>
    <w:p w:rsidR="00961BB1" w:rsidRPr="00954E10" w:rsidRDefault="00961BB1" w:rsidP="00954E10">
      <w:pPr>
        <w:jc w:val="both"/>
        <w:rPr>
          <w:szCs w:val="24"/>
        </w:rPr>
      </w:pPr>
      <w:r w:rsidRPr="00954E10">
        <w:rPr>
          <w:szCs w:val="24"/>
        </w:rPr>
        <w:tab/>
        <w:t>The respondents con</w:t>
      </w:r>
      <w:r w:rsidR="00954E10" w:rsidRPr="00954E10">
        <w:rPr>
          <w:szCs w:val="24"/>
        </w:rPr>
        <w:t>t</w:t>
      </w:r>
      <w:r w:rsidRPr="00954E10">
        <w:rPr>
          <w:szCs w:val="24"/>
        </w:rPr>
        <w:t>end that there are material disputes of fact which can only be</w:t>
      </w:r>
      <w:r w:rsidR="005B4594" w:rsidRPr="00954E10">
        <w:rPr>
          <w:szCs w:val="24"/>
        </w:rPr>
        <w:t xml:space="preserve"> resolved by</w:t>
      </w:r>
      <w:r w:rsidR="00954E10" w:rsidRPr="00954E10">
        <w:rPr>
          <w:szCs w:val="24"/>
        </w:rPr>
        <w:t xml:space="preserve"> </w:t>
      </w:r>
      <w:r w:rsidR="005B4594" w:rsidRPr="00954E10">
        <w:rPr>
          <w:szCs w:val="24"/>
        </w:rPr>
        <w:t xml:space="preserve">leading </w:t>
      </w:r>
      <w:r w:rsidR="005B4594" w:rsidRPr="00954E10">
        <w:rPr>
          <w:i/>
          <w:szCs w:val="24"/>
        </w:rPr>
        <w:t>viva voce</w:t>
      </w:r>
      <w:r w:rsidR="00AB4D42">
        <w:rPr>
          <w:szCs w:val="24"/>
        </w:rPr>
        <w:t xml:space="preserve"> evidence.  In the brief </w:t>
      </w:r>
      <w:r w:rsidR="005B4594" w:rsidRPr="00954E10">
        <w:rPr>
          <w:szCs w:val="24"/>
        </w:rPr>
        <w:t>background that I gave in this judgment,</w:t>
      </w:r>
      <w:r w:rsidR="00AB4D42">
        <w:rPr>
          <w:szCs w:val="24"/>
        </w:rPr>
        <w:t xml:space="preserve"> this</w:t>
      </w:r>
      <w:r w:rsidR="005B4594" w:rsidRPr="00954E10">
        <w:rPr>
          <w:szCs w:val="24"/>
        </w:rPr>
        <w:t xml:space="preserve"> is a dispu</w:t>
      </w:r>
      <w:r w:rsidR="00954E10" w:rsidRPr="00954E10">
        <w:rPr>
          <w:szCs w:val="24"/>
        </w:rPr>
        <w:t>t</w:t>
      </w:r>
      <w:r w:rsidR="005B4594" w:rsidRPr="00954E10">
        <w:rPr>
          <w:szCs w:val="24"/>
        </w:rPr>
        <w:t xml:space="preserve">e relating to the occupation and ownership of the mining claims.  There are serious and </w:t>
      </w:r>
      <w:r w:rsidR="005B4594" w:rsidRPr="00954E10">
        <w:rPr>
          <w:szCs w:val="24"/>
        </w:rPr>
        <w:lastRenderedPageBreak/>
        <w:t xml:space="preserve">material disputes of fact which cannot be dealt with without hearing oral evidence. </w:t>
      </w:r>
      <w:r w:rsidR="00647619">
        <w:rPr>
          <w:szCs w:val="24"/>
        </w:rPr>
        <w:t xml:space="preserve"> I note that an attempt was</w:t>
      </w:r>
      <w:r w:rsidR="005B4594" w:rsidRPr="00954E10">
        <w:rPr>
          <w:szCs w:val="24"/>
        </w:rPr>
        <w:t xml:space="preserve"> made to bring Patrick </w:t>
      </w:r>
      <w:proofErr w:type="spellStart"/>
      <w:r w:rsidR="005B4594" w:rsidRPr="00954E10">
        <w:rPr>
          <w:szCs w:val="24"/>
        </w:rPr>
        <w:t>Dube</w:t>
      </w:r>
      <w:proofErr w:type="spellEnd"/>
      <w:r w:rsidR="005B4594" w:rsidRPr="00954E10">
        <w:rPr>
          <w:szCs w:val="24"/>
        </w:rPr>
        <w:t xml:space="preserve"> to appear in chambers to give his version regarding the default judgment allegedly obtained through fraud or misrepresentation.  While it is permissible to call parties in chambers to clear issues in dispute, the route has its own hazards.  The first problem is that the</w:t>
      </w:r>
      <w:r w:rsidR="00954E10" w:rsidRPr="00954E10">
        <w:rPr>
          <w:szCs w:val="24"/>
        </w:rPr>
        <w:t>r</w:t>
      </w:r>
      <w:r w:rsidR="005B4594" w:rsidRPr="00954E10">
        <w:rPr>
          <w:szCs w:val="24"/>
        </w:rPr>
        <w:t>e is no scope for the cross examination of witnesses in chambers, in an urge</w:t>
      </w:r>
      <w:r w:rsidR="00E749BB">
        <w:rPr>
          <w:szCs w:val="24"/>
        </w:rPr>
        <w:t>nt chamber application.  Where a</w:t>
      </w:r>
      <w:r w:rsidR="005B4594" w:rsidRPr="00954E10">
        <w:rPr>
          <w:szCs w:val="24"/>
        </w:rPr>
        <w:t xml:space="preserve"> matter is brought to court on an urgent basis it stands or falls on the founding affidavit.  Where there is a material dispute of fact, the matter should be brought by way of action proceedings</w:t>
      </w:r>
      <w:r w:rsidR="00A832B7" w:rsidRPr="00954E10">
        <w:rPr>
          <w:szCs w:val="24"/>
        </w:rPr>
        <w:t>.  See</w:t>
      </w:r>
      <w:r w:rsidR="00954E10" w:rsidRPr="00954E10">
        <w:rPr>
          <w:szCs w:val="24"/>
        </w:rPr>
        <w:t xml:space="preserve"> </w:t>
      </w:r>
      <w:r w:rsidR="00A832B7" w:rsidRPr="00954E10">
        <w:rPr>
          <w:szCs w:val="24"/>
        </w:rPr>
        <w:t xml:space="preserve">Mackintosh </w:t>
      </w:r>
      <w:r w:rsidR="00A832B7" w:rsidRPr="00954E10">
        <w:rPr>
          <w:i/>
          <w:szCs w:val="24"/>
        </w:rPr>
        <w:t xml:space="preserve">(Nee </w:t>
      </w:r>
      <w:proofErr w:type="spellStart"/>
      <w:r w:rsidR="00A832B7" w:rsidRPr="00954E10">
        <w:rPr>
          <w:i/>
          <w:szCs w:val="24"/>
        </w:rPr>
        <w:t>Perkinson</w:t>
      </w:r>
      <w:proofErr w:type="spellEnd"/>
      <w:r w:rsidR="0070365B">
        <w:rPr>
          <w:i/>
          <w:szCs w:val="24"/>
        </w:rPr>
        <w:t>)</w:t>
      </w:r>
      <w:r w:rsidR="00A832B7" w:rsidRPr="00954E10">
        <w:rPr>
          <w:szCs w:val="24"/>
        </w:rPr>
        <w:t xml:space="preserve"> v </w:t>
      </w:r>
      <w:r w:rsidR="00A832B7" w:rsidRPr="00954E10">
        <w:rPr>
          <w:i/>
          <w:szCs w:val="24"/>
        </w:rPr>
        <w:t>Mackintosh</w:t>
      </w:r>
      <w:r w:rsidR="00A832B7" w:rsidRPr="00954E10">
        <w:rPr>
          <w:szCs w:val="24"/>
        </w:rPr>
        <w:t xml:space="preserve"> SC-37-18.</w:t>
      </w:r>
    </w:p>
    <w:p w:rsidR="00A832B7" w:rsidRPr="00954E10" w:rsidRDefault="00A832B7" w:rsidP="00954E10">
      <w:pPr>
        <w:jc w:val="both"/>
        <w:rPr>
          <w:szCs w:val="24"/>
        </w:rPr>
      </w:pPr>
      <w:r w:rsidRPr="00954E10">
        <w:rPr>
          <w:szCs w:val="24"/>
        </w:rPr>
        <w:tab/>
        <w:t>I need not therefore proceed to consider the rest of the preliminary points.  I cannot decide this matter on the papers</w:t>
      </w:r>
      <w:r w:rsidR="00933A63">
        <w:rPr>
          <w:szCs w:val="24"/>
        </w:rPr>
        <w:t>.  I cannot grant an order where material and serious disputes of fact abound.</w:t>
      </w:r>
      <w:r w:rsidRPr="00954E10">
        <w:rPr>
          <w:szCs w:val="24"/>
        </w:rPr>
        <w:t xml:space="preserve"> I ca</w:t>
      </w:r>
      <w:r w:rsidR="00954E10" w:rsidRPr="00954E10">
        <w:rPr>
          <w:szCs w:val="24"/>
        </w:rPr>
        <w:t>n</w:t>
      </w:r>
      <w:r w:rsidRPr="00954E10">
        <w:rPr>
          <w:szCs w:val="24"/>
        </w:rPr>
        <w:t>not</w:t>
      </w:r>
      <w:r w:rsidR="00933A63">
        <w:rPr>
          <w:szCs w:val="24"/>
        </w:rPr>
        <w:t xml:space="preserve"> simply ignore such material factual disputes. </w:t>
      </w:r>
      <w:r w:rsidRPr="00954E10">
        <w:rPr>
          <w:szCs w:val="24"/>
        </w:rPr>
        <w:t xml:space="preserve">  The respondents’ opposing papers have annexures of</w:t>
      </w:r>
      <w:r w:rsidR="00933A63">
        <w:rPr>
          <w:szCs w:val="24"/>
        </w:rPr>
        <w:t xml:space="preserve"> minutes of</w:t>
      </w:r>
      <w:r w:rsidRPr="00954E10">
        <w:rPr>
          <w:szCs w:val="24"/>
        </w:rPr>
        <w:t xml:space="preserve"> meetings between the parties clearly indicating that the applican</w:t>
      </w:r>
      <w:r w:rsidR="00933A63">
        <w:rPr>
          <w:szCs w:val="24"/>
        </w:rPr>
        <w:t>ts and respondents have disagreements</w:t>
      </w:r>
      <w:r w:rsidRPr="00954E10">
        <w:rPr>
          <w:szCs w:val="24"/>
        </w:rPr>
        <w:t xml:space="preserve"> regarding the manner in which the applicants allegedly went behind the Community Share Ownership Scheme to set up a private limited company to work upo</w:t>
      </w:r>
      <w:r w:rsidR="00FB1D75">
        <w:rPr>
          <w:szCs w:val="24"/>
        </w:rPr>
        <w:t>n the mining claims in dispute.</w:t>
      </w:r>
      <w:r w:rsidR="000D18D5" w:rsidRPr="00954E10">
        <w:rPr>
          <w:szCs w:val="24"/>
        </w:rPr>
        <w:t xml:space="preserve">  I cannot decide that dispute.  It is not before me.  I am satisfied that the applicants have chosen this procedure well aware of the </w:t>
      </w:r>
      <w:r w:rsidR="00917538">
        <w:rPr>
          <w:szCs w:val="24"/>
        </w:rPr>
        <w:t xml:space="preserve">existence of these </w:t>
      </w:r>
      <w:r w:rsidR="000D18D5" w:rsidRPr="00954E10">
        <w:rPr>
          <w:szCs w:val="24"/>
        </w:rPr>
        <w:t>disputes of fact.  It is important to note that the applicants have sought to suppress the background to this matter by</w:t>
      </w:r>
      <w:r w:rsidR="001B6CE2">
        <w:rPr>
          <w:szCs w:val="24"/>
        </w:rPr>
        <w:t xml:space="preserve"> simply</w:t>
      </w:r>
      <w:r w:rsidR="000D18D5" w:rsidRPr="00954E10">
        <w:rPr>
          <w:szCs w:val="24"/>
        </w:rPr>
        <w:t xml:space="preserve"> asserting that they are the registered owners of the mining claims in dispute.  The applicants contend forcefully that they are the title holders in respect of the mining claims.  The entire background</w:t>
      </w:r>
      <w:r w:rsidR="00F86B3B">
        <w:rPr>
          <w:szCs w:val="24"/>
        </w:rPr>
        <w:t xml:space="preserve"> in this matter</w:t>
      </w:r>
      <w:r w:rsidR="000D18D5" w:rsidRPr="00954E10">
        <w:rPr>
          <w:szCs w:val="24"/>
        </w:rPr>
        <w:t xml:space="preserve"> must</w:t>
      </w:r>
      <w:r w:rsidR="00F86B3B">
        <w:rPr>
          <w:szCs w:val="24"/>
        </w:rPr>
        <w:t>,</w:t>
      </w:r>
      <w:r w:rsidR="00954E10" w:rsidRPr="00954E10">
        <w:rPr>
          <w:szCs w:val="24"/>
        </w:rPr>
        <w:t xml:space="preserve"> </w:t>
      </w:r>
      <w:r w:rsidR="000D18D5" w:rsidRPr="00954E10">
        <w:rPr>
          <w:szCs w:val="24"/>
        </w:rPr>
        <w:t>in my view</w:t>
      </w:r>
      <w:r w:rsidR="00F86B3B">
        <w:rPr>
          <w:szCs w:val="24"/>
        </w:rPr>
        <w:t xml:space="preserve">, be taken into account in deciding whether this is an appropriate case to grant the order sought. </w:t>
      </w:r>
      <w:r w:rsidR="000D18D5" w:rsidRPr="00954E10">
        <w:rPr>
          <w:szCs w:val="24"/>
        </w:rPr>
        <w:t xml:space="preserve">  I reiterate that there is a material dispute of fact, which is not capable of resolution </w:t>
      </w:r>
      <w:r w:rsidR="00954E10" w:rsidRPr="00954E10">
        <w:rPr>
          <w:szCs w:val="24"/>
        </w:rPr>
        <w:t xml:space="preserve">on </w:t>
      </w:r>
      <w:r w:rsidR="000D18D5" w:rsidRPr="00954E10">
        <w:rPr>
          <w:szCs w:val="24"/>
        </w:rPr>
        <w:t>the papers.  In the circumstances, the</w:t>
      </w:r>
      <w:r w:rsidR="00F86B3B">
        <w:rPr>
          <w:szCs w:val="24"/>
        </w:rPr>
        <w:t xml:space="preserve"> last two preliminary points</w:t>
      </w:r>
      <w:r w:rsidR="000D18D5" w:rsidRPr="00954E10">
        <w:rPr>
          <w:szCs w:val="24"/>
        </w:rPr>
        <w:t xml:space="preserve"> referred to in this judgment are upheld.</w:t>
      </w:r>
    </w:p>
    <w:p w:rsidR="000D18D5" w:rsidRPr="00954E10" w:rsidRDefault="000D18D5" w:rsidP="00954E10">
      <w:pPr>
        <w:jc w:val="both"/>
        <w:rPr>
          <w:szCs w:val="24"/>
        </w:rPr>
      </w:pPr>
      <w:r w:rsidRPr="00954E10">
        <w:rPr>
          <w:szCs w:val="24"/>
        </w:rPr>
        <w:tab/>
        <w:t xml:space="preserve">Accordingly, and </w:t>
      </w:r>
      <w:r w:rsidR="00903851">
        <w:rPr>
          <w:szCs w:val="24"/>
        </w:rPr>
        <w:t>i</w:t>
      </w:r>
      <w:r w:rsidRPr="00954E10">
        <w:rPr>
          <w:szCs w:val="24"/>
        </w:rPr>
        <w:t>n th</w:t>
      </w:r>
      <w:r w:rsidR="00903851">
        <w:rPr>
          <w:szCs w:val="24"/>
        </w:rPr>
        <w:t>e result, the application</w:t>
      </w:r>
      <w:r w:rsidRPr="00954E10">
        <w:rPr>
          <w:szCs w:val="24"/>
        </w:rPr>
        <w:t xml:space="preserve"> is hereby dismissed with costs.</w:t>
      </w:r>
    </w:p>
    <w:p w:rsidR="000D18D5" w:rsidRPr="00954E10" w:rsidRDefault="000D18D5" w:rsidP="00954E10">
      <w:pPr>
        <w:jc w:val="both"/>
        <w:rPr>
          <w:szCs w:val="24"/>
        </w:rPr>
      </w:pPr>
    </w:p>
    <w:p w:rsidR="000D18D5" w:rsidRPr="00954E10" w:rsidRDefault="000D18D5" w:rsidP="00954E10">
      <w:pPr>
        <w:jc w:val="both"/>
        <w:rPr>
          <w:szCs w:val="24"/>
        </w:rPr>
      </w:pPr>
    </w:p>
    <w:p w:rsidR="000D18D5" w:rsidRPr="00954E10" w:rsidRDefault="000D18D5" w:rsidP="00954E10">
      <w:pPr>
        <w:pStyle w:val="NoSpacing"/>
        <w:jc w:val="both"/>
        <w:rPr>
          <w:szCs w:val="24"/>
        </w:rPr>
      </w:pPr>
      <w:r w:rsidRPr="00954E10">
        <w:rPr>
          <w:i/>
          <w:szCs w:val="24"/>
        </w:rPr>
        <w:lastRenderedPageBreak/>
        <w:t>Tanaka Law Chambers</w:t>
      </w:r>
      <w:r w:rsidRPr="00954E10">
        <w:rPr>
          <w:szCs w:val="24"/>
        </w:rPr>
        <w:t>, applicants’ legal practitioners</w:t>
      </w:r>
    </w:p>
    <w:p w:rsidR="000D18D5" w:rsidRDefault="000D18D5" w:rsidP="00954E10">
      <w:pPr>
        <w:pStyle w:val="NoSpacing"/>
        <w:jc w:val="both"/>
        <w:rPr>
          <w:szCs w:val="24"/>
        </w:rPr>
      </w:pPr>
      <w:proofErr w:type="spellStart"/>
      <w:r w:rsidRPr="00954E10">
        <w:rPr>
          <w:i/>
          <w:szCs w:val="24"/>
        </w:rPr>
        <w:t>Mathonsi</w:t>
      </w:r>
      <w:proofErr w:type="spellEnd"/>
      <w:r w:rsidRPr="00954E10">
        <w:rPr>
          <w:i/>
          <w:szCs w:val="24"/>
        </w:rPr>
        <w:t xml:space="preserve"> </w:t>
      </w:r>
      <w:proofErr w:type="spellStart"/>
      <w:r w:rsidRPr="00954E10">
        <w:rPr>
          <w:i/>
          <w:szCs w:val="24"/>
        </w:rPr>
        <w:t>Ncube</w:t>
      </w:r>
      <w:proofErr w:type="spellEnd"/>
      <w:r w:rsidRPr="00954E10">
        <w:rPr>
          <w:i/>
          <w:szCs w:val="24"/>
        </w:rPr>
        <w:t xml:space="preserve"> Law Chambers</w:t>
      </w:r>
      <w:r w:rsidRPr="00954E10">
        <w:rPr>
          <w:szCs w:val="24"/>
        </w:rPr>
        <w:t xml:space="preserve"> </w:t>
      </w:r>
      <w:r w:rsidR="00450C49">
        <w:rPr>
          <w:szCs w:val="24"/>
        </w:rPr>
        <w:t>1</w:t>
      </w:r>
      <w:r w:rsidR="00450C49" w:rsidRPr="00450C49">
        <w:rPr>
          <w:szCs w:val="24"/>
          <w:vertAlign w:val="superscript"/>
        </w:rPr>
        <w:t>st</w:t>
      </w:r>
      <w:r w:rsidR="00450C49">
        <w:rPr>
          <w:szCs w:val="24"/>
        </w:rPr>
        <w:t xml:space="preserve"> to 9</w:t>
      </w:r>
      <w:r w:rsidR="00450C49" w:rsidRPr="00450C49">
        <w:rPr>
          <w:szCs w:val="24"/>
          <w:vertAlign w:val="superscript"/>
        </w:rPr>
        <w:t>th</w:t>
      </w:r>
      <w:r w:rsidR="00450C49">
        <w:rPr>
          <w:szCs w:val="24"/>
        </w:rPr>
        <w:t xml:space="preserve"> respondent</w:t>
      </w:r>
      <w:r w:rsidRPr="00954E10">
        <w:rPr>
          <w:szCs w:val="24"/>
        </w:rPr>
        <w:t>s</w:t>
      </w:r>
      <w:r w:rsidR="00450C49">
        <w:rPr>
          <w:szCs w:val="24"/>
        </w:rPr>
        <w:t>’</w:t>
      </w:r>
      <w:r w:rsidRPr="00954E10">
        <w:rPr>
          <w:szCs w:val="24"/>
        </w:rPr>
        <w:t xml:space="preserve"> legal practitioners</w:t>
      </w:r>
    </w:p>
    <w:p w:rsidR="00450C49" w:rsidRPr="00954E10" w:rsidRDefault="00450C49" w:rsidP="00954E10">
      <w:pPr>
        <w:pStyle w:val="NoSpacing"/>
        <w:jc w:val="both"/>
        <w:rPr>
          <w:szCs w:val="24"/>
        </w:rPr>
      </w:pPr>
      <w:r w:rsidRPr="00450C49">
        <w:rPr>
          <w:i/>
          <w:szCs w:val="24"/>
        </w:rPr>
        <w:t>Civil Division of the Attorney General’s Office</w:t>
      </w:r>
      <w:r>
        <w:rPr>
          <w:szCs w:val="24"/>
        </w:rPr>
        <w:t>, 10</w:t>
      </w:r>
      <w:r w:rsidRPr="00450C49">
        <w:rPr>
          <w:szCs w:val="24"/>
          <w:vertAlign w:val="superscript"/>
        </w:rPr>
        <w:t>th</w:t>
      </w:r>
      <w:r>
        <w:rPr>
          <w:szCs w:val="24"/>
        </w:rPr>
        <w:t xml:space="preserve"> to 13</w:t>
      </w:r>
      <w:r w:rsidRPr="00450C49">
        <w:rPr>
          <w:szCs w:val="24"/>
          <w:vertAlign w:val="superscript"/>
        </w:rPr>
        <w:t>th</w:t>
      </w:r>
      <w:r>
        <w:rPr>
          <w:szCs w:val="24"/>
        </w:rPr>
        <w:t xml:space="preserve"> respondents’ legal practitioners</w:t>
      </w:r>
    </w:p>
    <w:sectPr w:rsidR="00450C49" w:rsidRPr="00954E10"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04A" w:rsidRDefault="003B204A" w:rsidP="00434D7B">
      <w:pPr>
        <w:spacing w:before="0" w:after="0" w:line="240" w:lineRule="auto"/>
      </w:pPr>
      <w:r>
        <w:separator/>
      </w:r>
    </w:p>
  </w:endnote>
  <w:endnote w:type="continuationSeparator" w:id="1">
    <w:p w:rsidR="003B204A" w:rsidRDefault="003B204A" w:rsidP="00434D7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04A" w:rsidRDefault="003B204A" w:rsidP="00434D7B">
      <w:pPr>
        <w:spacing w:before="0" w:after="0" w:line="240" w:lineRule="auto"/>
      </w:pPr>
      <w:r>
        <w:separator/>
      </w:r>
    </w:p>
  </w:footnote>
  <w:footnote w:type="continuationSeparator" w:id="1">
    <w:p w:rsidR="003B204A" w:rsidRDefault="003B204A" w:rsidP="00434D7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02115"/>
      <w:docPartObj>
        <w:docPartGallery w:val="Page Numbers (Top of Page)"/>
        <w:docPartUnique/>
      </w:docPartObj>
    </w:sdtPr>
    <w:sdtContent>
      <w:p w:rsidR="001068BA" w:rsidRDefault="005D50CF">
        <w:pPr>
          <w:pStyle w:val="Header"/>
          <w:jc w:val="right"/>
        </w:pPr>
        <w:fldSimple w:instr=" PAGE   \* MERGEFORMAT ">
          <w:r w:rsidR="002637C6">
            <w:rPr>
              <w:noProof/>
            </w:rPr>
            <w:t>5</w:t>
          </w:r>
        </w:fldSimple>
      </w:p>
      <w:p w:rsidR="001068BA" w:rsidRDefault="001068BA" w:rsidP="001068BA">
        <w:pPr>
          <w:pStyle w:val="NoSpacing"/>
          <w:ind w:left="7920"/>
        </w:pPr>
        <w:r>
          <w:t xml:space="preserve">       HB 47/20</w:t>
        </w:r>
      </w:p>
      <w:p w:rsidR="001068BA" w:rsidRDefault="001068BA" w:rsidP="001068BA">
        <w:pPr>
          <w:pStyle w:val="NoSpacing"/>
          <w:ind w:left="7920"/>
        </w:pPr>
        <w:r>
          <w:t xml:space="preserve">     HC 325/20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979C9"/>
    <w:multiLevelType w:val="hybridMultilevel"/>
    <w:tmpl w:val="0AFA605C"/>
    <w:lvl w:ilvl="0" w:tplc="9A24F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6E0B36"/>
    <w:multiLevelType w:val="hybridMultilevel"/>
    <w:tmpl w:val="02A2398A"/>
    <w:lvl w:ilvl="0" w:tplc="37345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34D7B"/>
    <w:rsid w:val="0007749D"/>
    <w:rsid w:val="000D18D5"/>
    <w:rsid w:val="001068BA"/>
    <w:rsid w:val="001162C4"/>
    <w:rsid w:val="001219B3"/>
    <w:rsid w:val="0012439F"/>
    <w:rsid w:val="00150BE4"/>
    <w:rsid w:val="001B6CE2"/>
    <w:rsid w:val="001D126B"/>
    <w:rsid w:val="001E75EC"/>
    <w:rsid w:val="002637C6"/>
    <w:rsid w:val="00292620"/>
    <w:rsid w:val="002C7F8A"/>
    <w:rsid w:val="003A3365"/>
    <w:rsid w:val="003B204A"/>
    <w:rsid w:val="003C35A6"/>
    <w:rsid w:val="003D4DCF"/>
    <w:rsid w:val="003E5BAA"/>
    <w:rsid w:val="003F6F24"/>
    <w:rsid w:val="00434D7B"/>
    <w:rsid w:val="00450C49"/>
    <w:rsid w:val="00472921"/>
    <w:rsid w:val="00477B02"/>
    <w:rsid w:val="004A3F0B"/>
    <w:rsid w:val="004E29B0"/>
    <w:rsid w:val="00516EC3"/>
    <w:rsid w:val="00517AB3"/>
    <w:rsid w:val="00532DD3"/>
    <w:rsid w:val="0054317D"/>
    <w:rsid w:val="005B2104"/>
    <w:rsid w:val="005B4594"/>
    <w:rsid w:val="005D50CF"/>
    <w:rsid w:val="005E7909"/>
    <w:rsid w:val="00611DB6"/>
    <w:rsid w:val="00647619"/>
    <w:rsid w:val="0068662E"/>
    <w:rsid w:val="006A03C9"/>
    <w:rsid w:val="006B2B69"/>
    <w:rsid w:val="00701C30"/>
    <w:rsid w:val="0070365B"/>
    <w:rsid w:val="007058D0"/>
    <w:rsid w:val="0076091F"/>
    <w:rsid w:val="007B446D"/>
    <w:rsid w:val="007B49A6"/>
    <w:rsid w:val="007D0B26"/>
    <w:rsid w:val="007D2790"/>
    <w:rsid w:val="008675F9"/>
    <w:rsid w:val="008A7672"/>
    <w:rsid w:val="008C3209"/>
    <w:rsid w:val="008E1912"/>
    <w:rsid w:val="008F28CE"/>
    <w:rsid w:val="00903851"/>
    <w:rsid w:val="00917538"/>
    <w:rsid w:val="00933A63"/>
    <w:rsid w:val="00954E10"/>
    <w:rsid w:val="00961BB1"/>
    <w:rsid w:val="009C5FE6"/>
    <w:rsid w:val="009E5C1A"/>
    <w:rsid w:val="00A1366B"/>
    <w:rsid w:val="00A50BC8"/>
    <w:rsid w:val="00A77C72"/>
    <w:rsid w:val="00A832B7"/>
    <w:rsid w:val="00A8389E"/>
    <w:rsid w:val="00AA33C5"/>
    <w:rsid w:val="00AB4D42"/>
    <w:rsid w:val="00AB4E1F"/>
    <w:rsid w:val="00B57DC2"/>
    <w:rsid w:val="00BA358F"/>
    <w:rsid w:val="00BE47C5"/>
    <w:rsid w:val="00C10BCB"/>
    <w:rsid w:val="00C61900"/>
    <w:rsid w:val="00C62980"/>
    <w:rsid w:val="00C73C29"/>
    <w:rsid w:val="00C8586A"/>
    <w:rsid w:val="00C97ACE"/>
    <w:rsid w:val="00D20B4C"/>
    <w:rsid w:val="00D237DC"/>
    <w:rsid w:val="00D915AE"/>
    <w:rsid w:val="00DC148E"/>
    <w:rsid w:val="00E10C27"/>
    <w:rsid w:val="00E749BB"/>
    <w:rsid w:val="00F24C39"/>
    <w:rsid w:val="00F86B3B"/>
    <w:rsid w:val="00FB1D7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434D7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34D7B"/>
    <w:rPr>
      <w:rFonts w:ascii="Times New Roman" w:hAnsi="Times New Roman"/>
      <w:sz w:val="24"/>
    </w:rPr>
  </w:style>
  <w:style w:type="paragraph" w:styleId="Footer">
    <w:name w:val="footer"/>
    <w:basedOn w:val="Normal"/>
    <w:link w:val="FooterChar"/>
    <w:uiPriority w:val="99"/>
    <w:semiHidden/>
    <w:unhideWhenUsed/>
    <w:rsid w:val="00434D7B"/>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434D7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6</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47</cp:revision>
  <cp:lastPrinted>2020-03-11T09:17:00Z</cp:lastPrinted>
  <dcterms:created xsi:type="dcterms:W3CDTF">2020-03-10T09:23:00Z</dcterms:created>
  <dcterms:modified xsi:type="dcterms:W3CDTF">2020-03-11T12:25:00Z</dcterms:modified>
</cp:coreProperties>
</file>