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D3" w:rsidRPr="00D02673" w:rsidRDefault="001E0CD3" w:rsidP="00D62B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bookmarkStart w:id="0" w:name="_GoBack"/>
      <w:bookmarkEnd w:id="0"/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SIFELANI HLAHLENI </w:t>
      </w:r>
    </w:p>
    <w:p w:rsidR="001E0CD3" w:rsidRPr="00D02673" w:rsidRDefault="002C65D4" w:rsidP="00D62B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v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ersus</w:t>
      </w:r>
    </w:p>
    <w:p w:rsidR="001E0CD3" w:rsidRPr="00D02673" w:rsidRDefault="001E0CD3" w:rsidP="00D62B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ESTATE LATE JOHN ZEBURONI HLAHLENI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br/>
        <w:t>(Herein represented by PRISCILLA MAZODZE</w:t>
      </w:r>
      <w:r w:rsidR="002C65D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)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br/>
        <w:t>WE4/MISC27/87 and DRH 12/90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</w:p>
    <w:p w:rsidR="001E0CD3" w:rsidRPr="00D02673" w:rsidRDefault="003349EA" w:rsidP="00D62B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nd </w:t>
      </w:r>
    </w:p>
    <w:p w:rsidR="001E0CD3" w:rsidRPr="00D02673" w:rsidRDefault="001E0CD3" w:rsidP="00D62B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ESTATE LATE PRISCILLA MAZODZE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br/>
        <w:t xml:space="preserve">Herein represented by the Executrix Rosemary Hlahleni DR461/24 </w:t>
      </w:r>
    </w:p>
    <w:p w:rsidR="001E0CD3" w:rsidRPr="00D02673" w:rsidRDefault="003349EA" w:rsidP="00D62B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nd </w:t>
      </w:r>
    </w:p>
    <w:p w:rsidR="001E0CD3" w:rsidRPr="00D02673" w:rsidRDefault="001E0CD3" w:rsidP="00D62B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ROSEMARY HLAHLENI </w:t>
      </w:r>
    </w:p>
    <w:p w:rsidR="001E0CD3" w:rsidRPr="00D02673" w:rsidRDefault="003349EA" w:rsidP="00D62B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nd </w:t>
      </w:r>
    </w:p>
    <w:p w:rsidR="001E0CD3" w:rsidRPr="00D02673" w:rsidRDefault="001E0CD3" w:rsidP="00D62B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GETRUDE HLAHLENI </w:t>
      </w:r>
    </w:p>
    <w:p w:rsidR="001E0CD3" w:rsidRPr="00D02673" w:rsidRDefault="003349EA" w:rsidP="00D62B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nd </w:t>
      </w:r>
    </w:p>
    <w:p w:rsidR="001E0CD3" w:rsidRPr="00D02673" w:rsidRDefault="001E0CD3" w:rsidP="00D62B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MASTER OF THE HIGH COURT (N.O) </w:t>
      </w:r>
    </w:p>
    <w:p w:rsidR="001E0CD3" w:rsidRPr="00D02673" w:rsidRDefault="003349EA" w:rsidP="00D62B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nd</w:t>
      </w:r>
    </w:p>
    <w:p w:rsidR="001E0CD3" w:rsidRPr="00D02673" w:rsidRDefault="001E0CD3" w:rsidP="00D62B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EPWORTH LOCAL BOARD</w:t>
      </w:r>
    </w:p>
    <w:p w:rsidR="001E0CD3" w:rsidRDefault="001E0CD3" w:rsidP="00D62B3D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</w:p>
    <w:p w:rsidR="00D62B3D" w:rsidRPr="00D02673" w:rsidRDefault="00D62B3D" w:rsidP="00D62B3D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</w:p>
    <w:p w:rsidR="001E0CD3" w:rsidRPr="00D02673" w:rsidRDefault="001E0CD3" w:rsidP="00D62B3D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HIGH COURT OF ZIMBABWE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br/>
      </w:r>
      <w:r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en-ZW" w:eastAsia="en-ZW"/>
          <w14:ligatures w14:val="none"/>
        </w:rPr>
        <w:t>TSANGA J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br/>
      </w:r>
      <w:r w:rsidR="00D62B3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HARARE; </w:t>
      </w:r>
      <w:r w:rsidR="002318CD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2</w:t>
      </w:r>
      <w:r w:rsidR="008075DB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6</w:t>
      </w:r>
      <w:r w:rsidR="002318CD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June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2025</w:t>
      </w:r>
    </w:p>
    <w:p w:rsidR="001E0CD3" w:rsidRDefault="001E0CD3" w:rsidP="00D62B3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</w:p>
    <w:p w:rsidR="00D62B3D" w:rsidRPr="00D02673" w:rsidRDefault="00D62B3D" w:rsidP="00D62B3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</w:p>
    <w:p w:rsidR="001E0CD3" w:rsidRPr="00D62B3D" w:rsidRDefault="001E0CD3" w:rsidP="00D62B3D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62B3D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>Unopposed Application</w:t>
      </w:r>
    </w:p>
    <w:p w:rsidR="001E0CD3" w:rsidRDefault="001E0CD3" w:rsidP="00D62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</w:p>
    <w:p w:rsidR="00D62B3D" w:rsidRPr="00D02673" w:rsidRDefault="00D62B3D" w:rsidP="00D62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</w:p>
    <w:p w:rsidR="00260E80" w:rsidRPr="00D02673" w:rsidRDefault="005A07C9" w:rsidP="00D62B3D">
      <w:pPr>
        <w:spacing w:after="0"/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>P Mashava</w:t>
      </w:r>
      <w:r w:rsidR="00D62B3D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, </w:t>
      </w:r>
      <w:r w:rsidR="00260E80" w:rsidRPr="00D62B3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for</w:t>
      </w:r>
      <w:r w:rsidR="00D62B3D" w:rsidRPr="00D62B3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the</w:t>
      </w:r>
      <w:r w:rsidR="00D62B3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a</w:t>
      </w:r>
      <w:r w:rsidR="00260E80" w:rsidRPr="00D62B3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pplicant</w:t>
      </w:r>
      <w:r w:rsidR="00260E80" w:rsidRPr="00D02673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br/>
      </w:r>
      <w:r w:rsidR="00260E80" w:rsidRPr="00D62B3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Respondents in default</w:t>
      </w:r>
    </w:p>
    <w:p w:rsidR="00260E80" w:rsidRDefault="00260E80" w:rsidP="00D62B3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</w:p>
    <w:p w:rsidR="00D62B3D" w:rsidRPr="00D02673" w:rsidRDefault="00D62B3D" w:rsidP="00D62B3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</w:p>
    <w:p w:rsidR="001E0CD3" w:rsidRDefault="00D62B3D" w:rsidP="00D62B3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ab/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TSANGA J</w:t>
      </w:r>
      <w:r w:rsidR="003349E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:</w:t>
      </w:r>
    </w:p>
    <w:p w:rsidR="00D62B3D" w:rsidRDefault="00D62B3D" w:rsidP="00D62B3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</w:p>
    <w:p w:rsidR="00D62B3D" w:rsidRPr="00D02673" w:rsidRDefault="00D62B3D" w:rsidP="00D62B3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</w:p>
    <w:p w:rsidR="009B1DBD" w:rsidRPr="00D02673" w:rsidRDefault="00D62B3D" w:rsidP="00D62B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ab/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Applicant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Sifelani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Hlahleni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sought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default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judgment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 motion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court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on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15</w:t>
      </w:r>
      <w:r w:rsidR="001E0CD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vertAlign w:val="superscript"/>
          <w:lang w:val="en-ZW" w:eastAsia="en-ZW"/>
          <w14:ligatures w14:val="none"/>
        </w:rPr>
        <w:t>th</w:t>
      </w:r>
      <w:r w:rsidR="009B1DBD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of May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9B1DBD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2025 for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C33CC2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 declaratur in terms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C33CC2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of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C33CC2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C33CC2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14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of</w:t>
      </w:r>
      <w:r w:rsidR="00C33CC2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C33CC2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High Court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C33CC2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Act.</w:t>
      </w:r>
      <w:r w:rsidR="002318CD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I dismissed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 application as</w:t>
      </w:r>
      <w:r w:rsidR="002318CD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lacking merit</w:t>
      </w:r>
      <w:r w:rsidR="002318CD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.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9B1DBD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9B1DBD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declaratur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9B1DBD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sought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the cession of stand number 633 Makomo, Epworth, measuring 6000 square meters in favour of the late Priscilla Mazodze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declared null and void. She also wanted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the Epworth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Local Board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as 6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respondent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herein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to restore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name of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her late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father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Zeburoni Hlahleni in its records as the owner of stand. Further the applicant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wanted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Master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to reopen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estate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so that it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can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3068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dealt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acco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rdance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general law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which the applicant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belie</w:t>
      </w:r>
      <w:r w:rsidR="00C33CC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ves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ought to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have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been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applied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instead of customary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law </w:t>
      </w:r>
      <w:r w:rsidR="008A3068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against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which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BD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administered. </w:t>
      </w:r>
    </w:p>
    <w:p w:rsidR="00C33CC2" w:rsidRPr="00D02673" w:rsidRDefault="009B1DBD" w:rsidP="00D62B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Her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description of the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factual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context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3068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against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which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she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bringing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application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0AE8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0AE8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10267E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0AE8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follows: </w:t>
      </w:r>
    </w:p>
    <w:p w:rsidR="001629E4" w:rsidRPr="00D02673" w:rsidRDefault="00D62B3D" w:rsidP="00D62B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ab/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Applicant is</w:t>
      </w:r>
      <w:r w:rsidR="00FC0D0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the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daughter to </w:t>
      </w:r>
      <w:r w:rsidR="004470E2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 l</w:t>
      </w:r>
      <w:r w:rsidR="00FC0D0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ate John Zeburoni Hlahleni,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who died intestate on 01 April 1985.</w:t>
      </w:r>
      <w:r w:rsidR="004470E2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At time of his death, he is said to have had an existing civil marriage with the applicant’s mother, Flora Hlahleni</w:t>
      </w:r>
      <w:r w:rsidR="004470E2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having married her on the 3</w:t>
      </w:r>
      <w:r w:rsidR="00FC0D0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vertAlign w:val="superscript"/>
          <w:lang w:val="en-ZW" w:eastAsia="en-ZW"/>
          <w14:ligatures w14:val="none"/>
        </w:rPr>
        <w:t>rd</w:t>
      </w:r>
      <w:r w:rsidR="00FC0D0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of July 1976. Prior to that</w:t>
      </w:r>
      <w:r w:rsidR="004470E2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her father had been married customarily to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one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Lilian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Jackson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with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whom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he had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four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children</w:t>
      </w:r>
      <w:r w:rsidR="004470E2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namely</w:t>
      </w:r>
      <w:r w:rsidR="004470E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Priscilla Mazodze (female), Getrude Hlahleni (female), Rosemary Hlahleni (female) and Bigboy Hlahleni (male).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Applicant herself was born in 1975 and was 10 years old at the time of her father’s death. </w:t>
      </w:r>
      <w:r w:rsidR="00FC0D01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The Priscilla Mazodze and Bigboy have since passed away although applicant does not</w:t>
      </w:r>
      <w:r w:rsidR="004470E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0D01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state when they passed</w:t>
      </w:r>
      <w:r w:rsidR="004470E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0D01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away. </w:t>
      </w:r>
    </w:p>
    <w:p w:rsidR="003827B6" w:rsidRPr="00D02673" w:rsidRDefault="003349EA" w:rsidP="00D62B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Her complaint wa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 that when her father died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in 1985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 his three daughters, being the second to the fourth respondent</w:t>
      </w:r>
      <w:r w:rsidR="00FC0D0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 this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matter</w:t>
      </w:r>
      <w:r w:rsidR="004470E2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violently expelled Flora Hlahleni and </w:t>
      </w:r>
      <w:r w:rsidR="00B75AA7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her from the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matrimonial property. They are also said to have fraudulently represented to the Master</w:t>
      </w:r>
      <w:r w:rsidR="00B75AA7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that at the time of his death, </w:t>
      </w:r>
      <w:r w:rsidR="00B75AA7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the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late John Zeburoni H</w:t>
      </w:r>
      <w:r w:rsidR="004470E2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lahleni had separated with the l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ate Flora Hlahleni. As a result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thereof</w:t>
      </w:r>
      <w:r w:rsidR="004470E2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Applicant </w:t>
      </w:r>
      <w:r w:rsidR="00B75AA7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and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her mother 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were completely excluded </w:t>
      </w: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beneficiaries </w:t>
      </w: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the Estate Late John Zeburoni Hlahleni, </w:t>
      </w: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particular to 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certa</w:t>
      </w:r>
      <w:r w:rsidR="004470E2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in immovable property known as Stand N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umber 633 Makomo, Epworth, measuring six thousand (6 000) square metres which belonged to</w:t>
      </w: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him. </w:t>
      </w:r>
      <w:r w:rsidR="00B75AA7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The property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registered in his name and he lived there with applicant’s mother and the children fr</w:t>
      </w:r>
      <w:r w:rsidR="00B75AA7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his earlier </w:t>
      </w:r>
      <w:r w:rsidR="008A3068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marriage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827B6" w:rsidRPr="00D02673" w:rsidRDefault="008A3068" w:rsidP="00D62B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She</w:t>
      </w:r>
      <w:r w:rsidR="003827B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also highlighted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the estate was registered and opened twice, first under WE4/MISC27/87 in term</w:t>
      </w:r>
      <w:r w:rsidR="003827B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s of African c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ustomary law where the immovable property was inherited by</w:t>
      </w:r>
      <w:r w:rsidR="00802FF9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late Priscilla Mazodze as the eldest 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child.</w:t>
      </w:r>
      <w:r w:rsidR="006E25A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The estate was registered for the second time under DRH 90/12 where 3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Respondent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02FF9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Rosemary Hlahleni 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was appointed Executor Dative and awarded the immovable property jointly in equal shares each</w:t>
      </w:r>
      <w:r w:rsidR="00802FF9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to herself and</w:t>
      </w:r>
      <w:r w:rsidR="000F2EFF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the 4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802FF9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Respondent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Gertrude Hahleni. </w:t>
      </w:r>
      <w:r w:rsidR="00B75AA7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Since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facts</w:t>
      </w:r>
      <w:r w:rsidR="000F2EFF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do no</w:t>
      </w:r>
      <w:r w:rsidR="006E25A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</w:t>
      </w:r>
      <w:r w:rsidR="00802FF9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when</w:t>
      </w:r>
      <w:r w:rsidR="000F2EFF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Priscilla Mazodze</w:t>
      </w:r>
      <w:r w:rsidR="00802FF9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000F2EFF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Bigboy</w:t>
      </w:r>
      <w:r w:rsidR="00802FF9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25A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died</w:t>
      </w:r>
      <w:r w:rsidR="00B75AA7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unclear</w:t>
      </w:r>
      <w:r w:rsidR="000F2EFF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under what</w:t>
      </w:r>
      <w:r w:rsidR="000F2EFF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circumstances</w:t>
      </w:r>
      <w:r w:rsidR="00802FF9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802FF9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estate</w:t>
      </w:r>
      <w:r w:rsidR="00802FF9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had</w:t>
      </w:r>
      <w:r w:rsidR="00802FF9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been</w:t>
      </w:r>
      <w:r w:rsidR="00802FF9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re-registered. </w:t>
      </w:r>
    </w:p>
    <w:p w:rsidR="00C33CC2" w:rsidRPr="00D02673" w:rsidRDefault="006E25A4" w:rsidP="00D62B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Her complaint wa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s that in both instances</w:t>
      </w:r>
      <w:r w:rsidR="00B75AA7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regarding the registration of the estate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marital status of the late John Zeburoni Hlahleni to </w:t>
      </w:r>
      <w:r w:rsidR="00B75AA7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the l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ate Flora Hlah</w:t>
      </w:r>
      <w:r w:rsidR="008A3068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eni and </w:t>
      </w:r>
      <w:r w:rsidR="005A206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her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beneficiary interest were not disclosed to 5</w:t>
      </w:r>
      <w:r w:rsidR="001629E4" w:rsidRPr="00D62B3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Respondent</w:t>
      </w:r>
      <w:r w:rsidR="00260D56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>, the Master,</w:t>
      </w:r>
      <w:r w:rsidR="001629E4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hence the alleged prejudice.</w:t>
      </w:r>
      <w:r w:rsidR="00C542A8"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95A34" w:rsidRPr="00D02673" w:rsidRDefault="00095A34" w:rsidP="00D62B3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Applicant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’s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mother died in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2013.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Applicant herself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in </w:t>
      </w:r>
      <w:r w:rsidR="00260D56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adult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years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had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settled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 Zambia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and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married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there.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It was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upon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return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to Zimbabwe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260D56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(she does not state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260D56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when)</w:t>
      </w:r>
      <w:r w:rsidR="002C65D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</w:t>
      </w:r>
      <w:r w:rsidR="00260D56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that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sa</w:t>
      </w:r>
      <w:r w:rsidR="006E25A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she enquired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what had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happened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to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29E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father’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estate and that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when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she had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lastRenderedPageBreak/>
        <w:t>discovered that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had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been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dealt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with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under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customary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law through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4C5A96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what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4C5A96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4C5A96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termed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4C5A96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4C5A96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misrepresentation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on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nature of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his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marriage. </w:t>
      </w:r>
    </w:p>
    <w:p w:rsidR="007F72C1" w:rsidRPr="00D02673" w:rsidRDefault="00095A34" w:rsidP="00D62B3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heads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of argument</w:t>
      </w:r>
      <w:r w:rsidR="005A206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</w:t>
      </w:r>
      <w:r w:rsidR="00D62B3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the a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pplicant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argued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that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the material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non-disclosure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of the marital status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of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 deceased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well 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exclusion of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applicant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827B6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herself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and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mother 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beneficiaries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fraudulent. It was said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to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have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resulted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application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of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improper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legal principles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to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estate. In essence,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applicant</w:t>
      </w:r>
      <w:r w:rsidR="005A206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’s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argument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that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customary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law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ought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not to have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been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applied. In making this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argument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reference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made to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 68G of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Administration of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Estates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Act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5A206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[</w:t>
      </w:r>
      <w:r w:rsidR="005A2064" w:rsidRPr="00D62B3D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>Chapter</w:t>
      </w:r>
      <w:r w:rsidR="00D62B3D" w:rsidRPr="00D62B3D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5A2064" w:rsidRPr="00D62B3D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>6:01</w:t>
      </w:r>
      <w:r w:rsidR="005A206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]</w:t>
      </w:r>
      <w:r w:rsidR="003827B6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</w:t>
      </w:r>
      <w:r w:rsidR="005A206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which is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to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effect that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general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law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applies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to a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person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who was married in accordance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with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Marriage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Act.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second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argument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was that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estate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had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been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opened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without a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v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court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order. </w:t>
      </w:r>
      <w:r w:rsidR="006E25A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Another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argument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put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forward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that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had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Master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summoned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all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relatives,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applicant’s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mother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widow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would have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had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priority in appointment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executrix of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estate.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 actions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winding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up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estate in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1987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and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subsequently in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2012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were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argued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to be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null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and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void. 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for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quest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for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declaratur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applicant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argued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that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matter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not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academic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and that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had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real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and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substantial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interest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having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been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deprived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of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her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rightful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inheritance 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beneficiary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for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over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forty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years. </w:t>
      </w:r>
    </w:p>
    <w:p w:rsidR="007F72C1" w:rsidRPr="00D02673" w:rsidRDefault="007F72C1" w:rsidP="00D62B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ZW" w:eastAsia="en-ZW"/>
          <w14:ligatures w14:val="none"/>
        </w:rPr>
        <w:t xml:space="preserve">The </w:t>
      </w:r>
      <w:r w:rsidR="00D62B3D" w:rsidRPr="00D02673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val="en-ZW" w:eastAsia="en-ZW"/>
          <w14:ligatures w14:val="none"/>
        </w:rPr>
        <w:t>Legal Position</w:t>
      </w:r>
    </w:p>
    <w:p w:rsidR="007F72C1" w:rsidRPr="00D02673" w:rsidRDefault="00C542A8" w:rsidP="00D62B3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Master deemed himself </w:t>
      </w:r>
      <w:r w:rsidRPr="00D0267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functus officio</w:t>
      </w:r>
      <w:r w:rsidRPr="00D02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referred applicant to the court. Rosemary and Gertrude Hlahleni did not respond to her application. Having heard the applicant’s arguments,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 dismissed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application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with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costs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for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following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F72C1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reasons.</w:t>
      </w:r>
    </w:p>
    <w:p w:rsidR="00794B33" w:rsidRPr="00D02673" w:rsidRDefault="00794B33" w:rsidP="00D62B3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Firstly</w:t>
      </w:r>
      <w:r w:rsidR="00C542A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reference to the provisions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of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 68</w:t>
      </w:r>
      <w:r w:rsidR="005A206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G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of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C542A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dministration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of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C542A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states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Act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C542A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[</w:t>
      </w:r>
      <w:r w:rsidR="00C542A8" w:rsidRPr="00D62B3D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>Chapter 6:01</w:t>
      </w:r>
      <w:r w:rsidR="00C542A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]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which</w:t>
      </w:r>
      <w:r w:rsidR="002C65D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D31A7B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only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came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into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effect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on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1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vertAlign w:val="superscript"/>
          <w:lang w:val="en-ZW" w:eastAsia="en-ZW"/>
          <w14:ligatures w14:val="none"/>
        </w:rPr>
        <w:t>st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of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November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1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99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7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misplaced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that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law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did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not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operate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retrospectively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.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critical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question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resolutive of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matter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the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law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applicable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to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estate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1985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when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deceased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passed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away.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Materially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1985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how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estates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of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Africans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married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under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general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law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were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to be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dealt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with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captured in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13 of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then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African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Marriages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Act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(</w:t>
      </w:r>
      <w:r w:rsidR="00C542A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which much 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later</w:t>
      </w:r>
      <w:r w:rsidR="003349E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C542A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became</w:t>
      </w:r>
      <w:r w:rsidR="002C65D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D31A7B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the </w:t>
      </w:r>
      <w:r w:rsidR="00C542A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Customary Marriages Act </w:t>
      </w:r>
      <w:r w:rsidR="00D62B3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   </w:t>
      </w:r>
      <w:r w:rsidR="00C542A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[</w:t>
      </w:r>
      <w:r w:rsidR="00C542A8" w:rsidRPr="00D62B3D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>C</w:t>
      </w:r>
      <w:r w:rsidR="008C6F6A" w:rsidRPr="00D62B3D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>hapte</w:t>
      </w:r>
      <w:r w:rsidR="00C542A8" w:rsidRPr="00D62B3D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>r 5:07</w:t>
      </w:r>
      <w:r w:rsidR="00C542A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]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which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couched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D62B3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follows</w:t>
      </w:r>
      <w:r w:rsidR="002E44E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;</w:t>
      </w:r>
    </w:p>
    <w:p w:rsidR="00794B33" w:rsidRPr="00D62B3D" w:rsidRDefault="00794B33" w:rsidP="00D62B3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</w:pPr>
      <w:r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t>Marriage under the</w:t>
      </w:r>
      <w:r w:rsidR="0010267E"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t>Marriage</w:t>
      </w:r>
      <w:r w:rsidR="0010267E"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t>Act</w:t>
      </w:r>
      <w:r w:rsidR="0010267E"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t>not to</w:t>
      </w:r>
      <w:r w:rsidR="0010267E"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t>affect</w:t>
      </w:r>
      <w:r w:rsidR="0010267E"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t>customary law</w:t>
      </w:r>
      <w:r w:rsidR="0010267E"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t>as to</w:t>
      </w:r>
      <w:r w:rsidR="0010267E"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t>property</w:t>
      </w:r>
      <w:r w:rsidR="008C6F6A" w:rsidRPr="00D62B3D">
        <w:rPr>
          <w:rFonts w:ascii="Times New Roman" w:eastAsia="Times New Roman" w:hAnsi="Times New Roman" w:cs="Times New Roman"/>
          <w:b/>
          <w:color w:val="000000" w:themeColor="text1"/>
          <w:kern w:val="0"/>
          <w:szCs w:val="24"/>
          <w:lang w:val="en-ZW" w:eastAsia="en-ZW"/>
          <w14:ligatures w14:val="none"/>
        </w:rPr>
        <w:br/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“The solemnisation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of a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marriage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between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Africans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in terms of the Marriage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Act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shall not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affect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the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property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of </w:t>
      </w:r>
      <w:r w:rsidR="008A3068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the</w:t>
      </w:r>
      <w:r w:rsidR="00077C14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="008A3068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spouses,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which shall be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="008A3068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held,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may be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disposed of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and,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unless disposed of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by </w:t>
      </w:r>
      <w:r w:rsidR="008A3068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will,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shall devolve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according to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customary</w:t>
      </w:r>
      <w:r w:rsidR="0010267E"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 xml:space="preserve">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ZW" w:eastAsia="en-ZW"/>
          <w14:ligatures w14:val="none"/>
        </w:rPr>
        <w:t>law.”</w:t>
      </w:r>
    </w:p>
    <w:p w:rsidR="0010267E" w:rsidRPr="00D02673" w:rsidRDefault="00794B33" w:rsidP="00D62B3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Under customary law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at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time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widow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could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not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be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C542A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beneficiary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of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husband’s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estate</w:t>
      </w:r>
      <w:r w:rsidR="00C542A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if he died intestate. It wa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not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dispute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that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deceased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died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intestate</w:t>
      </w:r>
      <w:r w:rsidR="00C542A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or that the property was in his name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.</w:t>
      </w:r>
      <w:r w:rsidR="003349E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C542A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It</w:t>
      </w:r>
      <w:r w:rsidR="0079592C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was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also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not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dispute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that the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heir</w:t>
      </w:r>
      <w:r w:rsidR="0079592C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who inherited</w:t>
      </w:r>
      <w:r w:rsidR="003349E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oldest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child.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9592C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he heir at customary law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inherited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the property under general law</w:t>
      </w:r>
      <w:r w:rsidR="0079592C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in his individual</w:t>
      </w:r>
      <w:r w:rsidR="003349E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9592C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lastRenderedPageBreak/>
        <w:t>capacity</w:t>
      </w:r>
      <w:r w:rsidR="003349E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on the</w:t>
      </w:r>
      <w:r w:rsidR="0079592C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basis</w:t>
      </w:r>
      <w:r w:rsidR="003349E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9592C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that 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immovable property could not be disposed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of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under customary law</w:t>
      </w:r>
      <w:r w:rsidR="0079592C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. </w:t>
      </w:r>
      <w:r w:rsidR="00D31A7B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he underlying principle</w:t>
      </w:r>
      <w:r w:rsidR="002C65D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D31A7B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under customary law then was 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that a widow was not a deceased</w:t>
      </w:r>
      <w:r w:rsidR="00884A05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spouse’s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heir</w:t>
      </w:r>
      <w:r w:rsidR="0079592C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on intestacy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. </w:t>
      </w:r>
    </w:p>
    <w:p w:rsidR="00077C14" w:rsidRPr="00D02673" w:rsidRDefault="00794B33" w:rsidP="00D62B3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interpretation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of the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implications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of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Legal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ge of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ajority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ct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No15 of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1982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as it then was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in </w:t>
      </w:r>
      <w:r w:rsidR="003A7B43" w:rsidRPr="00D02673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Chihowa </w:t>
      </w:r>
      <w:r w:rsidR="003A7B43" w:rsidRPr="00D62B3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v</w:t>
      </w:r>
      <w:r w:rsidR="00077C14" w:rsidRPr="00D02673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>Mangwende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SC 84/87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was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that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 woman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who had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attained the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age of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majority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could inherit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fr</w:t>
      </w:r>
      <w:r w:rsidR="00884A05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 her intestate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father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as the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eldest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child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despite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preference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for inheritance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through the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male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line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under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customary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3A7B43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law.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This is what happened here</w:t>
      </w:r>
      <w:r w:rsidR="0079592C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a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t the time the estate was registered. There was no application of the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wrong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law </w:t>
      </w:r>
      <w:r w:rsidR="0079592C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at the time</w:t>
      </w:r>
      <w:r w:rsidR="003349E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9592C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even 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if the m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arriage that applicant’s mother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had was unde</w:t>
      </w:r>
      <w:r w:rsidR="0079592C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r general law</w:t>
      </w:r>
      <w:r w:rsidR="00D31A7B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. He </w:t>
      </w:r>
      <w:r w:rsidR="0079592C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had died</w:t>
      </w:r>
      <w:r w:rsidR="003349E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9592C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intestate.</w:t>
      </w:r>
    </w:p>
    <w:p w:rsidR="0010267E" w:rsidRPr="00D02673" w:rsidRDefault="00794B33" w:rsidP="00D62B3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 applicant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was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not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A3068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eldest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child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as she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herself 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rightly points out.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Moreover</w:t>
      </w:r>
      <w:r w:rsidR="00884A05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at the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time</w:t>
      </w:r>
      <w:r w:rsidR="00884A05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 an heir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inherited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immovable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property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in </w:t>
      </w:r>
      <w:r w:rsidR="00884A05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a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personal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capacity.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There was</w:t>
      </w:r>
      <w:r w:rsidR="00884A05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therefore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no illicit exclusion of the applicant</w:t>
      </w:r>
      <w:r w:rsidR="002C65D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or her mother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.</w:t>
      </w:r>
      <w:r w:rsidR="008551A0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Moreover, the applicant who was only ten years old at the time purported to speak on behalf of her mother</w:t>
      </w:r>
      <w:r w:rsidR="006955D7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as to what transpired</w:t>
      </w:r>
      <w:r w:rsidR="008551A0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. Her averments were largely hearsay.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6955D7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pplicant’s</w:t>
      </w:r>
      <w:r w:rsidR="000F2EFF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mother</w:t>
      </w:r>
      <w:r w:rsidR="003349E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BA699B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if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BA699B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aggrieved,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6955D7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could have a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pproached the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Master given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that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an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heir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at customary law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had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an obligation</w:t>
      </w:r>
      <w:r w:rsidR="00BA699B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then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to provide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accommodation to the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deceased’s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84A05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wife if needed</w:t>
      </w:r>
      <w:r w:rsidR="008C6F6A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.</w:t>
      </w:r>
      <w:r w:rsidR="00802FF9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See</w:t>
      </w:r>
      <w:r w:rsidR="000F2EFF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02FF9" w:rsidRPr="00D02673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Masango </w:t>
      </w:r>
      <w:r w:rsidR="00802FF9" w:rsidRPr="00D62B3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v </w:t>
      </w:r>
      <w:r w:rsidR="00802FF9" w:rsidRPr="00D02673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>Masango</w:t>
      </w:r>
      <w:r w:rsidR="000F2EFF" w:rsidRPr="00D02673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02FF9" w:rsidRPr="00D02673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>SC66/86.</w:t>
      </w:r>
    </w:p>
    <w:p w:rsidR="0010267E" w:rsidRPr="00D02673" w:rsidRDefault="0010267E" w:rsidP="00D62B3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 applicant simply needed to have been appraised of the correct legal position</w:t>
      </w:r>
      <w:r w:rsidR="00077C14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applicable at the time that her father died. </w:t>
      </w:r>
    </w:p>
    <w:p w:rsidR="0010267E" w:rsidRPr="00D02673" w:rsidRDefault="00D62B3D" w:rsidP="00077C1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ab/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It was for these reasons that I dismissed the application with</w:t>
      </w:r>
      <w:r w:rsidR="00884A05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no order as to</w:t>
      </w:r>
      <w:r w:rsidR="0010267E" w:rsidRPr="00D026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costs. </w:t>
      </w:r>
    </w:p>
    <w:p w:rsidR="008A3068" w:rsidRPr="00D02673" w:rsidRDefault="008A3068" w:rsidP="00077C1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</w:p>
    <w:p w:rsidR="000F6B85" w:rsidRPr="00D02673" w:rsidRDefault="00D62B3D" w:rsidP="00D62B3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D62B3D">
        <w:rPr>
          <w:rFonts w:ascii="Times New Roman" w:eastAsia="Times New Roman" w:hAnsi="Times New Roman" w:cs="Times New Roman"/>
          <w:b/>
          <w:smallCaps/>
          <w:color w:val="000000" w:themeColor="text1"/>
          <w:kern w:val="0"/>
          <w:sz w:val="24"/>
          <w:szCs w:val="24"/>
          <w:lang w:val="en-ZW" w:eastAsia="en-ZW"/>
          <w14:ligatures w14:val="none"/>
        </w:rPr>
        <w:t>Tsanga J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: …………………………………………………….</w:t>
      </w:r>
    </w:p>
    <w:p w:rsidR="00D62B3D" w:rsidRPr="00D62B3D" w:rsidRDefault="00D62B3D" w:rsidP="00077C1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MC Mukome Legal Practitioners, 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p</w:t>
      </w:r>
      <w:r w:rsidR="000F6B85" w:rsidRPr="00D62B3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laintiff</w:t>
      </w:r>
      <w:r w:rsidRPr="00D62B3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’s legal practitioners</w:t>
      </w:r>
    </w:p>
    <w:sectPr w:rsidR="00D62B3D" w:rsidRPr="00D62B3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3A0" w:rsidRDefault="009E53A0" w:rsidP="00BE1FC5">
      <w:pPr>
        <w:spacing w:after="0" w:line="240" w:lineRule="auto"/>
      </w:pPr>
      <w:r>
        <w:separator/>
      </w:r>
    </w:p>
  </w:endnote>
  <w:endnote w:type="continuationSeparator" w:id="0">
    <w:p w:rsidR="009E53A0" w:rsidRDefault="009E53A0" w:rsidP="00BE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3A0" w:rsidRDefault="009E53A0" w:rsidP="00BE1FC5">
      <w:pPr>
        <w:spacing w:after="0" w:line="240" w:lineRule="auto"/>
      </w:pPr>
      <w:r>
        <w:separator/>
      </w:r>
    </w:p>
  </w:footnote>
  <w:footnote w:type="continuationSeparator" w:id="0">
    <w:p w:rsidR="009E53A0" w:rsidRDefault="009E53A0" w:rsidP="00BE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8593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62B3D" w:rsidRDefault="00D62B3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182">
          <w:rPr>
            <w:noProof/>
          </w:rPr>
          <w:t>1</w:t>
        </w:r>
        <w:r>
          <w:rPr>
            <w:noProof/>
          </w:rPr>
          <w:fldChar w:fldCharType="end"/>
        </w:r>
      </w:p>
      <w:p w:rsidR="00D62B3D" w:rsidRDefault="000F0781">
        <w:pPr>
          <w:pStyle w:val="Header"/>
          <w:jc w:val="right"/>
          <w:rPr>
            <w:noProof/>
          </w:rPr>
        </w:pPr>
        <w:r>
          <w:rPr>
            <w:noProof/>
          </w:rPr>
          <w:t>HH 371 - 25</w:t>
        </w:r>
      </w:p>
      <w:p w:rsidR="00D62B3D" w:rsidRDefault="00D62B3D">
        <w:pPr>
          <w:pStyle w:val="Header"/>
          <w:jc w:val="right"/>
        </w:pPr>
        <w:r>
          <w:rPr>
            <w:noProof/>
          </w:rPr>
          <w:t>HCHF 1305/25</w:t>
        </w:r>
      </w:p>
    </w:sdtContent>
  </w:sdt>
  <w:p w:rsidR="00BE1FC5" w:rsidRDefault="00BE1F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E7"/>
    <w:rsid w:val="00077C14"/>
    <w:rsid w:val="00095A34"/>
    <w:rsid w:val="000F0781"/>
    <w:rsid w:val="000F2EFF"/>
    <w:rsid w:val="000F6B85"/>
    <w:rsid w:val="0010267E"/>
    <w:rsid w:val="001629E4"/>
    <w:rsid w:val="001751EA"/>
    <w:rsid w:val="001A1C59"/>
    <w:rsid w:val="001E0CD3"/>
    <w:rsid w:val="002318CD"/>
    <w:rsid w:val="00236FBE"/>
    <w:rsid w:val="00260D56"/>
    <w:rsid w:val="00260E80"/>
    <w:rsid w:val="00270AE8"/>
    <w:rsid w:val="002C65D4"/>
    <w:rsid w:val="002E44E8"/>
    <w:rsid w:val="003349EA"/>
    <w:rsid w:val="003827B6"/>
    <w:rsid w:val="003A7B43"/>
    <w:rsid w:val="003B18B6"/>
    <w:rsid w:val="003E24D3"/>
    <w:rsid w:val="00431381"/>
    <w:rsid w:val="004470E2"/>
    <w:rsid w:val="004568FC"/>
    <w:rsid w:val="004C5A96"/>
    <w:rsid w:val="004D0010"/>
    <w:rsid w:val="0050047D"/>
    <w:rsid w:val="00557BA6"/>
    <w:rsid w:val="00593FD6"/>
    <w:rsid w:val="005A07C9"/>
    <w:rsid w:val="005A2064"/>
    <w:rsid w:val="005F07B1"/>
    <w:rsid w:val="006955D7"/>
    <w:rsid w:val="006D5D93"/>
    <w:rsid w:val="006E25A4"/>
    <w:rsid w:val="00794B33"/>
    <w:rsid w:val="0079592C"/>
    <w:rsid w:val="007A2182"/>
    <w:rsid w:val="007D515F"/>
    <w:rsid w:val="007E494F"/>
    <w:rsid w:val="007F72C1"/>
    <w:rsid w:val="00802FF9"/>
    <w:rsid w:val="008075DB"/>
    <w:rsid w:val="008551A0"/>
    <w:rsid w:val="00882678"/>
    <w:rsid w:val="00884A05"/>
    <w:rsid w:val="008A3068"/>
    <w:rsid w:val="008C6F6A"/>
    <w:rsid w:val="008E48D5"/>
    <w:rsid w:val="009B1DBD"/>
    <w:rsid w:val="009E53A0"/>
    <w:rsid w:val="00B75AA7"/>
    <w:rsid w:val="00BA699B"/>
    <w:rsid w:val="00BE1FC5"/>
    <w:rsid w:val="00C33CC2"/>
    <w:rsid w:val="00C34039"/>
    <w:rsid w:val="00C46AE7"/>
    <w:rsid w:val="00C542A8"/>
    <w:rsid w:val="00D02673"/>
    <w:rsid w:val="00D31A7B"/>
    <w:rsid w:val="00D62B3D"/>
    <w:rsid w:val="00EB2171"/>
    <w:rsid w:val="00ED6DA9"/>
    <w:rsid w:val="00F81FC6"/>
    <w:rsid w:val="00F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4A0695-EF5A-44EB-8448-49C888EE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1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ZW" w:eastAsia="en-ZW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1FC6"/>
    <w:rPr>
      <w:rFonts w:ascii="Courier New" w:eastAsia="Times New Roman" w:hAnsi="Courier New" w:cs="Courier New"/>
      <w:kern w:val="0"/>
      <w:sz w:val="20"/>
      <w:szCs w:val="20"/>
      <w:lang w:eastAsia="en-ZW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FC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FC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01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 TSANGA J</dc:creator>
  <cp:keywords/>
  <dc:description/>
  <cp:lastModifiedBy>JSC</cp:lastModifiedBy>
  <cp:revision>2</cp:revision>
  <cp:lastPrinted>2025-06-25T12:22:00Z</cp:lastPrinted>
  <dcterms:created xsi:type="dcterms:W3CDTF">2025-07-11T10:52:00Z</dcterms:created>
  <dcterms:modified xsi:type="dcterms:W3CDTF">2025-07-11T10:52:00Z</dcterms:modified>
</cp:coreProperties>
</file>