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FDA" w:rsidRDefault="000C1FDA" w:rsidP="0013713B">
      <w:pPr>
        <w:pStyle w:val="NoSpacing"/>
        <w:jc w:val="both"/>
        <w:rPr>
          <w:b/>
          <w:szCs w:val="24"/>
        </w:rPr>
      </w:pPr>
      <w:r>
        <w:rPr>
          <w:b/>
          <w:szCs w:val="24"/>
        </w:rPr>
        <w:t>SIBUSISIWE MHLANGA</w:t>
      </w:r>
    </w:p>
    <w:p w:rsidR="000C1FDA" w:rsidRDefault="000C1FDA" w:rsidP="0013713B">
      <w:pPr>
        <w:pStyle w:val="NoSpacing"/>
        <w:jc w:val="both"/>
        <w:rPr>
          <w:b/>
          <w:szCs w:val="24"/>
        </w:rPr>
      </w:pPr>
    </w:p>
    <w:p w:rsidR="000C1FDA" w:rsidRDefault="000C1FDA" w:rsidP="0013713B">
      <w:pPr>
        <w:pStyle w:val="NoSpacing"/>
        <w:jc w:val="both"/>
        <w:rPr>
          <w:b/>
          <w:szCs w:val="24"/>
        </w:rPr>
      </w:pPr>
    </w:p>
    <w:p w:rsidR="000C1FDA" w:rsidRDefault="000C1FDA" w:rsidP="0013713B">
      <w:pPr>
        <w:pStyle w:val="NoSpacing"/>
        <w:jc w:val="both"/>
        <w:rPr>
          <w:b/>
          <w:szCs w:val="24"/>
        </w:rPr>
      </w:pPr>
      <w:r>
        <w:rPr>
          <w:b/>
          <w:szCs w:val="24"/>
        </w:rPr>
        <w:t>Versus</w:t>
      </w:r>
    </w:p>
    <w:p w:rsidR="000C1FDA" w:rsidRDefault="000C1FDA" w:rsidP="0013713B">
      <w:pPr>
        <w:pStyle w:val="NoSpacing"/>
        <w:jc w:val="both"/>
        <w:rPr>
          <w:b/>
          <w:szCs w:val="24"/>
        </w:rPr>
      </w:pPr>
    </w:p>
    <w:p w:rsidR="000C1FDA" w:rsidRDefault="000C1FDA" w:rsidP="0013713B">
      <w:pPr>
        <w:pStyle w:val="NoSpacing"/>
        <w:jc w:val="both"/>
        <w:rPr>
          <w:b/>
          <w:szCs w:val="24"/>
        </w:rPr>
      </w:pPr>
    </w:p>
    <w:p w:rsidR="000C1FDA" w:rsidRDefault="000C1FDA" w:rsidP="0013713B">
      <w:pPr>
        <w:pStyle w:val="NoSpacing"/>
        <w:jc w:val="both"/>
        <w:rPr>
          <w:b/>
          <w:szCs w:val="24"/>
        </w:rPr>
      </w:pPr>
      <w:r>
        <w:rPr>
          <w:b/>
          <w:szCs w:val="24"/>
        </w:rPr>
        <w:t>MAGISTRATE DZIRA N.O</w:t>
      </w:r>
    </w:p>
    <w:p w:rsidR="000C1FDA" w:rsidRDefault="000C1FDA" w:rsidP="0013713B">
      <w:pPr>
        <w:pStyle w:val="NoSpacing"/>
        <w:jc w:val="both"/>
        <w:rPr>
          <w:b/>
          <w:szCs w:val="24"/>
        </w:rPr>
      </w:pPr>
    </w:p>
    <w:p w:rsidR="000C1FDA" w:rsidRDefault="000C1FDA" w:rsidP="0013713B">
      <w:pPr>
        <w:pStyle w:val="NoSpacing"/>
        <w:jc w:val="both"/>
        <w:rPr>
          <w:b/>
          <w:szCs w:val="24"/>
        </w:rPr>
      </w:pPr>
    </w:p>
    <w:p w:rsidR="000C1FDA" w:rsidRDefault="000C1FDA" w:rsidP="0013713B">
      <w:pPr>
        <w:pStyle w:val="NoSpacing"/>
        <w:jc w:val="both"/>
        <w:rPr>
          <w:b/>
          <w:szCs w:val="24"/>
        </w:rPr>
      </w:pPr>
      <w:r>
        <w:rPr>
          <w:b/>
          <w:szCs w:val="24"/>
        </w:rPr>
        <w:t>And</w:t>
      </w:r>
    </w:p>
    <w:p w:rsidR="000C1FDA" w:rsidRDefault="000C1FDA" w:rsidP="0013713B">
      <w:pPr>
        <w:pStyle w:val="NoSpacing"/>
        <w:jc w:val="both"/>
        <w:rPr>
          <w:b/>
          <w:szCs w:val="24"/>
        </w:rPr>
      </w:pPr>
    </w:p>
    <w:p w:rsidR="000C1FDA" w:rsidRDefault="000C1FDA" w:rsidP="0013713B">
      <w:pPr>
        <w:pStyle w:val="NoSpacing"/>
        <w:jc w:val="both"/>
        <w:rPr>
          <w:b/>
          <w:szCs w:val="24"/>
        </w:rPr>
      </w:pPr>
    </w:p>
    <w:p w:rsidR="000C1FDA" w:rsidRDefault="000C1FDA" w:rsidP="0013713B">
      <w:pPr>
        <w:pStyle w:val="NoSpacing"/>
        <w:jc w:val="both"/>
        <w:rPr>
          <w:szCs w:val="24"/>
        </w:rPr>
      </w:pPr>
      <w:r>
        <w:rPr>
          <w:b/>
          <w:szCs w:val="24"/>
        </w:rPr>
        <w:t>THE STATE</w:t>
      </w:r>
    </w:p>
    <w:p w:rsidR="000C1FDA" w:rsidRDefault="000C1FDA" w:rsidP="0013713B">
      <w:pPr>
        <w:pStyle w:val="NoSpacing"/>
        <w:spacing w:line="480" w:lineRule="auto"/>
        <w:jc w:val="both"/>
        <w:rPr>
          <w:szCs w:val="24"/>
        </w:rPr>
      </w:pPr>
    </w:p>
    <w:p w:rsidR="000C1FDA" w:rsidRDefault="000C1FDA" w:rsidP="0013713B">
      <w:pPr>
        <w:pStyle w:val="NoSpacing"/>
        <w:spacing w:line="480" w:lineRule="auto"/>
        <w:jc w:val="both"/>
        <w:rPr>
          <w:szCs w:val="24"/>
        </w:rPr>
      </w:pPr>
    </w:p>
    <w:p w:rsidR="000C1FDA" w:rsidRDefault="000C1FDA" w:rsidP="0013713B">
      <w:pPr>
        <w:pStyle w:val="NoSpacing"/>
        <w:spacing w:line="480" w:lineRule="auto"/>
        <w:jc w:val="both"/>
        <w:rPr>
          <w:szCs w:val="24"/>
        </w:rPr>
      </w:pPr>
      <w:r>
        <w:rPr>
          <w:szCs w:val="24"/>
        </w:rPr>
        <w:t>IN THE HIGH COURT OF ZIMBABWE</w:t>
      </w:r>
    </w:p>
    <w:p w:rsidR="000C1FDA" w:rsidRDefault="000C1FDA" w:rsidP="0013713B">
      <w:pPr>
        <w:pStyle w:val="NoSpacing"/>
        <w:spacing w:line="480" w:lineRule="auto"/>
        <w:jc w:val="both"/>
        <w:rPr>
          <w:szCs w:val="24"/>
        </w:rPr>
      </w:pPr>
      <w:r>
        <w:rPr>
          <w:szCs w:val="24"/>
        </w:rPr>
        <w:t>MAKONESE J</w:t>
      </w:r>
    </w:p>
    <w:p w:rsidR="000C1FDA" w:rsidRDefault="000C1FDA" w:rsidP="0013713B">
      <w:pPr>
        <w:pStyle w:val="NoSpacing"/>
        <w:spacing w:line="480" w:lineRule="auto"/>
        <w:jc w:val="both"/>
        <w:rPr>
          <w:szCs w:val="24"/>
        </w:rPr>
      </w:pPr>
      <w:r>
        <w:rPr>
          <w:szCs w:val="24"/>
        </w:rPr>
        <w:t>BULAWAYO 7</w:t>
      </w:r>
      <w:r w:rsidR="000617D7">
        <w:rPr>
          <w:szCs w:val="24"/>
        </w:rPr>
        <w:t xml:space="preserve"> &amp; 14</w:t>
      </w:r>
      <w:r>
        <w:rPr>
          <w:szCs w:val="24"/>
        </w:rPr>
        <w:t xml:space="preserve"> APRIL 2022</w:t>
      </w:r>
    </w:p>
    <w:p w:rsidR="000C1FDA" w:rsidRDefault="000C1FDA" w:rsidP="0013713B">
      <w:pPr>
        <w:pStyle w:val="NoSpacing"/>
        <w:spacing w:line="480" w:lineRule="auto"/>
        <w:jc w:val="both"/>
        <w:rPr>
          <w:szCs w:val="24"/>
        </w:rPr>
      </w:pPr>
    </w:p>
    <w:p w:rsidR="000C1FDA" w:rsidRDefault="007F4FC8" w:rsidP="0013713B">
      <w:pPr>
        <w:pStyle w:val="NoSpacing"/>
        <w:spacing w:line="480" w:lineRule="auto"/>
        <w:jc w:val="both"/>
        <w:rPr>
          <w:b/>
          <w:szCs w:val="24"/>
        </w:rPr>
      </w:pPr>
      <w:r>
        <w:rPr>
          <w:b/>
          <w:szCs w:val="24"/>
        </w:rPr>
        <w:t>Urgent Chamber Application</w:t>
      </w:r>
    </w:p>
    <w:p w:rsidR="000C1FDA" w:rsidRDefault="000C1FDA" w:rsidP="0013713B">
      <w:pPr>
        <w:pStyle w:val="NoSpacing"/>
        <w:spacing w:line="480" w:lineRule="auto"/>
        <w:jc w:val="both"/>
      </w:pPr>
    </w:p>
    <w:p w:rsidR="000C1FDA" w:rsidRDefault="000C1FDA" w:rsidP="0013713B">
      <w:pPr>
        <w:pStyle w:val="NoSpacing"/>
        <w:spacing w:line="480" w:lineRule="auto"/>
        <w:jc w:val="both"/>
      </w:pPr>
      <w:r>
        <w:t xml:space="preserve"> </w:t>
      </w:r>
      <w:r>
        <w:rPr>
          <w:i/>
        </w:rPr>
        <w:t>Advocate Siziba</w:t>
      </w:r>
      <w:r>
        <w:t>, for the applicant</w:t>
      </w:r>
    </w:p>
    <w:p w:rsidR="000C1FDA" w:rsidRDefault="000C1FDA" w:rsidP="0013713B">
      <w:pPr>
        <w:pStyle w:val="NoSpacing"/>
        <w:spacing w:line="480" w:lineRule="auto"/>
        <w:jc w:val="both"/>
      </w:pPr>
      <w:r>
        <w:rPr>
          <w:i/>
        </w:rPr>
        <w:t xml:space="preserve">T.M Nyathi, </w:t>
      </w:r>
      <w:r>
        <w:t>for the respondents</w:t>
      </w:r>
    </w:p>
    <w:p w:rsidR="00223694" w:rsidRDefault="000C1FDA" w:rsidP="0013713B">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20303B">
        <w:rPr>
          <w:rFonts w:ascii="Times New Roman" w:hAnsi="Times New Roman" w:cs="Times New Roman"/>
          <w:bCs/>
          <w:sz w:val="24"/>
          <w:szCs w:val="24"/>
        </w:rPr>
        <w:t>This is an urgent chamber application for stay of proceedings.  The appli</w:t>
      </w:r>
      <w:r w:rsidR="006D6240">
        <w:rPr>
          <w:rFonts w:ascii="Times New Roman" w:hAnsi="Times New Roman" w:cs="Times New Roman"/>
          <w:bCs/>
          <w:sz w:val="24"/>
          <w:szCs w:val="24"/>
        </w:rPr>
        <w:t>cant appeared in the Magistrate</w:t>
      </w:r>
      <w:r w:rsidR="0020303B">
        <w:rPr>
          <w:rFonts w:ascii="Times New Roman" w:hAnsi="Times New Roman" w:cs="Times New Roman"/>
          <w:bCs/>
          <w:sz w:val="24"/>
          <w:szCs w:val="24"/>
        </w:rPr>
        <w:t>s</w:t>
      </w:r>
      <w:r w:rsidR="006D6240">
        <w:rPr>
          <w:rFonts w:ascii="Times New Roman" w:hAnsi="Times New Roman" w:cs="Times New Roman"/>
          <w:bCs/>
          <w:sz w:val="24"/>
          <w:szCs w:val="24"/>
        </w:rPr>
        <w:t>’</w:t>
      </w:r>
      <w:r w:rsidR="0020303B">
        <w:rPr>
          <w:rFonts w:ascii="Times New Roman" w:hAnsi="Times New Roman" w:cs="Times New Roman"/>
          <w:bCs/>
          <w:sz w:val="24"/>
          <w:szCs w:val="24"/>
        </w:rPr>
        <w:t xml:space="preserve"> Court facing one count of theft as defined in section 113 (2) (d) of the Criminal Law Cod</w:t>
      </w:r>
      <w:r w:rsidR="00D43C1E">
        <w:rPr>
          <w:rFonts w:ascii="Times New Roman" w:hAnsi="Times New Roman" w:cs="Times New Roman"/>
          <w:bCs/>
          <w:sz w:val="24"/>
          <w:szCs w:val="24"/>
        </w:rPr>
        <w:t>ification and Reform Act and one count of money laundering in violation of section 8 (1) (a) and (d) of the Money Laundering and Proceeds of Crime Act (Chapter 9:24).  The accused pleaded not guilty to both counts.  The matter proceeded to trial.  The state called four witnesses before closing its case.  The defence made an application for discharge at the close of the state case.  The application was made in terms of section 198 (3) of the Criminal Procedure and Evidence Act (Chapter 9:07).  The 1</w:t>
      </w:r>
      <w:r w:rsidR="00D43C1E" w:rsidRPr="00D43C1E">
        <w:rPr>
          <w:rFonts w:ascii="Times New Roman" w:hAnsi="Times New Roman" w:cs="Times New Roman"/>
          <w:bCs/>
          <w:sz w:val="24"/>
          <w:szCs w:val="24"/>
          <w:vertAlign w:val="superscript"/>
        </w:rPr>
        <w:t>st</w:t>
      </w:r>
      <w:r w:rsidR="00D43C1E">
        <w:rPr>
          <w:rFonts w:ascii="Times New Roman" w:hAnsi="Times New Roman" w:cs="Times New Roman"/>
          <w:bCs/>
          <w:sz w:val="24"/>
          <w:szCs w:val="24"/>
        </w:rPr>
        <w:t xml:space="preserve"> </w:t>
      </w:r>
      <w:r w:rsidR="00D43C1E">
        <w:rPr>
          <w:rFonts w:ascii="Times New Roman" w:hAnsi="Times New Roman" w:cs="Times New Roman"/>
          <w:bCs/>
          <w:sz w:val="24"/>
          <w:szCs w:val="24"/>
        </w:rPr>
        <w:lastRenderedPageBreak/>
        <w:t xml:space="preserve">respondent dismissed the application for discharge on the grounds that the state had established a </w:t>
      </w:r>
      <w:r w:rsidR="00D43C1E" w:rsidRPr="0090083D">
        <w:rPr>
          <w:rFonts w:ascii="Times New Roman" w:hAnsi="Times New Roman" w:cs="Times New Roman"/>
          <w:bCs/>
          <w:i/>
          <w:sz w:val="24"/>
          <w:szCs w:val="24"/>
        </w:rPr>
        <w:t>prima facie</w:t>
      </w:r>
      <w:r w:rsidR="00D43C1E">
        <w:rPr>
          <w:rFonts w:ascii="Times New Roman" w:hAnsi="Times New Roman" w:cs="Times New Roman"/>
          <w:bCs/>
          <w:sz w:val="24"/>
          <w:szCs w:val="24"/>
        </w:rPr>
        <w:t xml:space="preserve"> case at the close of the state case.</w:t>
      </w:r>
      <w:r w:rsidR="0020303B">
        <w:rPr>
          <w:rFonts w:ascii="Times New Roman" w:hAnsi="Times New Roman" w:cs="Times New Roman"/>
          <w:bCs/>
          <w:sz w:val="24"/>
          <w:szCs w:val="24"/>
        </w:rPr>
        <w:t xml:space="preserve"> </w:t>
      </w:r>
    </w:p>
    <w:p w:rsidR="00D43C1E" w:rsidRDefault="00C97823" w:rsidP="001371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A</w:t>
      </w:r>
      <w:r w:rsidR="00D43C1E">
        <w:rPr>
          <w:rFonts w:ascii="Times New Roman" w:hAnsi="Times New Roman" w:cs="Times New Roman"/>
          <w:bCs/>
          <w:sz w:val="24"/>
          <w:szCs w:val="24"/>
        </w:rPr>
        <w:t>pplicant filed an application for review against the order of the Magistrate dismissing the application for discharge at the close of the state case.  The application for review is pending before this court.  The applicant faces the prospect of the trial proceeding to the defence case and to the handing down of final judgment.  The applicant has filed this application in a bid to stay the unterminated proceedings in the Magistrates’ court.</w:t>
      </w:r>
    </w:p>
    <w:p w:rsidR="00D43C1E" w:rsidRDefault="00D43C1E" w:rsidP="001371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An application for stay of proceedings pending the review of a Magistrates court’s decision made in pursuance </w:t>
      </w:r>
      <w:r w:rsidR="00A62611">
        <w:rPr>
          <w:rFonts w:ascii="Times New Roman" w:hAnsi="Times New Roman" w:cs="Times New Roman"/>
          <w:bCs/>
          <w:sz w:val="24"/>
          <w:szCs w:val="24"/>
        </w:rPr>
        <w:t>of an application in terms of section 198 (3) of the Code depends on the prospects of success.  These courts are slow to interfere in criminal proceedings in the lower court and will only do so in exceptional circumstances.  Applications for review made against decisions by Magistrates dismissing application</w:t>
      </w:r>
      <w:r w:rsidR="00C76400">
        <w:rPr>
          <w:rFonts w:ascii="Times New Roman" w:hAnsi="Times New Roman" w:cs="Times New Roman"/>
          <w:bCs/>
          <w:sz w:val="24"/>
          <w:szCs w:val="24"/>
        </w:rPr>
        <w:t>s for discharge are flooding this court.</w:t>
      </w:r>
      <w:r w:rsidR="00A62611">
        <w:rPr>
          <w:rFonts w:ascii="Times New Roman" w:hAnsi="Times New Roman" w:cs="Times New Roman"/>
          <w:bCs/>
          <w:sz w:val="24"/>
          <w:szCs w:val="24"/>
        </w:rPr>
        <w:t xml:space="preserve">  All too often these applications are made with the sole intention of delaying or frustrating proceedings in the lower court.  If the review application does not have prospects of success the application for a stay of proceedings must fail.  It is trite </w:t>
      </w:r>
      <w:r w:rsidR="003E6C72">
        <w:rPr>
          <w:rFonts w:ascii="Times New Roman" w:hAnsi="Times New Roman" w:cs="Times New Roman"/>
          <w:bCs/>
          <w:sz w:val="24"/>
          <w:szCs w:val="24"/>
        </w:rPr>
        <w:t xml:space="preserve">that this court does not encourage applications for the review of criminal proceedings before a trial is concluded. </w:t>
      </w:r>
      <w:r w:rsidR="00A62611">
        <w:rPr>
          <w:rFonts w:ascii="Times New Roman" w:hAnsi="Times New Roman" w:cs="Times New Roman"/>
          <w:bCs/>
          <w:sz w:val="24"/>
          <w:szCs w:val="24"/>
        </w:rPr>
        <w:t xml:space="preserve">  If</w:t>
      </w:r>
      <w:r w:rsidR="003E6C72">
        <w:rPr>
          <w:rFonts w:ascii="Times New Roman" w:hAnsi="Times New Roman" w:cs="Times New Roman"/>
          <w:bCs/>
          <w:sz w:val="24"/>
          <w:szCs w:val="24"/>
        </w:rPr>
        <w:t>,</w:t>
      </w:r>
      <w:r w:rsidR="00A62611">
        <w:rPr>
          <w:rFonts w:ascii="Times New Roman" w:hAnsi="Times New Roman" w:cs="Times New Roman"/>
          <w:bCs/>
          <w:sz w:val="24"/>
          <w:szCs w:val="24"/>
        </w:rPr>
        <w:t xml:space="preserve"> however</w:t>
      </w:r>
      <w:r w:rsidR="003E6C72">
        <w:rPr>
          <w:rFonts w:ascii="Times New Roman" w:hAnsi="Times New Roman" w:cs="Times New Roman"/>
          <w:bCs/>
          <w:sz w:val="24"/>
          <w:szCs w:val="24"/>
        </w:rPr>
        <w:t>,</w:t>
      </w:r>
      <w:r w:rsidR="00A62611">
        <w:rPr>
          <w:rFonts w:ascii="Times New Roman" w:hAnsi="Times New Roman" w:cs="Times New Roman"/>
          <w:bCs/>
          <w:sz w:val="24"/>
          <w:szCs w:val="24"/>
        </w:rPr>
        <w:t xml:space="preserve"> there are exceptional circumstances and evidence that the application for review is meritorious such a review can be entertained.  See: </w:t>
      </w:r>
      <w:r w:rsidR="00A62611" w:rsidRPr="00ED3395">
        <w:rPr>
          <w:rFonts w:ascii="Times New Roman" w:hAnsi="Times New Roman" w:cs="Times New Roman"/>
          <w:bCs/>
          <w:i/>
          <w:sz w:val="24"/>
          <w:szCs w:val="24"/>
        </w:rPr>
        <w:t>Nyambo</w:t>
      </w:r>
      <w:r w:rsidR="00A62611">
        <w:rPr>
          <w:rFonts w:ascii="Times New Roman" w:hAnsi="Times New Roman" w:cs="Times New Roman"/>
          <w:bCs/>
          <w:sz w:val="24"/>
          <w:szCs w:val="24"/>
        </w:rPr>
        <w:t xml:space="preserve"> v </w:t>
      </w:r>
      <w:r w:rsidR="00A62611" w:rsidRPr="00ED3395">
        <w:rPr>
          <w:rFonts w:ascii="Times New Roman" w:hAnsi="Times New Roman" w:cs="Times New Roman"/>
          <w:bCs/>
          <w:i/>
          <w:sz w:val="24"/>
          <w:szCs w:val="24"/>
        </w:rPr>
        <w:t>Magistrate T Mahwe and Anor</w:t>
      </w:r>
      <w:r w:rsidR="00A62611">
        <w:rPr>
          <w:rFonts w:ascii="Times New Roman" w:hAnsi="Times New Roman" w:cs="Times New Roman"/>
          <w:bCs/>
          <w:sz w:val="24"/>
          <w:szCs w:val="24"/>
        </w:rPr>
        <w:t xml:space="preserve"> HH 291-14; </w:t>
      </w:r>
      <w:r w:rsidR="00A62611" w:rsidRPr="00ED3395">
        <w:rPr>
          <w:rFonts w:ascii="Times New Roman" w:hAnsi="Times New Roman" w:cs="Times New Roman"/>
          <w:bCs/>
          <w:i/>
          <w:sz w:val="24"/>
          <w:szCs w:val="24"/>
        </w:rPr>
        <w:t>S</w:t>
      </w:r>
      <w:r w:rsidR="00A62611">
        <w:rPr>
          <w:rFonts w:ascii="Times New Roman" w:hAnsi="Times New Roman" w:cs="Times New Roman"/>
          <w:bCs/>
          <w:sz w:val="24"/>
          <w:szCs w:val="24"/>
        </w:rPr>
        <w:t xml:space="preserve"> v </w:t>
      </w:r>
      <w:r w:rsidR="00A62611" w:rsidRPr="00ED3395">
        <w:rPr>
          <w:rFonts w:ascii="Times New Roman" w:hAnsi="Times New Roman" w:cs="Times New Roman"/>
          <w:bCs/>
          <w:i/>
          <w:sz w:val="24"/>
          <w:szCs w:val="24"/>
        </w:rPr>
        <w:t xml:space="preserve">Sibanda </w:t>
      </w:r>
      <w:r w:rsidR="00A62611">
        <w:rPr>
          <w:rFonts w:ascii="Times New Roman" w:hAnsi="Times New Roman" w:cs="Times New Roman"/>
          <w:bCs/>
          <w:sz w:val="24"/>
          <w:szCs w:val="24"/>
        </w:rPr>
        <w:t xml:space="preserve">1994 (2) ZLR 19 (HC); and </w:t>
      </w:r>
      <w:r w:rsidR="00A62611" w:rsidRPr="00ED3395">
        <w:rPr>
          <w:rFonts w:ascii="Times New Roman" w:hAnsi="Times New Roman" w:cs="Times New Roman"/>
          <w:bCs/>
          <w:i/>
          <w:sz w:val="24"/>
          <w:szCs w:val="24"/>
        </w:rPr>
        <w:t>S</w:t>
      </w:r>
      <w:r w:rsidR="00A62611">
        <w:rPr>
          <w:rFonts w:ascii="Times New Roman" w:hAnsi="Times New Roman" w:cs="Times New Roman"/>
          <w:bCs/>
          <w:sz w:val="24"/>
          <w:szCs w:val="24"/>
        </w:rPr>
        <w:t xml:space="preserve"> v </w:t>
      </w:r>
      <w:r w:rsidR="00A62611" w:rsidRPr="00ED3395">
        <w:rPr>
          <w:rFonts w:ascii="Times New Roman" w:hAnsi="Times New Roman" w:cs="Times New Roman"/>
          <w:bCs/>
          <w:i/>
          <w:sz w:val="24"/>
          <w:szCs w:val="24"/>
        </w:rPr>
        <w:t>Masedza &amp; Ors</w:t>
      </w:r>
      <w:r w:rsidR="00A62611">
        <w:rPr>
          <w:rFonts w:ascii="Times New Roman" w:hAnsi="Times New Roman" w:cs="Times New Roman"/>
          <w:bCs/>
          <w:sz w:val="24"/>
          <w:szCs w:val="24"/>
        </w:rPr>
        <w:t xml:space="preserve"> v </w:t>
      </w:r>
      <w:r w:rsidR="00A62611" w:rsidRPr="00ED3395">
        <w:rPr>
          <w:rFonts w:ascii="Times New Roman" w:hAnsi="Times New Roman" w:cs="Times New Roman"/>
          <w:bCs/>
          <w:i/>
          <w:sz w:val="24"/>
          <w:szCs w:val="24"/>
        </w:rPr>
        <w:t>Magistrate Rusape &amp; Anor</w:t>
      </w:r>
      <w:r w:rsidR="00A62611">
        <w:rPr>
          <w:rFonts w:ascii="Times New Roman" w:hAnsi="Times New Roman" w:cs="Times New Roman"/>
          <w:bCs/>
          <w:sz w:val="24"/>
          <w:szCs w:val="24"/>
        </w:rPr>
        <w:t xml:space="preserve"> 1998 (1) ZLR 36 (HC). </w:t>
      </w:r>
    </w:p>
    <w:p w:rsidR="00C941CA" w:rsidRDefault="00C941CA" w:rsidP="001371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In the application for discharge at </w:t>
      </w:r>
      <w:r w:rsidR="001B2E0D">
        <w:rPr>
          <w:rFonts w:ascii="Times New Roman" w:hAnsi="Times New Roman" w:cs="Times New Roman"/>
          <w:bCs/>
          <w:sz w:val="24"/>
          <w:szCs w:val="24"/>
        </w:rPr>
        <w:t>the close of the state case the applicant argued that there was no evidence placed before the court to warrant the applicant bei</w:t>
      </w:r>
      <w:r w:rsidR="00AE2FB3">
        <w:rPr>
          <w:rFonts w:ascii="Times New Roman" w:hAnsi="Times New Roman" w:cs="Times New Roman"/>
          <w:bCs/>
          <w:sz w:val="24"/>
          <w:szCs w:val="24"/>
        </w:rPr>
        <w:t>ng placed on her defence.  D</w:t>
      </w:r>
      <w:r w:rsidR="001B2E0D">
        <w:rPr>
          <w:rFonts w:ascii="Times New Roman" w:hAnsi="Times New Roman" w:cs="Times New Roman"/>
          <w:bCs/>
          <w:sz w:val="24"/>
          <w:szCs w:val="24"/>
        </w:rPr>
        <w:t xml:space="preserve">efence counsel argued that applicant should be discharged at the close of the state case and acquitted.  The defence further argued that in terms of section 120 of the Criminal </w:t>
      </w:r>
      <w:r w:rsidR="001B2E0D">
        <w:rPr>
          <w:rFonts w:ascii="Times New Roman" w:hAnsi="Times New Roman" w:cs="Times New Roman"/>
          <w:bCs/>
          <w:sz w:val="24"/>
          <w:szCs w:val="24"/>
        </w:rPr>
        <w:lastRenderedPageBreak/>
        <w:t>Law Codification Reform Act, the state should have produced authority to have the applicant prosecuted as she was married to the applicant.  Defence counsel argued that the Prosecutor General did not authorise the applicant’s prosecution.  It was argued that the applicant’s prosecution was</w:t>
      </w:r>
      <w:r w:rsidR="00AE2FB3">
        <w:rPr>
          <w:rFonts w:ascii="Times New Roman" w:hAnsi="Times New Roman" w:cs="Times New Roman"/>
          <w:bCs/>
          <w:sz w:val="24"/>
          <w:szCs w:val="24"/>
        </w:rPr>
        <w:t xml:space="preserve"> therefore</w:t>
      </w:r>
      <w:r w:rsidR="001B2E0D">
        <w:rPr>
          <w:rFonts w:ascii="Times New Roman" w:hAnsi="Times New Roman" w:cs="Times New Roman"/>
          <w:bCs/>
          <w:sz w:val="24"/>
          <w:szCs w:val="24"/>
        </w:rPr>
        <w:t xml:space="preserve"> a nullity.</w:t>
      </w:r>
    </w:p>
    <w:p w:rsidR="001B2E0D" w:rsidRDefault="001B2E0D" w:rsidP="001371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state indicated that the defence should have raised the issue of non-compliance with section 120 of the Criminal Code at the commencement of the trial.  The issue cannot be raised at the close of the state </w:t>
      </w:r>
      <w:r w:rsidR="00126039">
        <w:rPr>
          <w:rFonts w:ascii="Times New Roman" w:hAnsi="Times New Roman" w:cs="Times New Roman"/>
          <w:bCs/>
          <w:sz w:val="24"/>
          <w:szCs w:val="24"/>
        </w:rPr>
        <w:t xml:space="preserve">case as the court </w:t>
      </w:r>
      <w:r w:rsidR="00BC48FF">
        <w:rPr>
          <w:rFonts w:ascii="Times New Roman" w:hAnsi="Times New Roman" w:cs="Times New Roman"/>
          <w:bCs/>
          <w:sz w:val="24"/>
          <w:szCs w:val="24"/>
        </w:rPr>
        <w:t xml:space="preserve">is </w:t>
      </w:r>
      <w:r w:rsidR="00126039">
        <w:rPr>
          <w:rFonts w:ascii="Times New Roman" w:hAnsi="Times New Roman" w:cs="Times New Roman"/>
          <w:bCs/>
          <w:sz w:val="24"/>
          <w:szCs w:val="24"/>
        </w:rPr>
        <w:t xml:space="preserve">simply asked to </w:t>
      </w:r>
      <w:r w:rsidR="00BC48FF">
        <w:rPr>
          <w:rFonts w:ascii="Times New Roman" w:hAnsi="Times New Roman" w:cs="Times New Roman"/>
          <w:bCs/>
          <w:sz w:val="24"/>
          <w:szCs w:val="24"/>
        </w:rPr>
        <w:t xml:space="preserve">consider whether the state made a </w:t>
      </w:r>
      <w:r w:rsidR="00BC48FF" w:rsidRPr="00ED3395">
        <w:rPr>
          <w:rFonts w:ascii="Times New Roman" w:hAnsi="Times New Roman" w:cs="Times New Roman"/>
          <w:bCs/>
          <w:i/>
          <w:sz w:val="24"/>
          <w:szCs w:val="24"/>
        </w:rPr>
        <w:t>prima facie</w:t>
      </w:r>
      <w:r w:rsidR="00BC48FF">
        <w:rPr>
          <w:rFonts w:ascii="Times New Roman" w:hAnsi="Times New Roman" w:cs="Times New Roman"/>
          <w:bCs/>
          <w:sz w:val="24"/>
          <w:szCs w:val="24"/>
        </w:rPr>
        <w:t xml:space="preserve"> case at the close of the state case.  The state alleged that the money in question was stolen between 1</w:t>
      </w:r>
      <w:r w:rsidR="00BC48FF" w:rsidRPr="00BC48FF">
        <w:rPr>
          <w:rFonts w:ascii="Times New Roman" w:hAnsi="Times New Roman" w:cs="Times New Roman"/>
          <w:bCs/>
          <w:sz w:val="24"/>
          <w:szCs w:val="24"/>
          <w:vertAlign w:val="superscript"/>
        </w:rPr>
        <w:t>st</w:t>
      </w:r>
      <w:r w:rsidR="00BC48FF">
        <w:rPr>
          <w:rFonts w:ascii="Times New Roman" w:hAnsi="Times New Roman" w:cs="Times New Roman"/>
          <w:bCs/>
          <w:sz w:val="24"/>
          <w:szCs w:val="24"/>
        </w:rPr>
        <w:t xml:space="preserve"> June 2018 and 23</w:t>
      </w:r>
      <w:r w:rsidR="00BC48FF" w:rsidRPr="00BC48FF">
        <w:rPr>
          <w:rFonts w:ascii="Times New Roman" w:hAnsi="Times New Roman" w:cs="Times New Roman"/>
          <w:bCs/>
          <w:sz w:val="24"/>
          <w:szCs w:val="24"/>
          <w:vertAlign w:val="superscript"/>
        </w:rPr>
        <w:t>rd</w:t>
      </w:r>
      <w:r w:rsidR="00BC48FF">
        <w:rPr>
          <w:rFonts w:ascii="Times New Roman" w:hAnsi="Times New Roman" w:cs="Times New Roman"/>
          <w:bCs/>
          <w:sz w:val="24"/>
          <w:szCs w:val="24"/>
        </w:rPr>
        <w:t xml:space="preserve"> August 2018.  The complainant missed the money on the day of divorce.  The state argued that the complainant and the applicant ceased to be husband and wife on the 23</w:t>
      </w:r>
      <w:r w:rsidR="00BC48FF" w:rsidRPr="00BC48FF">
        <w:rPr>
          <w:rFonts w:ascii="Times New Roman" w:hAnsi="Times New Roman" w:cs="Times New Roman"/>
          <w:bCs/>
          <w:sz w:val="24"/>
          <w:szCs w:val="24"/>
          <w:vertAlign w:val="superscript"/>
        </w:rPr>
        <w:t>rd</w:t>
      </w:r>
      <w:r w:rsidR="00BC48FF">
        <w:rPr>
          <w:rFonts w:ascii="Times New Roman" w:hAnsi="Times New Roman" w:cs="Times New Roman"/>
          <w:bCs/>
          <w:sz w:val="24"/>
          <w:szCs w:val="24"/>
        </w:rPr>
        <w:t xml:space="preserve"> of August 2018.  The State argues </w:t>
      </w:r>
      <w:r w:rsidR="00126C78">
        <w:rPr>
          <w:rFonts w:ascii="Times New Roman" w:hAnsi="Times New Roman" w:cs="Times New Roman"/>
          <w:bCs/>
          <w:sz w:val="24"/>
          <w:szCs w:val="24"/>
        </w:rPr>
        <w:t>that the provisions of section 120 of the Criminal Code do not apply.</w:t>
      </w:r>
    </w:p>
    <w:p w:rsidR="00126C78" w:rsidRDefault="00126C78" w:rsidP="0013713B">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Section 120 of the Criminal Code provides that:</w:t>
      </w:r>
    </w:p>
    <w:p w:rsidR="00126C78" w:rsidRDefault="00126C78" w:rsidP="0013713B">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“It shall not be a defence to a charge of theft, stock theft, or unauthorised borrowing or use of property that the accused was co-owner of the property that forms the subject of the charge whether the co-ownership arises through marriage or a partnership or otherwise….</w:t>
      </w:r>
    </w:p>
    <w:p w:rsidR="00126C78" w:rsidRDefault="00126C78" w:rsidP="0013713B">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Provided that no prosecution shall be instituted against a spouse for stealing or unlawfully borrowing or using the property belonging to the other spouse or that forms part of the spouse’s joint estate unless the </w:t>
      </w:r>
      <w:r w:rsidR="009850CE">
        <w:rPr>
          <w:rFonts w:ascii="Times New Roman" w:hAnsi="Times New Roman" w:cs="Times New Roman"/>
          <w:bCs/>
          <w:sz w:val="24"/>
          <w:szCs w:val="24"/>
        </w:rPr>
        <w:t>Prosecutor General has authorised such prosecution.”</w:t>
      </w:r>
    </w:p>
    <w:p w:rsidR="009850CE" w:rsidRDefault="009850CE" w:rsidP="0013713B">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learned Magistrate in the court </w:t>
      </w:r>
      <w:r w:rsidRPr="00ED3395">
        <w:rPr>
          <w:rFonts w:ascii="Times New Roman" w:hAnsi="Times New Roman" w:cs="Times New Roman"/>
          <w:bCs/>
          <w:i/>
          <w:sz w:val="24"/>
          <w:szCs w:val="24"/>
        </w:rPr>
        <w:t>a quo</w:t>
      </w:r>
      <w:r>
        <w:rPr>
          <w:rFonts w:ascii="Times New Roman" w:hAnsi="Times New Roman" w:cs="Times New Roman"/>
          <w:bCs/>
          <w:sz w:val="24"/>
          <w:szCs w:val="24"/>
        </w:rPr>
        <w:t xml:space="preserve"> came to the decision </w:t>
      </w:r>
      <w:r w:rsidR="008B619A">
        <w:rPr>
          <w:rFonts w:ascii="Times New Roman" w:hAnsi="Times New Roman" w:cs="Times New Roman"/>
          <w:bCs/>
          <w:sz w:val="24"/>
          <w:szCs w:val="24"/>
        </w:rPr>
        <w:t xml:space="preserve">that the prosecution of the applicant commenced after the marriage of the parties and that therefore there was no </w:t>
      </w:r>
      <w:r w:rsidR="008B619A">
        <w:rPr>
          <w:rFonts w:ascii="Times New Roman" w:hAnsi="Times New Roman" w:cs="Times New Roman"/>
          <w:bCs/>
          <w:sz w:val="24"/>
          <w:szCs w:val="24"/>
        </w:rPr>
        <w:lastRenderedPageBreak/>
        <w:t xml:space="preserve">need to have regard to the provisions of section 120 of the Criminal Code.  The court reasoned that the application for a discharge at the close of the state case concerns itself with the question of whether or not the state had succeeded in proving a </w:t>
      </w:r>
      <w:r w:rsidR="008B619A" w:rsidRPr="00ED3395">
        <w:rPr>
          <w:rFonts w:ascii="Times New Roman" w:hAnsi="Times New Roman" w:cs="Times New Roman"/>
          <w:bCs/>
          <w:i/>
          <w:sz w:val="24"/>
          <w:szCs w:val="24"/>
        </w:rPr>
        <w:t>prima facie</w:t>
      </w:r>
      <w:r w:rsidR="008B619A">
        <w:rPr>
          <w:rFonts w:ascii="Times New Roman" w:hAnsi="Times New Roman" w:cs="Times New Roman"/>
          <w:bCs/>
          <w:sz w:val="24"/>
          <w:szCs w:val="24"/>
        </w:rPr>
        <w:t xml:space="preserve"> case against the applicant.  The court </w:t>
      </w:r>
      <w:r w:rsidR="008B619A" w:rsidRPr="00ED3395">
        <w:rPr>
          <w:rFonts w:ascii="Times New Roman" w:hAnsi="Times New Roman" w:cs="Times New Roman"/>
          <w:bCs/>
          <w:i/>
          <w:sz w:val="24"/>
          <w:szCs w:val="24"/>
        </w:rPr>
        <w:t>a quo</w:t>
      </w:r>
      <w:r w:rsidR="008B619A">
        <w:rPr>
          <w:rFonts w:ascii="Times New Roman" w:hAnsi="Times New Roman" w:cs="Times New Roman"/>
          <w:bCs/>
          <w:sz w:val="24"/>
          <w:szCs w:val="24"/>
        </w:rPr>
        <w:t xml:space="preserve"> stated that:-</w:t>
      </w:r>
    </w:p>
    <w:p w:rsidR="008B619A" w:rsidRDefault="008B619A" w:rsidP="0013713B">
      <w:pPr>
        <w:spacing w:line="480" w:lineRule="auto"/>
        <w:ind w:left="720"/>
        <w:jc w:val="both"/>
        <w:rPr>
          <w:rFonts w:ascii="Times New Roman" w:hAnsi="Times New Roman" w:cs="Times New Roman"/>
          <w:bCs/>
          <w:sz w:val="24"/>
          <w:szCs w:val="24"/>
        </w:rPr>
      </w:pPr>
      <w:r w:rsidRPr="00263430">
        <w:rPr>
          <w:rFonts w:ascii="Times New Roman" w:hAnsi="Times New Roman" w:cs="Times New Roman"/>
          <w:bCs/>
          <w:i/>
          <w:sz w:val="24"/>
          <w:szCs w:val="24"/>
        </w:rPr>
        <w:t>“The</w:t>
      </w:r>
      <w:r w:rsidR="00263430" w:rsidRPr="00263430">
        <w:rPr>
          <w:rFonts w:ascii="Times New Roman" w:hAnsi="Times New Roman" w:cs="Times New Roman"/>
          <w:bCs/>
          <w:i/>
          <w:sz w:val="24"/>
          <w:szCs w:val="24"/>
        </w:rPr>
        <w:t xml:space="preserve"> question that arises is when </w:t>
      </w:r>
      <w:proofErr w:type="gramStart"/>
      <w:r w:rsidR="00263430" w:rsidRPr="00263430">
        <w:rPr>
          <w:rFonts w:ascii="Times New Roman" w:hAnsi="Times New Roman" w:cs="Times New Roman"/>
          <w:bCs/>
          <w:i/>
          <w:sz w:val="24"/>
          <w:szCs w:val="24"/>
        </w:rPr>
        <w:t>is</w:t>
      </w:r>
      <w:r w:rsidRPr="00263430">
        <w:rPr>
          <w:rFonts w:ascii="Times New Roman" w:hAnsi="Times New Roman" w:cs="Times New Roman"/>
          <w:bCs/>
          <w:i/>
          <w:sz w:val="24"/>
          <w:szCs w:val="24"/>
        </w:rPr>
        <w:t xml:space="preserve"> it</w:t>
      </w:r>
      <w:proofErr w:type="gramEnd"/>
      <w:r w:rsidRPr="00263430">
        <w:rPr>
          <w:rFonts w:ascii="Times New Roman" w:hAnsi="Times New Roman" w:cs="Times New Roman"/>
          <w:bCs/>
          <w:i/>
          <w:sz w:val="24"/>
          <w:szCs w:val="24"/>
        </w:rPr>
        <w:t xml:space="preserve"> that one can conclude that there was no evidence at the close of the state case.”</w:t>
      </w:r>
    </w:p>
    <w:p w:rsidR="008B619A" w:rsidRDefault="008B619A" w:rsidP="0013713B">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The court referred to the following cases:</w:t>
      </w:r>
    </w:p>
    <w:p w:rsidR="008B619A" w:rsidRDefault="008B619A" w:rsidP="0013713B">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r>
      <w:r w:rsidRPr="00ED3395">
        <w:rPr>
          <w:rFonts w:ascii="Times New Roman" w:hAnsi="Times New Roman" w:cs="Times New Roman"/>
          <w:bCs/>
          <w:i/>
          <w:sz w:val="24"/>
          <w:szCs w:val="24"/>
        </w:rPr>
        <w:t>Attorney General</w:t>
      </w:r>
      <w:r>
        <w:rPr>
          <w:rFonts w:ascii="Times New Roman" w:hAnsi="Times New Roman" w:cs="Times New Roman"/>
          <w:bCs/>
          <w:sz w:val="24"/>
          <w:szCs w:val="24"/>
        </w:rPr>
        <w:t xml:space="preserve"> v </w:t>
      </w:r>
      <w:r w:rsidRPr="00ED3395">
        <w:rPr>
          <w:rFonts w:ascii="Times New Roman" w:hAnsi="Times New Roman" w:cs="Times New Roman"/>
          <w:bCs/>
          <w:i/>
          <w:sz w:val="24"/>
          <w:szCs w:val="24"/>
        </w:rPr>
        <w:t>Bvuma &amp; Another</w:t>
      </w:r>
      <w:r>
        <w:rPr>
          <w:rFonts w:ascii="Times New Roman" w:hAnsi="Times New Roman" w:cs="Times New Roman"/>
          <w:bCs/>
          <w:sz w:val="24"/>
          <w:szCs w:val="24"/>
        </w:rPr>
        <w:t xml:space="preserve"> 1987 (2) ZLR 96 (S)</w:t>
      </w:r>
    </w:p>
    <w:p w:rsidR="008B619A" w:rsidRDefault="008B619A" w:rsidP="0013713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ED3395">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ED3395">
        <w:rPr>
          <w:rFonts w:ascii="Times New Roman" w:hAnsi="Times New Roman" w:cs="Times New Roman"/>
          <w:i/>
          <w:sz w:val="24"/>
          <w:szCs w:val="24"/>
        </w:rPr>
        <w:t>Tarwirei</w:t>
      </w:r>
      <w:r>
        <w:rPr>
          <w:rFonts w:ascii="Times New Roman" w:hAnsi="Times New Roman" w:cs="Times New Roman"/>
          <w:sz w:val="24"/>
          <w:szCs w:val="24"/>
        </w:rPr>
        <w:t xml:space="preserve"> 1991 (2) ZLR 576 (S)</w:t>
      </w:r>
    </w:p>
    <w:p w:rsidR="008B619A" w:rsidRDefault="008B619A" w:rsidP="0013713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ED3395">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ED3395">
        <w:rPr>
          <w:rFonts w:ascii="Times New Roman" w:hAnsi="Times New Roman" w:cs="Times New Roman"/>
          <w:i/>
          <w:sz w:val="24"/>
          <w:szCs w:val="24"/>
        </w:rPr>
        <w:t xml:space="preserve">Mzizi </w:t>
      </w:r>
      <w:r>
        <w:rPr>
          <w:rFonts w:ascii="Times New Roman" w:hAnsi="Times New Roman" w:cs="Times New Roman"/>
          <w:sz w:val="24"/>
          <w:szCs w:val="24"/>
        </w:rPr>
        <w:t>1991 (2) ZLR 321 (S)</w:t>
      </w:r>
    </w:p>
    <w:p w:rsidR="008B619A" w:rsidRDefault="008B619A" w:rsidP="0013713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ED3395">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ED3395">
        <w:rPr>
          <w:rFonts w:ascii="Times New Roman" w:hAnsi="Times New Roman" w:cs="Times New Roman"/>
          <w:i/>
          <w:sz w:val="24"/>
          <w:szCs w:val="24"/>
        </w:rPr>
        <w:t xml:space="preserve">Kachipare </w:t>
      </w:r>
      <w:r>
        <w:rPr>
          <w:rFonts w:ascii="Times New Roman" w:hAnsi="Times New Roman" w:cs="Times New Roman"/>
          <w:sz w:val="24"/>
          <w:szCs w:val="24"/>
        </w:rPr>
        <w:t>1998 (2) ZLR 271 (S)</w:t>
      </w:r>
    </w:p>
    <w:p w:rsidR="008B619A" w:rsidRDefault="00263430" w:rsidP="00ED339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thread going through the</w:t>
      </w:r>
      <w:r w:rsidR="008B619A">
        <w:rPr>
          <w:rFonts w:ascii="Times New Roman" w:hAnsi="Times New Roman" w:cs="Times New Roman"/>
          <w:sz w:val="24"/>
          <w:szCs w:val="24"/>
        </w:rPr>
        <w:t>se cited cases is that an application for discharge at the close of the state case will succeed where:</w:t>
      </w:r>
    </w:p>
    <w:p w:rsidR="008B619A" w:rsidRDefault="00612A62" w:rsidP="0013713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There is no evidence to prove an essential element of the offence charged.</w:t>
      </w:r>
    </w:p>
    <w:p w:rsidR="00612A62" w:rsidRDefault="00612A62" w:rsidP="0013713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Where there is no evidence upon which a reasonable court acting carefully might properly convict and</w:t>
      </w:r>
    </w:p>
    <w:p w:rsidR="00612A62" w:rsidRDefault="00612A62" w:rsidP="0013713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evidence adduced on behalf of the state is manifestly unreliable and that no reasonable court can safely act on it.</w:t>
      </w:r>
    </w:p>
    <w:p w:rsidR="00612A62" w:rsidRDefault="00612A62" w:rsidP="001371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D3395">
        <w:rPr>
          <w:rFonts w:ascii="Times New Roman" w:hAnsi="Times New Roman" w:cs="Times New Roman"/>
          <w:i/>
          <w:sz w:val="24"/>
          <w:szCs w:val="24"/>
        </w:rPr>
        <w:t>a</w:t>
      </w:r>
      <w:r w:rsidR="00B777A7" w:rsidRPr="00ED3395">
        <w:rPr>
          <w:rFonts w:ascii="Times New Roman" w:hAnsi="Times New Roman" w:cs="Times New Roman"/>
          <w:i/>
          <w:sz w:val="24"/>
          <w:szCs w:val="24"/>
        </w:rPr>
        <w:t xml:space="preserve"> </w:t>
      </w:r>
      <w:r w:rsidRPr="00ED3395">
        <w:rPr>
          <w:rFonts w:ascii="Times New Roman" w:hAnsi="Times New Roman" w:cs="Times New Roman"/>
          <w:i/>
          <w:sz w:val="24"/>
          <w:szCs w:val="24"/>
        </w:rPr>
        <w:t>quo</w:t>
      </w:r>
      <w:r>
        <w:rPr>
          <w:rFonts w:ascii="Times New Roman" w:hAnsi="Times New Roman" w:cs="Times New Roman"/>
          <w:sz w:val="24"/>
          <w:szCs w:val="24"/>
        </w:rPr>
        <w:t xml:space="preserve"> gave its reasons why the application for discharge at the close of</w:t>
      </w:r>
      <w:r w:rsidR="00B777A7">
        <w:rPr>
          <w:rFonts w:ascii="Times New Roman" w:hAnsi="Times New Roman" w:cs="Times New Roman"/>
          <w:sz w:val="24"/>
          <w:szCs w:val="24"/>
        </w:rPr>
        <w:t xml:space="preserve"> the state case could not succeed.  The court held that the state has succeeded in establishing a </w:t>
      </w:r>
      <w:r w:rsidR="00B777A7" w:rsidRPr="00ED3395">
        <w:rPr>
          <w:rFonts w:ascii="Times New Roman" w:hAnsi="Times New Roman" w:cs="Times New Roman"/>
          <w:i/>
          <w:sz w:val="24"/>
          <w:szCs w:val="24"/>
        </w:rPr>
        <w:t>prima</w:t>
      </w:r>
      <w:r w:rsidR="00B777A7">
        <w:rPr>
          <w:rFonts w:ascii="Times New Roman" w:hAnsi="Times New Roman" w:cs="Times New Roman"/>
          <w:sz w:val="24"/>
          <w:szCs w:val="24"/>
        </w:rPr>
        <w:t xml:space="preserve"> </w:t>
      </w:r>
      <w:r w:rsidR="00B777A7" w:rsidRPr="00ED3395">
        <w:rPr>
          <w:rFonts w:ascii="Times New Roman" w:hAnsi="Times New Roman" w:cs="Times New Roman"/>
          <w:i/>
          <w:sz w:val="24"/>
          <w:szCs w:val="24"/>
        </w:rPr>
        <w:t xml:space="preserve">facie </w:t>
      </w:r>
      <w:r w:rsidR="00B777A7">
        <w:rPr>
          <w:rFonts w:ascii="Times New Roman" w:hAnsi="Times New Roman" w:cs="Times New Roman"/>
          <w:sz w:val="24"/>
          <w:szCs w:val="24"/>
        </w:rPr>
        <w:t>case.</w:t>
      </w:r>
      <w:r>
        <w:rPr>
          <w:rFonts w:ascii="Times New Roman" w:hAnsi="Times New Roman" w:cs="Times New Roman"/>
          <w:sz w:val="24"/>
          <w:szCs w:val="24"/>
        </w:rPr>
        <w:t xml:space="preserve">  </w:t>
      </w:r>
    </w:p>
    <w:p w:rsidR="00BD50F8" w:rsidRDefault="00B777A7" w:rsidP="001371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hearing of the application, </w:t>
      </w:r>
      <w:r w:rsidRPr="00ED3395">
        <w:rPr>
          <w:rFonts w:ascii="Times New Roman" w:hAnsi="Times New Roman" w:cs="Times New Roman"/>
          <w:i/>
          <w:sz w:val="24"/>
          <w:szCs w:val="24"/>
        </w:rPr>
        <w:t>Mr T Nyathi</w:t>
      </w:r>
      <w:r>
        <w:rPr>
          <w:rFonts w:ascii="Times New Roman" w:hAnsi="Times New Roman" w:cs="Times New Roman"/>
          <w:sz w:val="24"/>
          <w:szCs w:val="24"/>
        </w:rPr>
        <w:t>, appearing for the state indicated that the state was</w:t>
      </w:r>
      <w:r w:rsidR="00C051FF">
        <w:rPr>
          <w:rFonts w:ascii="Times New Roman" w:hAnsi="Times New Roman" w:cs="Times New Roman"/>
          <w:sz w:val="24"/>
          <w:szCs w:val="24"/>
        </w:rPr>
        <w:t xml:space="preserve"> now</w:t>
      </w:r>
      <w:r>
        <w:rPr>
          <w:rFonts w:ascii="Times New Roman" w:hAnsi="Times New Roman" w:cs="Times New Roman"/>
          <w:sz w:val="24"/>
          <w:szCs w:val="24"/>
        </w:rPr>
        <w:t xml:space="preserve"> consenting to the application for a stay of the proceedings pen</w:t>
      </w:r>
      <w:r w:rsidR="00C051FF">
        <w:rPr>
          <w:rFonts w:ascii="Times New Roman" w:hAnsi="Times New Roman" w:cs="Times New Roman"/>
          <w:sz w:val="24"/>
          <w:szCs w:val="24"/>
        </w:rPr>
        <w:t>ding the application for review.</w:t>
      </w:r>
      <w:r>
        <w:rPr>
          <w:rFonts w:ascii="Times New Roman" w:hAnsi="Times New Roman" w:cs="Times New Roman"/>
          <w:sz w:val="24"/>
          <w:szCs w:val="24"/>
        </w:rPr>
        <w:t xml:space="preserve">  I</w:t>
      </w:r>
      <w:r w:rsidR="00CA1F02">
        <w:rPr>
          <w:rFonts w:ascii="Times New Roman" w:hAnsi="Times New Roman" w:cs="Times New Roman"/>
          <w:sz w:val="24"/>
          <w:szCs w:val="24"/>
        </w:rPr>
        <w:t xml:space="preserve"> </w:t>
      </w:r>
      <w:r w:rsidR="00C051FF">
        <w:rPr>
          <w:rFonts w:ascii="Times New Roman" w:hAnsi="Times New Roman" w:cs="Times New Roman"/>
          <w:sz w:val="24"/>
          <w:szCs w:val="24"/>
        </w:rPr>
        <w:t>do not believe that the concession by the state was properly made.</w:t>
      </w:r>
      <w:r>
        <w:rPr>
          <w:rFonts w:ascii="Times New Roman" w:hAnsi="Times New Roman" w:cs="Times New Roman"/>
          <w:sz w:val="24"/>
          <w:szCs w:val="24"/>
        </w:rPr>
        <w:t xml:space="preserve">  The st</w:t>
      </w:r>
      <w:r w:rsidR="008A2C3E">
        <w:rPr>
          <w:rFonts w:ascii="Times New Roman" w:hAnsi="Times New Roman" w:cs="Times New Roman"/>
          <w:sz w:val="24"/>
          <w:szCs w:val="24"/>
        </w:rPr>
        <w:t>ate it would seem, did not give much thought to the requirements for a stay of proceedings.  The prospects of success as envisaged by the law relates to the merits of the application for review</w:t>
      </w:r>
      <w:r w:rsidR="00BD50F8">
        <w:rPr>
          <w:rFonts w:ascii="Times New Roman" w:hAnsi="Times New Roman" w:cs="Times New Roman"/>
          <w:sz w:val="24"/>
          <w:szCs w:val="24"/>
        </w:rPr>
        <w:t xml:space="preserve">.  The only indication by the applicant in this application is that the court </w:t>
      </w:r>
      <w:r w:rsidR="00BD50F8" w:rsidRPr="00ED3395">
        <w:rPr>
          <w:rFonts w:ascii="Times New Roman" w:hAnsi="Times New Roman" w:cs="Times New Roman"/>
          <w:i/>
          <w:sz w:val="24"/>
          <w:szCs w:val="24"/>
        </w:rPr>
        <w:t>a quo</w:t>
      </w:r>
      <w:r w:rsidR="00BD50F8">
        <w:rPr>
          <w:rFonts w:ascii="Times New Roman" w:hAnsi="Times New Roman" w:cs="Times New Roman"/>
          <w:sz w:val="24"/>
          <w:szCs w:val="24"/>
        </w:rPr>
        <w:t xml:space="preserve"> must have regard to the provisions of section 120 of the Criminal Code and must have come to the conclusion that there was no authority to prosecute and therefore the proceedings are a nullity.  In my view that is a wrong approach.  The court </w:t>
      </w:r>
      <w:r w:rsidR="00BD50F8" w:rsidRPr="00ED3395">
        <w:rPr>
          <w:rFonts w:ascii="Times New Roman" w:hAnsi="Times New Roman" w:cs="Times New Roman"/>
          <w:i/>
          <w:sz w:val="24"/>
          <w:szCs w:val="24"/>
        </w:rPr>
        <w:t>a quo</w:t>
      </w:r>
      <w:r w:rsidR="00BD50F8">
        <w:rPr>
          <w:rFonts w:ascii="Times New Roman" w:hAnsi="Times New Roman" w:cs="Times New Roman"/>
          <w:sz w:val="24"/>
          <w:szCs w:val="24"/>
        </w:rPr>
        <w:t xml:space="preserve"> made a finding that there was a </w:t>
      </w:r>
      <w:r w:rsidR="00BD50F8" w:rsidRPr="00ED3395">
        <w:rPr>
          <w:rFonts w:ascii="Times New Roman" w:hAnsi="Times New Roman" w:cs="Times New Roman"/>
          <w:i/>
          <w:sz w:val="24"/>
          <w:szCs w:val="24"/>
        </w:rPr>
        <w:t>prima facie</w:t>
      </w:r>
      <w:r w:rsidR="00BD50F8">
        <w:rPr>
          <w:rFonts w:ascii="Times New Roman" w:hAnsi="Times New Roman" w:cs="Times New Roman"/>
          <w:sz w:val="24"/>
          <w:szCs w:val="24"/>
        </w:rPr>
        <w:t xml:space="preserve"> case.  The learned Magistrate gave detailed reasons why he made that finding.  An application for review should only be entertained where the learned Magistrate's decision is irrational or untenable.  An application for discharge is not a procedure designed to shield an accused who does not intend to be put on his or her defence.</w:t>
      </w:r>
    </w:p>
    <w:p w:rsidR="00B777A7" w:rsidRDefault="00BD50F8" w:rsidP="0013713B">
      <w:pPr>
        <w:spacing w:line="480" w:lineRule="auto"/>
        <w:ind w:firstLine="720"/>
        <w:jc w:val="both"/>
        <w:rPr>
          <w:rFonts w:ascii="Times New Roman" w:hAnsi="Times New Roman" w:cs="Times New Roman"/>
          <w:sz w:val="24"/>
          <w:szCs w:val="24"/>
        </w:rPr>
      </w:pPr>
      <w:r w:rsidRPr="00ED3395">
        <w:rPr>
          <w:rFonts w:ascii="Times New Roman" w:hAnsi="Times New Roman" w:cs="Times New Roman"/>
          <w:i/>
          <w:sz w:val="24"/>
          <w:szCs w:val="24"/>
        </w:rPr>
        <w:t>In Prosecutor General of Zimbabwe</w:t>
      </w:r>
      <w:r>
        <w:rPr>
          <w:rFonts w:ascii="Times New Roman" w:hAnsi="Times New Roman" w:cs="Times New Roman"/>
          <w:sz w:val="24"/>
          <w:szCs w:val="24"/>
        </w:rPr>
        <w:t xml:space="preserve"> v </w:t>
      </w:r>
      <w:r w:rsidRPr="00ED3395">
        <w:rPr>
          <w:rFonts w:ascii="Times New Roman" w:hAnsi="Times New Roman" w:cs="Times New Roman"/>
          <w:i/>
          <w:sz w:val="24"/>
          <w:szCs w:val="24"/>
        </w:rPr>
        <w:t>Intratek Zimbabwe (Pvt) Ltd &amp; Ors</w:t>
      </w:r>
      <w:r>
        <w:rPr>
          <w:rFonts w:ascii="Times New Roman" w:hAnsi="Times New Roman" w:cs="Times New Roman"/>
          <w:sz w:val="24"/>
          <w:szCs w:val="24"/>
        </w:rPr>
        <w:t xml:space="preserve"> SC 67-20 M</w:t>
      </w:r>
      <w:r w:rsidRPr="00ED3395">
        <w:rPr>
          <w:rFonts w:ascii="Times New Roman" w:hAnsi="Times New Roman" w:cs="Times New Roman"/>
          <w:sz w:val="20"/>
          <w:szCs w:val="20"/>
        </w:rPr>
        <w:t>AKARAU JA</w:t>
      </w:r>
      <w:r>
        <w:rPr>
          <w:rFonts w:ascii="Times New Roman" w:hAnsi="Times New Roman" w:cs="Times New Roman"/>
          <w:sz w:val="24"/>
          <w:szCs w:val="24"/>
        </w:rPr>
        <w:t xml:space="preserve"> (as she then was) had</w:t>
      </w:r>
      <w:r w:rsidR="006D4DDE">
        <w:rPr>
          <w:rFonts w:ascii="Times New Roman" w:hAnsi="Times New Roman" w:cs="Times New Roman"/>
          <w:sz w:val="24"/>
          <w:szCs w:val="24"/>
        </w:rPr>
        <w:t xml:space="preserve"> this to say about the law regarding interference with unterminated proceedings before a lower court; </w:t>
      </w:r>
      <w:r>
        <w:rPr>
          <w:rFonts w:ascii="Times New Roman" w:hAnsi="Times New Roman" w:cs="Times New Roman"/>
          <w:sz w:val="24"/>
          <w:szCs w:val="24"/>
        </w:rPr>
        <w:t xml:space="preserve">  </w:t>
      </w:r>
    </w:p>
    <w:p w:rsidR="006D4DDE" w:rsidRDefault="006D4DDE" w:rsidP="00ED3395">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general rule on when a superior court may interfere with the unterminated proceedings of a lower court was </w:t>
      </w:r>
      <w:r w:rsidR="001A6EBC">
        <w:rPr>
          <w:rFonts w:ascii="Times New Roman" w:hAnsi="Times New Roman" w:cs="Times New Roman"/>
          <w:sz w:val="24"/>
          <w:szCs w:val="24"/>
        </w:rPr>
        <w:t xml:space="preserve">settled in </w:t>
      </w:r>
      <w:r w:rsidR="001A6EBC" w:rsidRPr="00ED3395">
        <w:rPr>
          <w:rFonts w:ascii="Times New Roman" w:hAnsi="Times New Roman" w:cs="Times New Roman"/>
          <w:i/>
          <w:sz w:val="24"/>
          <w:szCs w:val="24"/>
        </w:rPr>
        <w:t>Attorney General</w:t>
      </w:r>
      <w:r w:rsidR="001A6EBC">
        <w:rPr>
          <w:rFonts w:ascii="Times New Roman" w:hAnsi="Times New Roman" w:cs="Times New Roman"/>
          <w:sz w:val="24"/>
          <w:szCs w:val="24"/>
        </w:rPr>
        <w:t xml:space="preserve"> v </w:t>
      </w:r>
      <w:r w:rsidR="001A6EBC" w:rsidRPr="00ED3395">
        <w:rPr>
          <w:rFonts w:ascii="Times New Roman" w:hAnsi="Times New Roman" w:cs="Times New Roman"/>
          <w:i/>
          <w:sz w:val="24"/>
          <w:szCs w:val="24"/>
        </w:rPr>
        <w:t>Makamba</w:t>
      </w:r>
      <w:r w:rsidR="001A6EBC">
        <w:rPr>
          <w:rFonts w:ascii="Times New Roman" w:hAnsi="Times New Roman" w:cs="Times New Roman"/>
          <w:sz w:val="24"/>
          <w:szCs w:val="24"/>
        </w:rPr>
        <w:t xml:space="preserve"> 2003 (2) ZLR 54 (S) where M</w:t>
      </w:r>
      <w:r w:rsidR="001A6EBC" w:rsidRPr="00ED3395">
        <w:rPr>
          <w:rFonts w:ascii="Times New Roman" w:hAnsi="Times New Roman" w:cs="Times New Roman"/>
          <w:sz w:val="20"/>
          <w:szCs w:val="20"/>
        </w:rPr>
        <w:t>ALABA JA</w:t>
      </w:r>
      <w:r w:rsidR="001A6EBC">
        <w:rPr>
          <w:rFonts w:ascii="Times New Roman" w:hAnsi="Times New Roman" w:cs="Times New Roman"/>
          <w:sz w:val="24"/>
          <w:szCs w:val="24"/>
        </w:rPr>
        <w:t xml:space="preserve"> (as he then was</w:t>
      </w:r>
      <w:r w:rsidR="00ED3395">
        <w:rPr>
          <w:rFonts w:ascii="Times New Roman" w:hAnsi="Times New Roman" w:cs="Times New Roman"/>
          <w:sz w:val="24"/>
          <w:szCs w:val="24"/>
        </w:rPr>
        <w:t>)</w:t>
      </w:r>
      <w:r w:rsidR="001A6EBC">
        <w:rPr>
          <w:rFonts w:ascii="Times New Roman" w:hAnsi="Times New Roman" w:cs="Times New Roman"/>
          <w:sz w:val="24"/>
          <w:szCs w:val="24"/>
        </w:rPr>
        <w:t xml:space="preserve"> had this to say at 64 C:</w:t>
      </w:r>
    </w:p>
    <w:p w:rsidR="001A6EBC" w:rsidRPr="00C051FF" w:rsidRDefault="001A6EBC" w:rsidP="0013713B">
      <w:pPr>
        <w:spacing w:line="480" w:lineRule="auto"/>
        <w:ind w:left="720"/>
        <w:jc w:val="both"/>
        <w:rPr>
          <w:rFonts w:ascii="Times New Roman" w:hAnsi="Times New Roman" w:cs="Times New Roman"/>
          <w:i/>
          <w:sz w:val="24"/>
          <w:szCs w:val="24"/>
        </w:rPr>
      </w:pPr>
      <w:r w:rsidRPr="00C051FF">
        <w:rPr>
          <w:rFonts w:ascii="Times New Roman" w:hAnsi="Times New Roman" w:cs="Times New Roman"/>
          <w:i/>
          <w:sz w:val="24"/>
          <w:szCs w:val="24"/>
        </w:rPr>
        <w:t>“The general rule is that a superior court should interfere in uncompleted proceedings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1A6EBC" w:rsidRDefault="001A6EBC" w:rsidP="0013713B">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settling this rule thus, the court referred to the South African case of </w:t>
      </w:r>
      <w:r w:rsidRPr="0027446F">
        <w:rPr>
          <w:rFonts w:ascii="Times New Roman" w:hAnsi="Times New Roman" w:cs="Times New Roman"/>
          <w:i/>
          <w:sz w:val="24"/>
          <w:szCs w:val="24"/>
        </w:rPr>
        <w:t>Ishmael &amp; Ors</w:t>
      </w:r>
      <w:r>
        <w:rPr>
          <w:rFonts w:ascii="Times New Roman" w:hAnsi="Times New Roman" w:cs="Times New Roman"/>
          <w:sz w:val="24"/>
          <w:szCs w:val="24"/>
        </w:rPr>
        <w:t xml:space="preserve"> v </w:t>
      </w:r>
      <w:r w:rsidRPr="0027446F">
        <w:rPr>
          <w:rFonts w:ascii="Times New Roman" w:hAnsi="Times New Roman" w:cs="Times New Roman"/>
          <w:i/>
          <w:sz w:val="24"/>
          <w:szCs w:val="24"/>
        </w:rPr>
        <w:t>Additional Magistrate Wynberg &amp; Anor</w:t>
      </w:r>
      <w:r>
        <w:rPr>
          <w:rFonts w:ascii="Times New Roman" w:hAnsi="Times New Roman" w:cs="Times New Roman"/>
          <w:sz w:val="24"/>
          <w:szCs w:val="24"/>
        </w:rPr>
        <w:t xml:space="preserve"> 1963 (1) SA 1 (A) where it was similarly observed that a Superior court should </w:t>
      </w:r>
      <w:r w:rsidR="00F75315">
        <w:rPr>
          <w:rFonts w:ascii="Times New Roman" w:hAnsi="Times New Roman" w:cs="Times New Roman"/>
          <w:sz w:val="24"/>
          <w:szCs w:val="24"/>
        </w:rPr>
        <w:t>be slow to interfere in unterminated proceedings in a court below and should confine the exercise of its power to those cases where grave injustice might otherwise result or where justice by o</w:t>
      </w:r>
      <w:r w:rsidR="006265E5">
        <w:rPr>
          <w:rFonts w:ascii="Times New Roman" w:hAnsi="Times New Roman" w:cs="Times New Roman"/>
          <w:sz w:val="24"/>
          <w:szCs w:val="24"/>
        </w:rPr>
        <w:t>ther means may not be obtained.</w:t>
      </w:r>
    </w:p>
    <w:p w:rsidR="00F75315" w:rsidRDefault="00F75315" w:rsidP="001371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aware that I must determine this application without prejudging the applicant’s </w:t>
      </w:r>
      <w:r w:rsidR="006265E5">
        <w:rPr>
          <w:rFonts w:ascii="Times New Roman" w:hAnsi="Times New Roman" w:cs="Times New Roman"/>
          <w:sz w:val="24"/>
          <w:szCs w:val="24"/>
        </w:rPr>
        <w:t>application for review.  I must</w:t>
      </w:r>
      <w:r>
        <w:rPr>
          <w:rFonts w:ascii="Times New Roman" w:hAnsi="Times New Roman" w:cs="Times New Roman"/>
          <w:sz w:val="24"/>
          <w:szCs w:val="24"/>
        </w:rPr>
        <w:t xml:space="preserve"> merely consider whether it is worth</w:t>
      </w:r>
      <w:r w:rsidR="0027446F">
        <w:rPr>
          <w:rFonts w:ascii="Times New Roman" w:hAnsi="Times New Roman" w:cs="Times New Roman"/>
          <w:sz w:val="24"/>
          <w:szCs w:val="24"/>
        </w:rPr>
        <w:t xml:space="preserve"> placing b</w:t>
      </w:r>
      <w:r>
        <w:rPr>
          <w:rFonts w:ascii="Times New Roman" w:hAnsi="Times New Roman" w:cs="Times New Roman"/>
          <w:sz w:val="24"/>
          <w:szCs w:val="24"/>
        </w:rPr>
        <w:t>efore th</w:t>
      </w:r>
      <w:r w:rsidR="006265E5">
        <w:rPr>
          <w:rFonts w:ascii="Times New Roman" w:hAnsi="Times New Roman" w:cs="Times New Roman"/>
          <w:sz w:val="24"/>
          <w:szCs w:val="24"/>
        </w:rPr>
        <w:t>e</w:t>
      </w:r>
      <w:r>
        <w:rPr>
          <w:rFonts w:ascii="Times New Roman" w:hAnsi="Times New Roman" w:cs="Times New Roman"/>
          <w:sz w:val="24"/>
          <w:szCs w:val="24"/>
        </w:rPr>
        <w:t xml:space="preserve"> court for review.</w:t>
      </w:r>
    </w:p>
    <w:p w:rsidR="00F75315" w:rsidRDefault="00F75315" w:rsidP="001371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am of the view that a stay of proceedings is not merited.  The application for review has been filed with a view to frustrate and delay proceedings.  No grave injustice has been shown to have occurred and this court must not interfere in unterminated proceedings in the lower court.</w:t>
      </w:r>
    </w:p>
    <w:p w:rsidR="00F75315" w:rsidRDefault="00F75315" w:rsidP="0013713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this application is hereby dismissed with costs.</w:t>
      </w:r>
    </w:p>
    <w:p w:rsidR="00F75315" w:rsidRDefault="00F75315" w:rsidP="0013713B">
      <w:pPr>
        <w:spacing w:line="480" w:lineRule="auto"/>
        <w:jc w:val="both"/>
        <w:rPr>
          <w:rFonts w:ascii="Times New Roman" w:hAnsi="Times New Roman" w:cs="Times New Roman"/>
          <w:sz w:val="24"/>
          <w:szCs w:val="24"/>
        </w:rPr>
      </w:pPr>
    </w:p>
    <w:p w:rsidR="00F75315" w:rsidRDefault="00F75315" w:rsidP="0013713B">
      <w:pPr>
        <w:spacing w:line="480" w:lineRule="auto"/>
        <w:jc w:val="both"/>
        <w:rPr>
          <w:rFonts w:ascii="Times New Roman" w:hAnsi="Times New Roman" w:cs="Times New Roman"/>
          <w:sz w:val="24"/>
          <w:szCs w:val="24"/>
        </w:rPr>
      </w:pPr>
      <w:r w:rsidRPr="0027446F">
        <w:rPr>
          <w:rFonts w:ascii="Times New Roman" w:hAnsi="Times New Roman" w:cs="Times New Roman"/>
          <w:i/>
          <w:sz w:val="24"/>
          <w:szCs w:val="24"/>
        </w:rPr>
        <w:t xml:space="preserve">Lazarus and </w:t>
      </w:r>
      <w:proofErr w:type="spellStart"/>
      <w:r w:rsidRPr="0027446F">
        <w:rPr>
          <w:rFonts w:ascii="Times New Roman" w:hAnsi="Times New Roman" w:cs="Times New Roman"/>
          <w:i/>
          <w:sz w:val="24"/>
          <w:szCs w:val="24"/>
        </w:rPr>
        <w:t>Sarif</w:t>
      </w:r>
      <w:proofErr w:type="spellEnd"/>
      <w:r>
        <w:rPr>
          <w:rFonts w:ascii="Times New Roman" w:hAnsi="Times New Roman" w:cs="Times New Roman"/>
          <w:sz w:val="24"/>
          <w:szCs w:val="24"/>
        </w:rPr>
        <w:t>, applicant’s legal practitioners</w:t>
      </w:r>
    </w:p>
    <w:p w:rsidR="00F75315" w:rsidRDefault="00F75315" w:rsidP="0013713B">
      <w:pPr>
        <w:spacing w:line="480" w:lineRule="auto"/>
        <w:jc w:val="both"/>
        <w:rPr>
          <w:rFonts w:ascii="Times New Roman" w:hAnsi="Times New Roman" w:cs="Times New Roman"/>
          <w:sz w:val="24"/>
          <w:szCs w:val="24"/>
        </w:rPr>
      </w:pPr>
      <w:r w:rsidRPr="0027446F">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F75315" w:rsidRDefault="00F75315" w:rsidP="00F75315">
      <w:pPr>
        <w:spacing w:line="480" w:lineRule="auto"/>
        <w:rPr>
          <w:rFonts w:ascii="Times New Roman" w:hAnsi="Times New Roman" w:cs="Times New Roman"/>
          <w:sz w:val="24"/>
          <w:szCs w:val="24"/>
        </w:rPr>
      </w:pPr>
    </w:p>
    <w:p w:rsidR="00F75315" w:rsidRPr="00612A62" w:rsidRDefault="00F75315" w:rsidP="00F75315">
      <w:pPr>
        <w:spacing w:line="480" w:lineRule="auto"/>
        <w:rPr>
          <w:rFonts w:ascii="Times New Roman" w:hAnsi="Times New Roman" w:cs="Times New Roman"/>
          <w:sz w:val="24"/>
          <w:szCs w:val="24"/>
        </w:rPr>
      </w:pPr>
      <w:bookmarkStart w:id="0" w:name="_GoBack"/>
      <w:bookmarkEnd w:id="0"/>
    </w:p>
    <w:sectPr w:rsidR="00F75315" w:rsidRPr="00612A62" w:rsidSect="00716B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B1F" w:rsidRDefault="00D81B1F" w:rsidP="0013713B">
      <w:pPr>
        <w:spacing w:after="0" w:line="240" w:lineRule="auto"/>
      </w:pPr>
      <w:r>
        <w:separator/>
      </w:r>
    </w:p>
  </w:endnote>
  <w:endnote w:type="continuationSeparator" w:id="0">
    <w:p w:rsidR="00D81B1F" w:rsidRDefault="00D81B1F" w:rsidP="0013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B1F" w:rsidRDefault="00D81B1F" w:rsidP="0013713B">
      <w:pPr>
        <w:spacing w:after="0" w:line="240" w:lineRule="auto"/>
      </w:pPr>
      <w:r>
        <w:separator/>
      </w:r>
    </w:p>
  </w:footnote>
  <w:footnote w:type="continuationSeparator" w:id="0">
    <w:p w:rsidR="00D81B1F" w:rsidRDefault="00D81B1F" w:rsidP="001371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165520"/>
      <w:docPartObj>
        <w:docPartGallery w:val="Page Numbers (Top of Page)"/>
        <w:docPartUnique/>
      </w:docPartObj>
    </w:sdtPr>
    <w:sdtEndPr>
      <w:rPr>
        <w:rFonts w:ascii="Times New Roman" w:hAnsi="Times New Roman" w:cs="Times New Roman"/>
        <w:noProof/>
        <w:sz w:val="24"/>
        <w:szCs w:val="24"/>
      </w:rPr>
    </w:sdtEndPr>
    <w:sdtContent>
      <w:p w:rsidR="0013713B" w:rsidRPr="0013713B" w:rsidRDefault="002319AF">
        <w:pPr>
          <w:pStyle w:val="Header"/>
          <w:jc w:val="right"/>
          <w:rPr>
            <w:rFonts w:ascii="Times New Roman" w:hAnsi="Times New Roman" w:cs="Times New Roman"/>
            <w:noProof/>
            <w:sz w:val="24"/>
            <w:szCs w:val="24"/>
          </w:rPr>
        </w:pPr>
        <w:r w:rsidRPr="0013713B">
          <w:rPr>
            <w:rFonts w:ascii="Times New Roman" w:hAnsi="Times New Roman" w:cs="Times New Roman"/>
            <w:sz w:val="24"/>
            <w:szCs w:val="24"/>
          </w:rPr>
          <w:fldChar w:fldCharType="begin"/>
        </w:r>
        <w:r w:rsidR="0013713B" w:rsidRPr="0013713B">
          <w:rPr>
            <w:rFonts w:ascii="Times New Roman" w:hAnsi="Times New Roman" w:cs="Times New Roman"/>
            <w:sz w:val="24"/>
            <w:szCs w:val="24"/>
          </w:rPr>
          <w:instrText xml:space="preserve"> PAGE   \* MERGEFORMAT </w:instrText>
        </w:r>
        <w:r w:rsidRPr="0013713B">
          <w:rPr>
            <w:rFonts w:ascii="Times New Roman" w:hAnsi="Times New Roman" w:cs="Times New Roman"/>
            <w:sz w:val="24"/>
            <w:szCs w:val="24"/>
          </w:rPr>
          <w:fldChar w:fldCharType="separate"/>
        </w:r>
        <w:r w:rsidR="00CA1F02">
          <w:rPr>
            <w:rFonts w:ascii="Times New Roman" w:hAnsi="Times New Roman" w:cs="Times New Roman"/>
            <w:noProof/>
            <w:sz w:val="24"/>
            <w:szCs w:val="24"/>
          </w:rPr>
          <w:t>6</w:t>
        </w:r>
        <w:r w:rsidRPr="0013713B">
          <w:rPr>
            <w:rFonts w:ascii="Times New Roman" w:hAnsi="Times New Roman" w:cs="Times New Roman"/>
            <w:noProof/>
            <w:sz w:val="24"/>
            <w:szCs w:val="24"/>
          </w:rPr>
          <w:fldChar w:fldCharType="end"/>
        </w:r>
      </w:p>
      <w:p w:rsidR="0013713B" w:rsidRPr="0013713B" w:rsidRDefault="00D906F7">
        <w:pPr>
          <w:pStyle w:val="Header"/>
          <w:jc w:val="right"/>
          <w:rPr>
            <w:rFonts w:ascii="Times New Roman" w:hAnsi="Times New Roman" w:cs="Times New Roman"/>
            <w:noProof/>
            <w:sz w:val="24"/>
            <w:szCs w:val="24"/>
          </w:rPr>
        </w:pPr>
        <w:r>
          <w:rPr>
            <w:rFonts w:ascii="Times New Roman" w:hAnsi="Times New Roman" w:cs="Times New Roman"/>
            <w:noProof/>
            <w:sz w:val="24"/>
            <w:szCs w:val="24"/>
          </w:rPr>
          <w:t>HB 111/22</w:t>
        </w:r>
      </w:p>
      <w:p w:rsidR="0013713B" w:rsidRPr="0013713B" w:rsidRDefault="0013713B">
        <w:pPr>
          <w:pStyle w:val="Header"/>
          <w:jc w:val="right"/>
          <w:rPr>
            <w:rFonts w:ascii="Times New Roman" w:hAnsi="Times New Roman" w:cs="Times New Roman"/>
            <w:sz w:val="24"/>
            <w:szCs w:val="24"/>
          </w:rPr>
        </w:pPr>
        <w:r w:rsidRPr="0013713B">
          <w:rPr>
            <w:rFonts w:ascii="Times New Roman" w:hAnsi="Times New Roman" w:cs="Times New Roman"/>
            <w:noProof/>
            <w:sz w:val="24"/>
            <w:szCs w:val="24"/>
          </w:rPr>
          <w:t>HC 401/22</w:t>
        </w:r>
      </w:p>
    </w:sdtContent>
  </w:sdt>
  <w:p w:rsidR="0013713B" w:rsidRDefault="00137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B69F8"/>
    <w:multiLevelType w:val="hybridMultilevel"/>
    <w:tmpl w:val="BA8AB44E"/>
    <w:lvl w:ilvl="0" w:tplc="2410ED3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C1FDA"/>
    <w:rsid w:val="000617D7"/>
    <w:rsid w:val="000C1FDA"/>
    <w:rsid w:val="00126039"/>
    <w:rsid w:val="00126C78"/>
    <w:rsid w:val="0013713B"/>
    <w:rsid w:val="00181295"/>
    <w:rsid w:val="001A6EBC"/>
    <w:rsid w:val="001B2E0D"/>
    <w:rsid w:val="0020303B"/>
    <w:rsid w:val="00223694"/>
    <w:rsid w:val="002319AF"/>
    <w:rsid w:val="00263430"/>
    <w:rsid w:val="0027446F"/>
    <w:rsid w:val="0037689E"/>
    <w:rsid w:val="003A2979"/>
    <w:rsid w:val="003E6C72"/>
    <w:rsid w:val="00612A62"/>
    <w:rsid w:val="006265E5"/>
    <w:rsid w:val="006C68BC"/>
    <w:rsid w:val="006D20A6"/>
    <w:rsid w:val="006D4DDE"/>
    <w:rsid w:val="006D6240"/>
    <w:rsid w:val="00716BDE"/>
    <w:rsid w:val="007F4FC8"/>
    <w:rsid w:val="008A2C3E"/>
    <w:rsid w:val="008B619A"/>
    <w:rsid w:val="0090083D"/>
    <w:rsid w:val="00922278"/>
    <w:rsid w:val="009850CE"/>
    <w:rsid w:val="009A497F"/>
    <w:rsid w:val="00A62611"/>
    <w:rsid w:val="00AE2FB3"/>
    <w:rsid w:val="00B777A7"/>
    <w:rsid w:val="00BC48FF"/>
    <w:rsid w:val="00BD50F8"/>
    <w:rsid w:val="00C051FF"/>
    <w:rsid w:val="00C76400"/>
    <w:rsid w:val="00C941CA"/>
    <w:rsid w:val="00C97823"/>
    <w:rsid w:val="00CA1F02"/>
    <w:rsid w:val="00D43C1E"/>
    <w:rsid w:val="00D81B1F"/>
    <w:rsid w:val="00D906F7"/>
    <w:rsid w:val="00DC47EB"/>
    <w:rsid w:val="00ED3395"/>
    <w:rsid w:val="00EF6BD1"/>
    <w:rsid w:val="00F7531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6C4B0-BE45-4FC2-9814-0A8E81CB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FD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1FDA"/>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8B619A"/>
    <w:pPr>
      <w:ind w:left="720"/>
      <w:contextualSpacing/>
    </w:pPr>
  </w:style>
  <w:style w:type="paragraph" w:styleId="Header">
    <w:name w:val="header"/>
    <w:basedOn w:val="Normal"/>
    <w:link w:val="HeaderChar"/>
    <w:uiPriority w:val="99"/>
    <w:unhideWhenUsed/>
    <w:rsid w:val="00137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13B"/>
  </w:style>
  <w:style w:type="paragraph" w:styleId="Footer">
    <w:name w:val="footer"/>
    <w:basedOn w:val="Normal"/>
    <w:link w:val="FooterChar"/>
    <w:uiPriority w:val="99"/>
    <w:unhideWhenUsed/>
    <w:rsid w:val="00137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33</cp:revision>
  <cp:lastPrinted>2022-04-13T13:34:00Z</cp:lastPrinted>
  <dcterms:created xsi:type="dcterms:W3CDTF">2022-04-08T08:51:00Z</dcterms:created>
  <dcterms:modified xsi:type="dcterms:W3CDTF">2022-04-13T13:40:00Z</dcterms:modified>
</cp:coreProperties>
</file>