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BF9" w:rsidRDefault="009742E1">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483788">
        <w:rPr>
          <w:b/>
          <w:sz w:val="24"/>
          <w:szCs w:val="24"/>
        </w:rPr>
        <w:t>543</w:t>
      </w:r>
      <w:r>
        <w:rPr>
          <w:b/>
          <w:sz w:val="24"/>
          <w:szCs w:val="24"/>
        </w:rPr>
        <w:t>/16</w:t>
      </w:r>
    </w:p>
    <w:p w:rsidR="009742E1" w:rsidRDefault="009742E1">
      <w:pPr>
        <w:rPr>
          <w:b/>
          <w:sz w:val="24"/>
          <w:szCs w:val="24"/>
        </w:rPr>
      </w:pPr>
      <w:r>
        <w:rPr>
          <w:b/>
          <w:sz w:val="24"/>
          <w:szCs w:val="24"/>
        </w:rPr>
        <w:t>HELD AT HARARE 12 MAY 2016</w:t>
      </w:r>
      <w:r>
        <w:rPr>
          <w:b/>
          <w:sz w:val="24"/>
          <w:szCs w:val="24"/>
        </w:rPr>
        <w:tab/>
      </w:r>
      <w:r>
        <w:rPr>
          <w:b/>
          <w:sz w:val="24"/>
          <w:szCs w:val="24"/>
        </w:rPr>
        <w:tab/>
      </w:r>
      <w:r>
        <w:rPr>
          <w:b/>
          <w:sz w:val="24"/>
          <w:szCs w:val="24"/>
        </w:rPr>
        <w:tab/>
      </w:r>
      <w:r>
        <w:rPr>
          <w:b/>
          <w:sz w:val="24"/>
          <w:szCs w:val="24"/>
        </w:rPr>
        <w:tab/>
        <w:t>CASE NO LC/H/REV/35/</w:t>
      </w:r>
      <w:proofErr w:type="gramStart"/>
      <w:r>
        <w:rPr>
          <w:b/>
          <w:sz w:val="24"/>
          <w:szCs w:val="24"/>
        </w:rPr>
        <w:t>15</w:t>
      </w:r>
      <w:proofErr w:type="gramEnd"/>
    </w:p>
    <w:p w:rsidR="009742E1" w:rsidRDefault="009742E1">
      <w:pPr>
        <w:rPr>
          <w:b/>
          <w:sz w:val="24"/>
          <w:szCs w:val="24"/>
        </w:rPr>
      </w:pPr>
      <w:r>
        <w:rPr>
          <w:b/>
          <w:sz w:val="24"/>
          <w:szCs w:val="24"/>
        </w:rPr>
        <w:t xml:space="preserve">&amp; </w:t>
      </w:r>
      <w:r w:rsidR="002926DC">
        <w:rPr>
          <w:b/>
          <w:sz w:val="24"/>
          <w:szCs w:val="24"/>
        </w:rPr>
        <w:t>23</w:t>
      </w:r>
      <w:bookmarkStart w:id="0" w:name="_GoBack"/>
      <w:bookmarkEnd w:id="0"/>
      <w:r w:rsidR="00483788">
        <w:rPr>
          <w:b/>
          <w:sz w:val="24"/>
          <w:szCs w:val="24"/>
        </w:rPr>
        <w:t xml:space="preserve"> SEPTEMBER</w:t>
      </w:r>
      <w:r>
        <w:rPr>
          <w:b/>
          <w:sz w:val="24"/>
          <w:szCs w:val="24"/>
        </w:rPr>
        <w:t xml:space="preserve"> 2016</w:t>
      </w:r>
    </w:p>
    <w:p w:rsidR="009742E1" w:rsidRDefault="009742E1">
      <w:pPr>
        <w:rPr>
          <w:sz w:val="24"/>
          <w:szCs w:val="24"/>
        </w:rPr>
      </w:pPr>
      <w:r>
        <w:rPr>
          <w:sz w:val="24"/>
          <w:szCs w:val="24"/>
        </w:rPr>
        <w:t>In the matter between:</w:t>
      </w:r>
    </w:p>
    <w:p w:rsidR="009742E1" w:rsidRDefault="00144F79" w:rsidP="00F30996">
      <w:pPr>
        <w:spacing w:line="360" w:lineRule="auto"/>
        <w:rPr>
          <w:b/>
          <w:sz w:val="24"/>
          <w:szCs w:val="24"/>
        </w:rPr>
      </w:pPr>
      <w:r>
        <w:rPr>
          <w:b/>
          <w:sz w:val="24"/>
          <w:szCs w:val="24"/>
        </w:rPr>
        <w:t>SIBONGILE CHINOGONA</w:t>
      </w:r>
      <w:r>
        <w:rPr>
          <w:b/>
          <w:sz w:val="24"/>
          <w:szCs w:val="24"/>
        </w:rPr>
        <w:tab/>
      </w:r>
      <w:r>
        <w:rPr>
          <w:b/>
          <w:sz w:val="24"/>
          <w:szCs w:val="24"/>
        </w:rPr>
        <w:tab/>
      </w:r>
      <w:r>
        <w:rPr>
          <w:b/>
          <w:sz w:val="24"/>
          <w:szCs w:val="24"/>
        </w:rPr>
        <w:tab/>
      </w:r>
      <w:r>
        <w:rPr>
          <w:b/>
          <w:sz w:val="24"/>
          <w:szCs w:val="24"/>
        </w:rPr>
        <w:tab/>
        <w:t>Applicant</w:t>
      </w:r>
    </w:p>
    <w:p w:rsidR="00144F79" w:rsidRDefault="00144F79" w:rsidP="00F30996">
      <w:pPr>
        <w:spacing w:line="360" w:lineRule="auto"/>
        <w:rPr>
          <w:b/>
          <w:sz w:val="24"/>
          <w:szCs w:val="24"/>
        </w:rPr>
      </w:pPr>
      <w:r>
        <w:rPr>
          <w:b/>
          <w:sz w:val="24"/>
          <w:szCs w:val="24"/>
        </w:rPr>
        <w:t>And</w:t>
      </w:r>
    </w:p>
    <w:p w:rsidR="00144F79" w:rsidRDefault="00144F79" w:rsidP="00F30996">
      <w:pPr>
        <w:spacing w:line="360" w:lineRule="auto"/>
        <w:rPr>
          <w:b/>
          <w:sz w:val="24"/>
          <w:szCs w:val="24"/>
        </w:rPr>
      </w:pPr>
      <w:r>
        <w:rPr>
          <w:b/>
          <w:sz w:val="24"/>
          <w:szCs w:val="24"/>
        </w:rPr>
        <w:t>KMP HOLDINGS (PVT) LTD</w:t>
      </w:r>
      <w:r>
        <w:rPr>
          <w:b/>
          <w:sz w:val="24"/>
          <w:szCs w:val="24"/>
        </w:rPr>
        <w:tab/>
      </w:r>
      <w:r>
        <w:rPr>
          <w:b/>
          <w:sz w:val="24"/>
          <w:szCs w:val="24"/>
        </w:rPr>
        <w:tab/>
      </w:r>
      <w:r>
        <w:rPr>
          <w:b/>
          <w:sz w:val="24"/>
          <w:szCs w:val="24"/>
        </w:rPr>
        <w:tab/>
      </w:r>
      <w:r w:rsidR="00F30996">
        <w:rPr>
          <w:b/>
          <w:sz w:val="24"/>
          <w:szCs w:val="24"/>
        </w:rPr>
        <w:tab/>
      </w:r>
      <w:r>
        <w:rPr>
          <w:b/>
          <w:sz w:val="24"/>
          <w:szCs w:val="24"/>
        </w:rPr>
        <w:t>Respondent</w:t>
      </w:r>
    </w:p>
    <w:p w:rsidR="00144F79" w:rsidRDefault="00144F79" w:rsidP="00F30996">
      <w:pPr>
        <w:spacing w:line="360" w:lineRule="auto"/>
        <w:rPr>
          <w:sz w:val="24"/>
          <w:szCs w:val="24"/>
        </w:rPr>
      </w:pPr>
      <w:r>
        <w:rPr>
          <w:sz w:val="24"/>
          <w:szCs w:val="24"/>
        </w:rPr>
        <w:t xml:space="preserve">Before The Honourable L </w:t>
      </w:r>
      <w:proofErr w:type="spellStart"/>
      <w:r>
        <w:rPr>
          <w:sz w:val="24"/>
          <w:szCs w:val="24"/>
        </w:rPr>
        <w:t>Kudya</w:t>
      </w:r>
      <w:proofErr w:type="spellEnd"/>
      <w:r>
        <w:rPr>
          <w:sz w:val="24"/>
          <w:szCs w:val="24"/>
        </w:rPr>
        <w:t>, J</w:t>
      </w:r>
    </w:p>
    <w:p w:rsidR="00144F79" w:rsidRDefault="00144F79" w:rsidP="00F30996">
      <w:pPr>
        <w:spacing w:line="360" w:lineRule="auto"/>
        <w:rPr>
          <w:b/>
          <w:sz w:val="24"/>
          <w:szCs w:val="24"/>
        </w:rPr>
      </w:pPr>
      <w:r>
        <w:rPr>
          <w:b/>
          <w:sz w:val="24"/>
          <w:szCs w:val="24"/>
        </w:rPr>
        <w:t>For Applicant</w:t>
      </w:r>
      <w:r>
        <w:rPr>
          <w:b/>
          <w:sz w:val="24"/>
          <w:szCs w:val="24"/>
        </w:rPr>
        <w:tab/>
      </w:r>
      <w:r>
        <w:rPr>
          <w:b/>
          <w:sz w:val="24"/>
          <w:szCs w:val="24"/>
        </w:rPr>
        <w:tab/>
      </w:r>
      <w:r>
        <w:rPr>
          <w:b/>
          <w:sz w:val="24"/>
          <w:szCs w:val="24"/>
        </w:rPr>
        <w:tab/>
        <w:t xml:space="preserve">T </w:t>
      </w:r>
      <w:proofErr w:type="spellStart"/>
      <w:r>
        <w:rPr>
          <w:b/>
          <w:sz w:val="24"/>
          <w:szCs w:val="24"/>
        </w:rPr>
        <w:t>Nyakunika</w:t>
      </w:r>
      <w:proofErr w:type="spellEnd"/>
      <w:r>
        <w:rPr>
          <w:b/>
          <w:sz w:val="24"/>
          <w:szCs w:val="24"/>
        </w:rPr>
        <w:t xml:space="preserve"> (Legal Practitioner)</w:t>
      </w:r>
    </w:p>
    <w:p w:rsidR="00144F79" w:rsidRDefault="00144F79" w:rsidP="00F30996">
      <w:pPr>
        <w:spacing w:line="360" w:lineRule="auto"/>
        <w:rPr>
          <w:b/>
          <w:sz w:val="24"/>
          <w:szCs w:val="24"/>
        </w:rPr>
      </w:pPr>
      <w:r>
        <w:rPr>
          <w:b/>
          <w:sz w:val="24"/>
          <w:szCs w:val="24"/>
        </w:rPr>
        <w:t>For Respondent</w:t>
      </w:r>
      <w:r>
        <w:rPr>
          <w:b/>
          <w:sz w:val="24"/>
          <w:szCs w:val="24"/>
        </w:rPr>
        <w:tab/>
      </w:r>
      <w:r>
        <w:rPr>
          <w:b/>
          <w:sz w:val="24"/>
          <w:szCs w:val="24"/>
        </w:rPr>
        <w:tab/>
        <w:t xml:space="preserve">D </w:t>
      </w:r>
      <w:proofErr w:type="spellStart"/>
      <w:r>
        <w:rPr>
          <w:b/>
          <w:sz w:val="24"/>
          <w:szCs w:val="24"/>
        </w:rPr>
        <w:t>Tandiri</w:t>
      </w:r>
      <w:proofErr w:type="spellEnd"/>
      <w:r>
        <w:rPr>
          <w:b/>
          <w:sz w:val="24"/>
          <w:szCs w:val="24"/>
        </w:rPr>
        <w:t xml:space="preserve"> (Legal Practitioner)</w:t>
      </w:r>
    </w:p>
    <w:p w:rsidR="00144F79" w:rsidRDefault="00144F79" w:rsidP="00F30996">
      <w:pPr>
        <w:spacing w:line="360" w:lineRule="auto"/>
        <w:rPr>
          <w:b/>
          <w:sz w:val="24"/>
          <w:szCs w:val="24"/>
        </w:rPr>
      </w:pPr>
    </w:p>
    <w:p w:rsidR="00144F79" w:rsidRDefault="00144F79" w:rsidP="00F30996">
      <w:pPr>
        <w:spacing w:line="360" w:lineRule="auto"/>
        <w:rPr>
          <w:b/>
          <w:sz w:val="24"/>
          <w:szCs w:val="24"/>
        </w:rPr>
      </w:pPr>
      <w:r>
        <w:rPr>
          <w:b/>
          <w:sz w:val="24"/>
          <w:szCs w:val="24"/>
        </w:rPr>
        <w:t>KUDYA J:</w:t>
      </w:r>
    </w:p>
    <w:p w:rsidR="00144F79" w:rsidRDefault="00144F79" w:rsidP="00F30996">
      <w:pPr>
        <w:spacing w:after="0" w:line="360" w:lineRule="auto"/>
        <w:rPr>
          <w:sz w:val="24"/>
          <w:szCs w:val="24"/>
        </w:rPr>
      </w:pPr>
      <w:r>
        <w:rPr>
          <w:b/>
          <w:sz w:val="24"/>
          <w:szCs w:val="24"/>
        </w:rPr>
        <w:tab/>
      </w:r>
      <w:r w:rsidRPr="00144F79">
        <w:rPr>
          <w:sz w:val="24"/>
          <w:szCs w:val="24"/>
        </w:rPr>
        <w:t>This matter was set down as a review</w:t>
      </w:r>
      <w:r>
        <w:rPr>
          <w:sz w:val="24"/>
          <w:szCs w:val="24"/>
        </w:rPr>
        <w:t xml:space="preserve"> at the instance of the applicant employee against a decision by the respondent employer where the employer had transferred the applicant to one of its stations.</w:t>
      </w:r>
    </w:p>
    <w:p w:rsidR="00144F79" w:rsidRDefault="00144F79" w:rsidP="00F30996">
      <w:pPr>
        <w:spacing w:after="0" w:line="360" w:lineRule="auto"/>
        <w:rPr>
          <w:sz w:val="24"/>
          <w:szCs w:val="24"/>
        </w:rPr>
      </w:pPr>
      <w:r>
        <w:rPr>
          <w:sz w:val="24"/>
          <w:szCs w:val="24"/>
        </w:rPr>
        <w:tab/>
        <w:t xml:space="preserve">On the set down date 12 May 2016 it was brought to the court’s attention that the applicant has since been dismissed from employment hence any decision on instant review would only be of academic relevance.  In that regard the parties requested a chance to dialogue over that with a view to applicant </w:t>
      </w:r>
      <w:r w:rsidR="00F30996">
        <w:rPr>
          <w:sz w:val="24"/>
          <w:szCs w:val="24"/>
        </w:rPr>
        <w:t>withdrawing his review application</w:t>
      </w:r>
      <w:r>
        <w:rPr>
          <w:sz w:val="24"/>
          <w:szCs w:val="24"/>
        </w:rPr>
        <w:t xml:space="preserve"> on account</w:t>
      </w:r>
      <w:r w:rsidR="00F30996">
        <w:rPr>
          <w:sz w:val="24"/>
          <w:szCs w:val="24"/>
        </w:rPr>
        <w:t xml:space="preserve"> of its academic nature.  On 17 June 2016 and on 28 June 2016 the parties advised the court by correspondence dated as styled above filed of record that dialogue had not yielded the desired result hence the parties were agreeable that the court disposes</w:t>
      </w:r>
      <w:r w:rsidR="00EB1C2A">
        <w:rPr>
          <w:sz w:val="24"/>
          <w:szCs w:val="24"/>
        </w:rPr>
        <w:t xml:space="preserve"> of the matter on the basis of the papers already filed of record.  It is against this background that the instant judgment addresses the review application detailed above.</w:t>
      </w:r>
    </w:p>
    <w:p w:rsidR="00EB1C2A" w:rsidRPr="00AC6DEA" w:rsidRDefault="00EB1C2A" w:rsidP="00F30996">
      <w:pPr>
        <w:spacing w:after="0" w:line="360" w:lineRule="auto"/>
        <w:rPr>
          <w:sz w:val="24"/>
          <w:szCs w:val="24"/>
        </w:rPr>
      </w:pPr>
      <w:r>
        <w:rPr>
          <w:sz w:val="24"/>
          <w:szCs w:val="24"/>
        </w:rPr>
        <w:tab/>
        <w:t xml:space="preserve">The applicant’s argument on the review was that he was transferred to </w:t>
      </w:r>
      <w:proofErr w:type="spellStart"/>
      <w:r>
        <w:rPr>
          <w:sz w:val="24"/>
          <w:szCs w:val="24"/>
        </w:rPr>
        <w:t>Mutare</w:t>
      </w:r>
      <w:proofErr w:type="spellEnd"/>
      <w:r>
        <w:rPr>
          <w:sz w:val="24"/>
          <w:szCs w:val="24"/>
        </w:rPr>
        <w:t xml:space="preserve"> in bad faith and was not afforded the right to be heard, neither were his personal circumstances considered.  He therefore prayed that the court annul that transfer as being </w:t>
      </w:r>
      <w:r>
        <w:rPr>
          <w:sz w:val="24"/>
          <w:szCs w:val="24"/>
        </w:rPr>
        <w:lastRenderedPageBreak/>
        <w:t xml:space="preserve">bad at law.  As stated earlier on it is common cause that the instant review has been overtaken by events that is the applicant has since been dismissed from employment.  To that end whatever decision is to emanate from this review would be a </w:t>
      </w:r>
      <w:proofErr w:type="spellStart"/>
      <w:r w:rsidRPr="00EB1C2A">
        <w:rPr>
          <w:i/>
          <w:sz w:val="24"/>
          <w:szCs w:val="24"/>
        </w:rPr>
        <w:t>brutum</w:t>
      </w:r>
      <w:proofErr w:type="spellEnd"/>
      <w:r>
        <w:rPr>
          <w:sz w:val="24"/>
          <w:szCs w:val="24"/>
        </w:rPr>
        <w:t xml:space="preserve"> </w:t>
      </w:r>
      <w:proofErr w:type="spellStart"/>
      <w:r w:rsidRPr="00EB1C2A">
        <w:rPr>
          <w:i/>
          <w:sz w:val="24"/>
          <w:szCs w:val="24"/>
        </w:rPr>
        <w:t>fulmens</w:t>
      </w:r>
      <w:proofErr w:type="spellEnd"/>
      <w:r w:rsidR="004E4D8E">
        <w:rPr>
          <w:i/>
          <w:sz w:val="24"/>
          <w:szCs w:val="24"/>
        </w:rPr>
        <w:t>.</w:t>
      </w:r>
      <w:r w:rsidRPr="00EB1C2A">
        <w:rPr>
          <w:i/>
          <w:sz w:val="24"/>
          <w:szCs w:val="24"/>
        </w:rPr>
        <w:t xml:space="preserve"> </w:t>
      </w:r>
      <w:r>
        <w:rPr>
          <w:sz w:val="24"/>
          <w:szCs w:val="24"/>
        </w:rPr>
        <w:t xml:space="preserve"> The law is clear that courts shall not be called upon to hand down </w:t>
      </w:r>
      <w:proofErr w:type="spellStart"/>
      <w:r w:rsidRPr="00EB1C2A">
        <w:rPr>
          <w:i/>
          <w:sz w:val="24"/>
          <w:szCs w:val="24"/>
        </w:rPr>
        <w:t>brutum</w:t>
      </w:r>
      <w:proofErr w:type="spellEnd"/>
      <w:r>
        <w:rPr>
          <w:i/>
          <w:sz w:val="24"/>
          <w:szCs w:val="24"/>
        </w:rPr>
        <w:t xml:space="preserve"> </w:t>
      </w:r>
      <w:proofErr w:type="spellStart"/>
      <w:r w:rsidRPr="00EB1C2A">
        <w:rPr>
          <w:i/>
          <w:sz w:val="24"/>
          <w:szCs w:val="24"/>
        </w:rPr>
        <w:t>fulmens</w:t>
      </w:r>
      <w:proofErr w:type="spellEnd"/>
      <w:r w:rsidRPr="00EB1C2A">
        <w:rPr>
          <w:sz w:val="24"/>
          <w:szCs w:val="24"/>
        </w:rPr>
        <w:tab/>
        <w:t>The</w:t>
      </w:r>
      <w:r>
        <w:rPr>
          <w:sz w:val="24"/>
          <w:szCs w:val="24"/>
        </w:rPr>
        <w:t xml:space="preserve"> remedy available in the review application if it </w:t>
      </w:r>
      <w:r w:rsidR="00AC6DEA">
        <w:rPr>
          <w:sz w:val="24"/>
          <w:szCs w:val="24"/>
        </w:rPr>
        <w:t xml:space="preserve">were </w:t>
      </w:r>
      <w:r>
        <w:rPr>
          <w:sz w:val="24"/>
          <w:szCs w:val="24"/>
        </w:rPr>
        <w:t>rule to be merited would have been a re-doing of the whole transfer process since the prerogative to transfer employee</w:t>
      </w:r>
      <w:r w:rsidR="00AC6DEA">
        <w:rPr>
          <w:sz w:val="24"/>
          <w:szCs w:val="24"/>
        </w:rPr>
        <w:t>s</w:t>
      </w:r>
      <w:r>
        <w:rPr>
          <w:sz w:val="24"/>
          <w:szCs w:val="24"/>
        </w:rPr>
        <w:t xml:space="preserve"> re</w:t>
      </w:r>
      <w:r w:rsidR="00AC6DEA">
        <w:rPr>
          <w:sz w:val="24"/>
          <w:szCs w:val="24"/>
        </w:rPr>
        <w:t xml:space="preserve">sts </w:t>
      </w:r>
      <w:r>
        <w:rPr>
          <w:sz w:val="24"/>
          <w:szCs w:val="24"/>
        </w:rPr>
        <w:t xml:space="preserve">with the employer but such has to be done procedurally.  (See cases of insert).  Such a remedy has been put beyond this court’s reach by the dismissal order. </w:t>
      </w:r>
      <w:r w:rsidR="00AC6DEA">
        <w:rPr>
          <w:sz w:val="24"/>
          <w:szCs w:val="24"/>
        </w:rPr>
        <w:t xml:space="preserve"> </w:t>
      </w:r>
      <w:proofErr w:type="spellStart"/>
      <w:r w:rsidR="00AC6DEA">
        <w:rPr>
          <w:i/>
          <w:sz w:val="24"/>
          <w:szCs w:val="24"/>
        </w:rPr>
        <w:t>Guruva</w:t>
      </w:r>
      <w:proofErr w:type="spellEnd"/>
      <w:r w:rsidR="00AC6DEA">
        <w:rPr>
          <w:i/>
          <w:sz w:val="24"/>
          <w:szCs w:val="24"/>
        </w:rPr>
        <w:t xml:space="preserve"> </w:t>
      </w:r>
      <w:r w:rsidR="00AC6DEA">
        <w:rPr>
          <w:sz w:val="24"/>
          <w:szCs w:val="24"/>
        </w:rPr>
        <w:t>v</w:t>
      </w:r>
      <w:r w:rsidR="00AC6DEA">
        <w:rPr>
          <w:i/>
          <w:sz w:val="24"/>
          <w:szCs w:val="24"/>
        </w:rPr>
        <w:t xml:space="preserve"> Traffic Safety </w:t>
      </w:r>
      <w:r w:rsidR="00AC6DEA">
        <w:rPr>
          <w:sz w:val="24"/>
          <w:szCs w:val="24"/>
        </w:rPr>
        <w:t>SC 30-08</w:t>
      </w:r>
    </w:p>
    <w:p w:rsidR="00EB1C2A" w:rsidRDefault="00EB1C2A" w:rsidP="00F30996">
      <w:pPr>
        <w:spacing w:after="0" w:line="360" w:lineRule="auto"/>
        <w:rPr>
          <w:sz w:val="24"/>
          <w:szCs w:val="24"/>
        </w:rPr>
      </w:pPr>
      <w:r>
        <w:rPr>
          <w:sz w:val="24"/>
          <w:szCs w:val="24"/>
        </w:rPr>
        <w:tab/>
        <w:t>To that extent delving with the matter on its merits would be on academic exercise which this court cannot e</w:t>
      </w:r>
      <w:r w:rsidR="00AC6DEA">
        <w:rPr>
          <w:sz w:val="24"/>
          <w:szCs w:val="24"/>
        </w:rPr>
        <w:t>ngage in as it would be purely a</w:t>
      </w:r>
      <w:r>
        <w:rPr>
          <w:sz w:val="24"/>
          <w:szCs w:val="24"/>
        </w:rPr>
        <w:t xml:space="preserve">n exercise in futility.  In the result the review </w:t>
      </w:r>
      <w:proofErr w:type="gramStart"/>
      <w:r>
        <w:rPr>
          <w:sz w:val="24"/>
          <w:szCs w:val="24"/>
        </w:rPr>
        <w:t>application  is</w:t>
      </w:r>
      <w:proofErr w:type="gramEnd"/>
      <w:r>
        <w:rPr>
          <w:sz w:val="24"/>
          <w:szCs w:val="24"/>
        </w:rPr>
        <w:t xml:space="preserve"> </w:t>
      </w:r>
      <w:r w:rsidR="00AC6DEA">
        <w:rPr>
          <w:sz w:val="24"/>
          <w:szCs w:val="24"/>
        </w:rPr>
        <w:t>dismissed for being bad at law a</w:t>
      </w:r>
      <w:r>
        <w:rPr>
          <w:sz w:val="24"/>
          <w:szCs w:val="24"/>
        </w:rPr>
        <w:t xml:space="preserve">n account of the practical niceties be </w:t>
      </w:r>
      <w:proofErr w:type="spellStart"/>
      <w:r w:rsidR="00AC6DEA">
        <w:rPr>
          <w:sz w:val="24"/>
          <w:szCs w:val="24"/>
        </w:rPr>
        <w:t>derilling</w:t>
      </w:r>
      <w:proofErr w:type="spellEnd"/>
      <w:r>
        <w:rPr>
          <w:sz w:val="24"/>
          <w:szCs w:val="24"/>
        </w:rPr>
        <w:t xml:space="preserve"> it.</w:t>
      </w:r>
    </w:p>
    <w:p w:rsidR="00EB1C2A" w:rsidRDefault="00EB1C2A" w:rsidP="00F30996">
      <w:pPr>
        <w:spacing w:after="0" w:line="360" w:lineRule="auto"/>
        <w:rPr>
          <w:sz w:val="24"/>
          <w:szCs w:val="24"/>
        </w:rPr>
      </w:pPr>
    </w:p>
    <w:p w:rsidR="00EB1C2A" w:rsidRDefault="00EB1C2A" w:rsidP="00F30996">
      <w:pPr>
        <w:spacing w:after="0" w:line="360" w:lineRule="auto"/>
        <w:rPr>
          <w:sz w:val="24"/>
          <w:szCs w:val="24"/>
        </w:rPr>
      </w:pPr>
      <w:r>
        <w:rPr>
          <w:sz w:val="24"/>
          <w:szCs w:val="24"/>
        </w:rPr>
        <w:t>IT IS ORDERED THAT</w:t>
      </w:r>
    </w:p>
    <w:p w:rsidR="00EB1C2A" w:rsidRDefault="00EB1C2A" w:rsidP="00F30996">
      <w:pPr>
        <w:spacing w:after="0" w:line="360" w:lineRule="auto"/>
        <w:rPr>
          <w:sz w:val="24"/>
          <w:szCs w:val="24"/>
        </w:rPr>
      </w:pPr>
      <w:r>
        <w:rPr>
          <w:sz w:val="24"/>
          <w:szCs w:val="24"/>
        </w:rPr>
        <w:t xml:space="preserve">Review application being bad at law on account of it being bedevilled by a number of practical niceties which can render the court’s decision a </w:t>
      </w:r>
      <w:proofErr w:type="spellStart"/>
      <w:r w:rsidR="003872CC">
        <w:rPr>
          <w:i/>
          <w:sz w:val="24"/>
          <w:szCs w:val="24"/>
        </w:rPr>
        <w:t>brutum</w:t>
      </w:r>
      <w:proofErr w:type="spellEnd"/>
      <w:r w:rsidR="003872CC">
        <w:rPr>
          <w:i/>
          <w:sz w:val="24"/>
          <w:szCs w:val="24"/>
        </w:rPr>
        <w:t xml:space="preserve"> </w:t>
      </w:r>
      <w:proofErr w:type="spellStart"/>
      <w:r w:rsidR="003872CC">
        <w:rPr>
          <w:i/>
          <w:sz w:val="24"/>
          <w:szCs w:val="24"/>
        </w:rPr>
        <w:t>fulem</w:t>
      </w:r>
      <w:proofErr w:type="spellEnd"/>
      <w:r w:rsidR="003872CC">
        <w:rPr>
          <w:i/>
          <w:sz w:val="24"/>
          <w:szCs w:val="24"/>
        </w:rPr>
        <w:t xml:space="preserve"> </w:t>
      </w:r>
      <w:r w:rsidR="003872CC">
        <w:rPr>
          <w:sz w:val="24"/>
          <w:szCs w:val="24"/>
        </w:rPr>
        <w:t>it be and is hereby dismissed with costs.</w:t>
      </w:r>
    </w:p>
    <w:p w:rsidR="003872CC" w:rsidRDefault="003872CC" w:rsidP="00F30996">
      <w:pPr>
        <w:spacing w:after="0" w:line="360" w:lineRule="auto"/>
        <w:rPr>
          <w:sz w:val="24"/>
          <w:szCs w:val="24"/>
        </w:rPr>
      </w:pPr>
    </w:p>
    <w:p w:rsidR="003872CC" w:rsidRDefault="003872CC" w:rsidP="00F30996">
      <w:pPr>
        <w:spacing w:after="0" w:line="360" w:lineRule="auto"/>
        <w:rPr>
          <w:sz w:val="24"/>
          <w:szCs w:val="24"/>
        </w:rPr>
      </w:pPr>
    </w:p>
    <w:p w:rsidR="003872CC" w:rsidRDefault="003872CC" w:rsidP="00F30996">
      <w:pPr>
        <w:spacing w:after="0" w:line="360" w:lineRule="auto"/>
        <w:rPr>
          <w:sz w:val="24"/>
          <w:szCs w:val="24"/>
        </w:rPr>
      </w:pPr>
    </w:p>
    <w:p w:rsidR="003872CC" w:rsidRDefault="003872CC" w:rsidP="00F30996">
      <w:pPr>
        <w:spacing w:after="0" w:line="360" w:lineRule="auto"/>
      </w:pPr>
      <w:proofErr w:type="spellStart"/>
      <w:r>
        <w:rPr>
          <w:i/>
        </w:rPr>
        <w:t>Rubaya</w:t>
      </w:r>
      <w:proofErr w:type="spellEnd"/>
      <w:r>
        <w:rPr>
          <w:i/>
        </w:rPr>
        <w:t xml:space="preserve"> &amp; </w:t>
      </w:r>
      <w:proofErr w:type="spellStart"/>
      <w:r>
        <w:rPr>
          <w:i/>
        </w:rPr>
        <w:t>Chatambudza</w:t>
      </w:r>
      <w:proofErr w:type="spellEnd"/>
      <w:r>
        <w:rPr>
          <w:i/>
        </w:rPr>
        <w:t xml:space="preserve">, </w:t>
      </w:r>
      <w:r>
        <w:t>applicant’s legal practitioners</w:t>
      </w:r>
    </w:p>
    <w:p w:rsidR="003872CC" w:rsidRPr="003872CC" w:rsidRDefault="003872CC" w:rsidP="00F30996">
      <w:pPr>
        <w:spacing w:after="0" w:line="360" w:lineRule="auto"/>
      </w:pPr>
      <w:proofErr w:type="spellStart"/>
      <w:r>
        <w:rPr>
          <w:i/>
        </w:rPr>
        <w:t>Tandiri</w:t>
      </w:r>
      <w:proofErr w:type="spellEnd"/>
      <w:r>
        <w:rPr>
          <w:i/>
        </w:rPr>
        <w:t xml:space="preserve"> Law Chambers, </w:t>
      </w:r>
      <w:r>
        <w:t xml:space="preserve"> respondent’s legal practitioners</w:t>
      </w:r>
    </w:p>
    <w:sectPr w:rsidR="003872CC" w:rsidRPr="003872CC" w:rsidSect="00EB1C2A">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1B0" w:rsidRDefault="00DC41B0" w:rsidP="00EB1C2A">
      <w:pPr>
        <w:spacing w:after="0" w:line="240" w:lineRule="auto"/>
      </w:pPr>
      <w:r>
        <w:separator/>
      </w:r>
    </w:p>
  </w:endnote>
  <w:endnote w:type="continuationSeparator" w:id="0">
    <w:p w:rsidR="00DC41B0" w:rsidRDefault="00DC41B0" w:rsidP="00EB1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718021"/>
      <w:docPartObj>
        <w:docPartGallery w:val="Page Numbers (Bottom of Page)"/>
        <w:docPartUnique/>
      </w:docPartObj>
    </w:sdtPr>
    <w:sdtEndPr>
      <w:rPr>
        <w:noProof/>
      </w:rPr>
    </w:sdtEndPr>
    <w:sdtContent>
      <w:p w:rsidR="00EB1C2A" w:rsidRDefault="00EB1C2A">
        <w:pPr>
          <w:pStyle w:val="Footer"/>
          <w:jc w:val="right"/>
        </w:pPr>
        <w:r>
          <w:fldChar w:fldCharType="begin"/>
        </w:r>
        <w:r>
          <w:instrText xml:space="preserve"> PAGE   \* MERGEFORMAT </w:instrText>
        </w:r>
        <w:r>
          <w:fldChar w:fldCharType="separate"/>
        </w:r>
        <w:r w:rsidR="002926DC">
          <w:rPr>
            <w:noProof/>
          </w:rPr>
          <w:t>2</w:t>
        </w:r>
        <w:r>
          <w:rPr>
            <w:noProof/>
          </w:rPr>
          <w:fldChar w:fldCharType="end"/>
        </w:r>
      </w:p>
    </w:sdtContent>
  </w:sdt>
  <w:p w:rsidR="00EB1C2A" w:rsidRDefault="00EB1C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1B0" w:rsidRDefault="00DC41B0" w:rsidP="00EB1C2A">
      <w:pPr>
        <w:spacing w:after="0" w:line="240" w:lineRule="auto"/>
      </w:pPr>
      <w:r>
        <w:separator/>
      </w:r>
    </w:p>
  </w:footnote>
  <w:footnote w:type="continuationSeparator" w:id="0">
    <w:p w:rsidR="00DC41B0" w:rsidRDefault="00DC41B0" w:rsidP="00EB1C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C2A" w:rsidRDefault="00EB1C2A" w:rsidP="00EB1C2A">
    <w:pPr>
      <w:ind w:left="5040" w:firstLine="720"/>
      <w:rPr>
        <w:b/>
        <w:sz w:val="24"/>
        <w:szCs w:val="24"/>
      </w:rPr>
    </w:pPr>
    <w:r>
      <w:rPr>
        <w:b/>
        <w:sz w:val="24"/>
        <w:szCs w:val="24"/>
      </w:rPr>
      <w:t>JUDGMENT NO LC/H/</w:t>
    </w:r>
    <w:r w:rsidR="00483788">
      <w:rPr>
        <w:b/>
        <w:sz w:val="24"/>
        <w:szCs w:val="24"/>
      </w:rPr>
      <w:t>543</w:t>
    </w:r>
    <w:r>
      <w:rPr>
        <w:b/>
        <w:sz w:val="24"/>
        <w:szCs w:val="24"/>
      </w:rPr>
      <w:t>/16</w:t>
    </w:r>
  </w:p>
  <w:p w:rsidR="00EB1C2A" w:rsidRDefault="00EB1C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2E1"/>
    <w:rsid w:val="00144F79"/>
    <w:rsid w:val="002926DC"/>
    <w:rsid w:val="003872CC"/>
    <w:rsid w:val="00483788"/>
    <w:rsid w:val="004E4D8E"/>
    <w:rsid w:val="00767BF9"/>
    <w:rsid w:val="00852E97"/>
    <w:rsid w:val="009742E1"/>
    <w:rsid w:val="00AC6DEA"/>
    <w:rsid w:val="00BF04F2"/>
    <w:rsid w:val="00DC41B0"/>
    <w:rsid w:val="00EB1C2A"/>
    <w:rsid w:val="00EE6AFB"/>
    <w:rsid w:val="00F3099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C2A"/>
  </w:style>
  <w:style w:type="paragraph" w:styleId="Footer">
    <w:name w:val="footer"/>
    <w:basedOn w:val="Normal"/>
    <w:link w:val="FooterChar"/>
    <w:uiPriority w:val="99"/>
    <w:unhideWhenUsed/>
    <w:rsid w:val="00EB1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C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C2A"/>
  </w:style>
  <w:style w:type="paragraph" w:styleId="Footer">
    <w:name w:val="footer"/>
    <w:basedOn w:val="Normal"/>
    <w:link w:val="FooterChar"/>
    <w:uiPriority w:val="99"/>
    <w:unhideWhenUsed/>
    <w:rsid w:val="00EB1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2016-09-09T07:24:00Z</cp:lastPrinted>
  <dcterms:created xsi:type="dcterms:W3CDTF">2016-07-29T05:48:00Z</dcterms:created>
  <dcterms:modified xsi:type="dcterms:W3CDTF">2016-09-09T07:25:00Z</dcterms:modified>
</cp:coreProperties>
</file>