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77" w:rsidRDefault="00446777" w:rsidP="00EB5A23">
      <w:pPr>
        <w:spacing w:line="360" w:lineRule="auto"/>
        <w:rPr>
          <w:b/>
          <w:sz w:val="22"/>
          <w:szCs w:val="22"/>
        </w:rPr>
      </w:pPr>
      <w:bookmarkStart w:id="0" w:name="_GoBack"/>
      <w:bookmarkEnd w:id="0"/>
      <w:r>
        <w:rPr>
          <w:b/>
          <w:sz w:val="22"/>
          <w:szCs w:val="22"/>
        </w:rPr>
        <w:t xml:space="preserve">IN THE LABOUR COURT </w:t>
      </w:r>
      <w:r>
        <w:rPr>
          <w:b/>
          <w:sz w:val="22"/>
          <w:szCs w:val="22"/>
        </w:rPr>
        <w:tab/>
      </w:r>
      <w:r>
        <w:rPr>
          <w:b/>
          <w:sz w:val="22"/>
          <w:szCs w:val="22"/>
        </w:rPr>
        <w:tab/>
      </w:r>
      <w:r>
        <w:rPr>
          <w:b/>
          <w:sz w:val="22"/>
          <w:szCs w:val="22"/>
        </w:rPr>
        <w:tab/>
      </w:r>
      <w:r>
        <w:rPr>
          <w:b/>
          <w:sz w:val="22"/>
          <w:szCs w:val="22"/>
        </w:rPr>
        <w:tab/>
        <w:t>JUDGMENT NO. LC/H/421/2013</w:t>
      </w:r>
    </w:p>
    <w:p w:rsidR="00446777" w:rsidRDefault="00446777" w:rsidP="00EB5A23">
      <w:pPr>
        <w:spacing w:line="360" w:lineRule="auto"/>
        <w:rPr>
          <w:b/>
          <w:sz w:val="22"/>
          <w:szCs w:val="22"/>
        </w:rPr>
      </w:pPr>
      <w:r w:rsidRPr="005C33B3">
        <w:rPr>
          <w:b/>
          <w:sz w:val="22"/>
          <w:szCs w:val="22"/>
        </w:rPr>
        <w:t xml:space="preserve">HARARE, </w:t>
      </w:r>
      <w:r>
        <w:rPr>
          <w:b/>
          <w:sz w:val="22"/>
          <w:szCs w:val="22"/>
        </w:rPr>
        <w:t>27 MARCH, 2013</w:t>
      </w:r>
      <w:r w:rsidRPr="005C33B3">
        <w:rPr>
          <w:b/>
          <w:sz w:val="22"/>
          <w:szCs w:val="22"/>
        </w:rPr>
        <w:tab/>
      </w:r>
      <w:r w:rsidRPr="005C33B3">
        <w:rPr>
          <w:b/>
          <w:sz w:val="22"/>
          <w:szCs w:val="22"/>
        </w:rPr>
        <w:tab/>
      </w:r>
      <w:r>
        <w:rPr>
          <w:b/>
          <w:sz w:val="22"/>
          <w:szCs w:val="22"/>
        </w:rPr>
        <w:tab/>
      </w:r>
      <w:r>
        <w:rPr>
          <w:b/>
          <w:sz w:val="22"/>
          <w:szCs w:val="22"/>
        </w:rPr>
        <w:tab/>
      </w:r>
      <w:r w:rsidR="00CF441F">
        <w:rPr>
          <w:b/>
          <w:sz w:val="22"/>
          <w:szCs w:val="22"/>
        </w:rPr>
        <w:t xml:space="preserve">    </w:t>
      </w:r>
      <w:r>
        <w:rPr>
          <w:b/>
          <w:sz w:val="22"/>
          <w:szCs w:val="22"/>
        </w:rPr>
        <w:t>CASE NO. LC/H/470/12</w:t>
      </w:r>
    </w:p>
    <w:p w:rsidR="00CF441F" w:rsidRPr="005C33B3" w:rsidRDefault="00CF441F" w:rsidP="00EB5A23">
      <w:pPr>
        <w:spacing w:line="360" w:lineRule="auto"/>
        <w:rPr>
          <w:b/>
          <w:sz w:val="22"/>
          <w:szCs w:val="22"/>
        </w:rPr>
      </w:pPr>
      <w:r>
        <w:rPr>
          <w:b/>
          <w:sz w:val="22"/>
          <w:szCs w:val="22"/>
        </w:rPr>
        <w:t>AND 13 SEPTEMBER, 2013</w:t>
      </w:r>
    </w:p>
    <w:p w:rsidR="00446777" w:rsidRDefault="00446777" w:rsidP="00EB5A23">
      <w:pPr>
        <w:spacing w:line="360" w:lineRule="auto"/>
      </w:pPr>
      <w:r>
        <w:t>In the matter between</w:t>
      </w:r>
    </w:p>
    <w:p w:rsidR="00446777" w:rsidRDefault="00446777" w:rsidP="00EB5A23">
      <w:pPr>
        <w:spacing w:line="360" w:lineRule="auto"/>
      </w:pPr>
    </w:p>
    <w:p w:rsidR="00446777" w:rsidRDefault="00446777" w:rsidP="00EB5A23">
      <w:pPr>
        <w:spacing w:line="360" w:lineRule="auto"/>
      </w:pPr>
    </w:p>
    <w:p w:rsidR="00446777" w:rsidRPr="00EB5E52" w:rsidRDefault="00446777" w:rsidP="00EB5A23">
      <w:pPr>
        <w:spacing w:line="360" w:lineRule="auto"/>
        <w:rPr>
          <w:b/>
        </w:rPr>
      </w:pPr>
      <w:r>
        <w:rPr>
          <w:b/>
        </w:rPr>
        <w:t>SHERRY MAKWIRANZO</w:t>
      </w:r>
      <w:r w:rsidR="008D59DA">
        <w:rPr>
          <w:b/>
        </w:rPr>
        <w:t>U</w:t>
      </w:r>
      <w:r w:rsidR="008D59DA">
        <w:rPr>
          <w:b/>
        </w:rPr>
        <w:tab/>
      </w:r>
      <w:r w:rsidR="008D59DA">
        <w:rPr>
          <w:b/>
        </w:rPr>
        <w:tab/>
      </w:r>
      <w:r w:rsidR="008D59DA">
        <w:rPr>
          <w:b/>
        </w:rPr>
        <w:tab/>
      </w:r>
      <w:r w:rsidR="008D59DA">
        <w:rPr>
          <w:b/>
        </w:rPr>
        <w:tab/>
      </w:r>
      <w:r w:rsidR="008D59DA">
        <w:rPr>
          <w:b/>
        </w:rPr>
        <w:tab/>
      </w:r>
      <w:r w:rsidRPr="00EB5E52">
        <w:rPr>
          <w:b/>
        </w:rPr>
        <w:t>-</w:t>
      </w:r>
      <w:r w:rsidRPr="00EB5E52">
        <w:rPr>
          <w:b/>
        </w:rPr>
        <w:tab/>
      </w:r>
      <w:r>
        <w:rPr>
          <w:b/>
        </w:rPr>
        <w:t>Appellant</w:t>
      </w:r>
    </w:p>
    <w:p w:rsidR="00446777" w:rsidRPr="00C940AD" w:rsidRDefault="00446777" w:rsidP="00EB5A23">
      <w:pPr>
        <w:spacing w:line="360" w:lineRule="auto"/>
        <w:rPr>
          <w:sz w:val="22"/>
          <w:szCs w:val="22"/>
        </w:rPr>
      </w:pPr>
      <w:r>
        <w:rPr>
          <w:sz w:val="22"/>
          <w:szCs w:val="22"/>
        </w:rPr>
        <w:t>And</w:t>
      </w:r>
    </w:p>
    <w:p w:rsidR="00446777" w:rsidRPr="00EB5E52" w:rsidRDefault="00446777" w:rsidP="00EB5A23">
      <w:pPr>
        <w:spacing w:line="360" w:lineRule="auto"/>
        <w:rPr>
          <w:b/>
        </w:rPr>
      </w:pPr>
      <w:r>
        <w:rPr>
          <w:b/>
        </w:rPr>
        <w:t>ZIMBABWE WOMEN’S RESOURCE</w:t>
      </w:r>
      <w:r>
        <w:rPr>
          <w:b/>
        </w:rPr>
        <w:tab/>
      </w:r>
      <w:r>
        <w:rPr>
          <w:b/>
        </w:rPr>
        <w:tab/>
      </w:r>
      <w:r>
        <w:rPr>
          <w:b/>
        </w:rPr>
        <w:tab/>
      </w:r>
      <w:r>
        <w:rPr>
          <w:b/>
        </w:rPr>
        <w:tab/>
      </w:r>
      <w:r w:rsidRPr="00EB5E52">
        <w:rPr>
          <w:b/>
        </w:rPr>
        <w:t>-</w:t>
      </w:r>
      <w:r w:rsidRPr="00EB5E52">
        <w:rPr>
          <w:b/>
        </w:rPr>
        <w:tab/>
        <w:t>Respondent</w:t>
      </w:r>
      <w:r>
        <w:rPr>
          <w:b/>
        </w:rPr>
        <w:t xml:space="preserve"> CENTRE &amp; NETWORK</w:t>
      </w:r>
    </w:p>
    <w:p w:rsidR="00446777" w:rsidRDefault="00446777" w:rsidP="00EB5A23">
      <w:pPr>
        <w:spacing w:line="360" w:lineRule="auto"/>
        <w:rPr>
          <w:b/>
        </w:rPr>
      </w:pPr>
    </w:p>
    <w:p w:rsidR="00446777" w:rsidRPr="00C940AD" w:rsidRDefault="00446777" w:rsidP="00EB5A23">
      <w:pPr>
        <w:spacing w:line="360" w:lineRule="auto"/>
        <w:rPr>
          <w:b/>
        </w:rPr>
      </w:pPr>
    </w:p>
    <w:p w:rsidR="00446777" w:rsidRDefault="00446777" w:rsidP="00EB5A23">
      <w:pPr>
        <w:spacing w:line="360" w:lineRule="auto"/>
      </w:pPr>
      <w:r w:rsidRPr="005919AB">
        <w:t xml:space="preserve">Before The </w:t>
      </w:r>
      <w:proofErr w:type="spellStart"/>
      <w:r>
        <w:t>Honourable</w:t>
      </w:r>
      <w:proofErr w:type="spellEnd"/>
      <w:r>
        <w:t xml:space="preserve"> B.T. </w:t>
      </w:r>
      <w:proofErr w:type="spellStart"/>
      <w:r>
        <w:t>Chivizhe</w:t>
      </w:r>
      <w:proofErr w:type="spellEnd"/>
      <w:r>
        <w:t xml:space="preserve">: President </w:t>
      </w:r>
    </w:p>
    <w:p w:rsidR="00446777" w:rsidRDefault="00446777" w:rsidP="00EB5A23">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r>
        <w:rPr>
          <w:b/>
          <w:sz w:val="22"/>
          <w:szCs w:val="22"/>
        </w:rPr>
        <w:t xml:space="preserve">Mr. R. </w:t>
      </w:r>
      <w:proofErr w:type="spellStart"/>
      <w:r>
        <w:rPr>
          <w:b/>
          <w:sz w:val="22"/>
          <w:szCs w:val="22"/>
        </w:rPr>
        <w:t>Matsikidze</w:t>
      </w:r>
      <w:proofErr w:type="spellEnd"/>
      <w:r>
        <w:rPr>
          <w:b/>
          <w:sz w:val="22"/>
          <w:szCs w:val="22"/>
        </w:rPr>
        <w:t xml:space="preserve"> – Legal Practitioner</w:t>
      </w:r>
    </w:p>
    <w:p w:rsidR="00446777" w:rsidRPr="001B37E2" w:rsidRDefault="00446777" w:rsidP="00EB5A23">
      <w:pPr>
        <w:spacing w:line="360" w:lineRule="auto"/>
        <w:rPr>
          <w:b/>
          <w:sz w:val="22"/>
          <w:szCs w:val="22"/>
        </w:rPr>
      </w:pPr>
      <w:r>
        <w:rPr>
          <w:b/>
          <w:sz w:val="22"/>
          <w:szCs w:val="22"/>
        </w:rPr>
        <w:tab/>
      </w:r>
      <w:r>
        <w:rPr>
          <w:b/>
          <w:sz w:val="22"/>
          <w:szCs w:val="22"/>
        </w:rPr>
        <w:tab/>
      </w:r>
      <w:r>
        <w:rPr>
          <w:b/>
          <w:sz w:val="22"/>
          <w:szCs w:val="22"/>
        </w:rPr>
        <w:tab/>
      </w:r>
      <w:r>
        <w:rPr>
          <w:b/>
          <w:sz w:val="22"/>
          <w:szCs w:val="22"/>
        </w:rPr>
        <w:tab/>
      </w:r>
    </w:p>
    <w:p w:rsidR="00446777" w:rsidRDefault="00446777" w:rsidP="00EB5A23">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r>
        <w:rPr>
          <w:b/>
          <w:sz w:val="22"/>
          <w:szCs w:val="22"/>
        </w:rPr>
        <w:t>Mr. T.K. Hove       – Legal Practitioner</w:t>
      </w:r>
    </w:p>
    <w:p w:rsidR="00446777" w:rsidRDefault="00446777" w:rsidP="00EB5A23">
      <w:pPr>
        <w:spacing w:line="360" w:lineRule="auto"/>
        <w:rPr>
          <w:b/>
        </w:rPr>
      </w:pPr>
      <w:r>
        <w:rPr>
          <w:b/>
          <w:sz w:val="22"/>
          <w:szCs w:val="22"/>
        </w:rPr>
        <w:tab/>
      </w:r>
      <w:r>
        <w:rPr>
          <w:b/>
          <w:sz w:val="22"/>
          <w:szCs w:val="22"/>
        </w:rPr>
        <w:tab/>
      </w:r>
      <w:r>
        <w:rPr>
          <w:b/>
          <w:sz w:val="22"/>
          <w:szCs w:val="22"/>
        </w:rPr>
        <w:tab/>
      </w:r>
      <w:r>
        <w:rPr>
          <w:b/>
          <w:sz w:val="22"/>
          <w:szCs w:val="22"/>
        </w:rPr>
        <w:tab/>
      </w:r>
    </w:p>
    <w:p w:rsidR="00446777" w:rsidRDefault="00446777" w:rsidP="00EB5A23">
      <w:pPr>
        <w:spacing w:line="360" w:lineRule="auto"/>
        <w:rPr>
          <w:b/>
          <w:sz w:val="28"/>
          <w:szCs w:val="28"/>
        </w:rPr>
      </w:pPr>
    </w:p>
    <w:p w:rsidR="00446777" w:rsidRPr="008D59DA" w:rsidRDefault="00446777" w:rsidP="00EB5A23">
      <w:pPr>
        <w:spacing w:line="360" w:lineRule="auto"/>
        <w:rPr>
          <w:b/>
        </w:rPr>
      </w:pPr>
      <w:r w:rsidRPr="008D59DA">
        <w:rPr>
          <w:b/>
        </w:rPr>
        <w:t>CHIVIZHE, B.T.:</w:t>
      </w:r>
    </w:p>
    <w:p w:rsidR="00B9483B" w:rsidRPr="008D59DA" w:rsidRDefault="00B9483B" w:rsidP="00EB5A23">
      <w:pPr>
        <w:spacing w:line="360" w:lineRule="auto"/>
        <w:rPr>
          <w:b/>
        </w:rPr>
      </w:pPr>
    </w:p>
    <w:p w:rsidR="00B9483B" w:rsidRPr="008D59DA" w:rsidRDefault="00B9483B" w:rsidP="00EB5A23">
      <w:pPr>
        <w:spacing w:line="360" w:lineRule="auto"/>
        <w:ind w:firstLine="720"/>
        <w:jc w:val="both"/>
      </w:pPr>
      <w:r w:rsidRPr="008D59DA">
        <w:t>The matter was placed before me as appeal against an arbitral award handed down on 22</w:t>
      </w:r>
      <w:r w:rsidRPr="008D59DA">
        <w:rPr>
          <w:vertAlign w:val="superscript"/>
        </w:rPr>
        <w:t>nd</w:t>
      </w:r>
      <w:r w:rsidRPr="008D59DA">
        <w:t xml:space="preserve"> of June, 2012</w:t>
      </w:r>
      <w:r w:rsidR="00972F14">
        <w:t>.  W</w:t>
      </w:r>
      <w:r w:rsidRPr="008D59DA">
        <w:t>hen the parties appeared before me on 27 March 2013 the parties agreed to postpone</w:t>
      </w:r>
      <w:r w:rsidR="00646C87">
        <w:t xml:space="preserve"> the matter</w:t>
      </w:r>
      <w:r w:rsidRPr="008D59DA">
        <w:t xml:space="preserve"> </w:t>
      </w:r>
      <w:r w:rsidRPr="008D59DA">
        <w:rPr>
          <w:rFonts w:ascii="Times New Roman" w:hAnsi="Times New Roman"/>
          <w:i/>
        </w:rPr>
        <w:t>sine die</w:t>
      </w:r>
      <w:r w:rsidRPr="008D59DA">
        <w:t xml:space="preserve"> in </w:t>
      </w:r>
      <w:r w:rsidR="00646C87">
        <w:t>order for</w:t>
      </w:r>
      <w:r w:rsidRPr="008D59DA">
        <w:t xml:space="preserve"> Respondent </w:t>
      </w:r>
      <w:r w:rsidR="00972F14">
        <w:t>to file</w:t>
      </w:r>
      <w:r w:rsidRPr="008D59DA">
        <w:t xml:space="preserve"> Supplementary Heads of Argument</w:t>
      </w:r>
      <w:r w:rsidR="00646C87">
        <w:t xml:space="preserve"> based</w:t>
      </w:r>
      <w:r w:rsidRPr="008D59DA">
        <w:t xml:space="preserve"> on </w:t>
      </w:r>
      <w:r w:rsidR="00646C87">
        <w:t>the</w:t>
      </w:r>
      <w:r w:rsidRPr="008D59DA">
        <w:t xml:space="preserve"> application</w:t>
      </w:r>
      <w:r w:rsidR="00646C87">
        <w:t xml:space="preserve"> by Appellant </w:t>
      </w:r>
      <w:r w:rsidRPr="008D59DA">
        <w:t xml:space="preserve">to </w:t>
      </w:r>
      <w:r w:rsidR="006A7644" w:rsidRPr="008D59DA">
        <w:t>amend</w:t>
      </w:r>
      <w:r w:rsidR="00646C87">
        <w:t xml:space="preserve"> her </w:t>
      </w:r>
      <w:r w:rsidR="006A7644" w:rsidRPr="008D59DA">
        <w:t>notice</w:t>
      </w:r>
      <w:r w:rsidRPr="008D59DA">
        <w:t xml:space="preserve"> of appeal.  The court would thereafter consider the matter on the basis of </w:t>
      </w:r>
      <w:r w:rsidR="00646C87">
        <w:t>the</w:t>
      </w:r>
      <w:r w:rsidRPr="008D59DA">
        <w:t xml:space="preserve"> written submissions and hand down judgment.  Both parties having filed their written submissions and upon consideration of the same, the following is my judgment.</w:t>
      </w:r>
    </w:p>
    <w:p w:rsidR="00B9483B" w:rsidRPr="008D59DA" w:rsidRDefault="00B9483B" w:rsidP="00EB5A23">
      <w:pPr>
        <w:spacing w:line="360" w:lineRule="auto"/>
        <w:ind w:firstLine="720"/>
        <w:jc w:val="both"/>
      </w:pPr>
    </w:p>
    <w:p w:rsidR="003915C9" w:rsidRPr="008D59DA" w:rsidRDefault="003915C9" w:rsidP="00EB5A23">
      <w:pPr>
        <w:spacing w:line="360" w:lineRule="auto"/>
        <w:ind w:firstLine="720"/>
        <w:jc w:val="both"/>
      </w:pPr>
      <w:r w:rsidRPr="008D59DA">
        <w:t xml:space="preserve">The Appellant was employed by the Respondent as Finance </w:t>
      </w:r>
      <w:r w:rsidR="00972F14">
        <w:t>and Administration Manager.  Sh</w:t>
      </w:r>
      <w:r w:rsidRPr="008D59DA">
        <w:t>e was employed on the basis of a 1 (one) year fixed contract for 5 (five) years.  On the 19</w:t>
      </w:r>
      <w:r w:rsidRPr="008D59DA">
        <w:rPr>
          <w:vertAlign w:val="superscript"/>
        </w:rPr>
        <w:t>th</w:t>
      </w:r>
      <w:r w:rsidRPr="008D59DA">
        <w:t xml:space="preserve"> of October, 2011 same was advised that the </w:t>
      </w:r>
      <w:r w:rsidRPr="008D59DA">
        <w:lastRenderedPageBreak/>
        <w:t xml:space="preserve">contract of employment was expiring on 31 October, 2011 and it would not be renewed.  </w:t>
      </w:r>
      <w:r w:rsidR="00972F14">
        <w:t>She was further advised that sh</w:t>
      </w:r>
      <w:r w:rsidRPr="008D59DA">
        <w:t>e was to be assessed to determine “feasibility of any other of contract renewal.  If confirming renewal, the employer will communicate this in writing”.</w:t>
      </w:r>
    </w:p>
    <w:p w:rsidR="003915C9" w:rsidRPr="008D59DA" w:rsidRDefault="003915C9" w:rsidP="00EB5A23">
      <w:pPr>
        <w:spacing w:line="360" w:lineRule="auto"/>
        <w:ind w:firstLine="720"/>
        <w:jc w:val="both"/>
      </w:pPr>
    </w:p>
    <w:p w:rsidR="00646C87" w:rsidRPr="008D59DA" w:rsidRDefault="003915C9" w:rsidP="00EB5A23">
      <w:pPr>
        <w:spacing w:line="360" w:lineRule="auto"/>
        <w:ind w:firstLine="720"/>
        <w:jc w:val="both"/>
      </w:pPr>
      <w:r w:rsidRPr="008D59DA">
        <w:t>On the 14</w:t>
      </w:r>
      <w:r w:rsidRPr="008D59DA">
        <w:rPr>
          <w:vertAlign w:val="superscript"/>
        </w:rPr>
        <w:t>th</w:t>
      </w:r>
      <w:r w:rsidRPr="008D59DA">
        <w:t xml:space="preserve"> of October, 2011 the Respo</w:t>
      </w:r>
      <w:r w:rsidR="00AB374A" w:rsidRPr="008D59DA">
        <w:t>ndent</w:t>
      </w:r>
      <w:r w:rsidR="00646C87">
        <w:t>’s</w:t>
      </w:r>
      <w:r w:rsidR="00AB374A" w:rsidRPr="008D59DA">
        <w:t xml:space="preserve"> board resolved not to renew </w:t>
      </w:r>
      <w:r w:rsidR="00646C87">
        <w:t>Appellant’s</w:t>
      </w:r>
      <w:r w:rsidR="00AB374A" w:rsidRPr="008D59DA">
        <w:t xml:space="preserve"> contract </w:t>
      </w:r>
      <w:r w:rsidR="00646C87">
        <w:t>employment. A</w:t>
      </w:r>
      <w:r w:rsidR="00AB374A" w:rsidRPr="008D59DA">
        <w:t xml:space="preserve"> performance appraisal was </w:t>
      </w:r>
      <w:r w:rsidR="00646C87">
        <w:t xml:space="preserve">however </w:t>
      </w:r>
      <w:r w:rsidR="00AB374A" w:rsidRPr="008D59DA">
        <w:t>done</w:t>
      </w:r>
      <w:r w:rsidR="00646C87">
        <w:t xml:space="preserve"> by Respondent’s Director</w:t>
      </w:r>
      <w:r w:rsidR="00AB374A" w:rsidRPr="008D59DA">
        <w:t xml:space="preserve"> on 18</w:t>
      </w:r>
      <w:r w:rsidR="00AB374A" w:rsidRPr="008D59DA">
        <w:rPr>
          <w:vertAlign w:val="superscript"/>
        </w:rPr>
        <w:t>th</w:t>
      </w:r>
      <w:r w:rsidR="00646C87">
        <w:t xml:space="preserve"> of October, 2011 after the termination</w:t>
      </w:r>
      <w:r w:rsidR="00972F14">
        <w:t>/expiry</w:t>
      </w:r>
      <w:r w:rsidR="00646C87">
        <w:t xml:space="preserve"> of the contract.</w:t>
      </w:r>
    </w:p>
    <w:p w:rsidR="00AB374A" w:rsidRPr="008D59DA" w:rsidRDefault="00AB374A" w:rsidP="00EB5A23">
      <w:pPr>
        <w:spacing w:line="360" w:lineRule="auto"/>
        <w:ind w:firstLine="720"/>
        <w:jc w:val="both"/>
      </w:pPr>
    </w:p>
    <w:p w:rsidR="00AB374A" w:rsidRPr="008D59DA" w:rsidRDefault="00AB374A" w:rsidP="00EB5A23">
      <w:pPr>
        <w:spacing w:line="360" w:lineRule="auto"/>
        <w:ind w:firstLine="720"/>
        <w:jc w:val="both"/>
      </w:pPr>
      <w:r w:rsidRPr="008D59DA">
        <w:t xml:space="preserve">The matter was referred to </w:t>
      </w:r>
      <w:r w:rsidR="00646C87">
        <w:t>conciliation</w:t>
      </w:r>
      <w:r w:rsidRPr="008D59DA">
        <w:t xml:space="preserve"> and upon </w:t>
      </w:r>
      <w:r w:rsidR="00646C87">
        <w:t>failure</w:t>
      </w:r>
      <w:r w:rsidR="00972F14">
        <w:t xml:space="preserve"> </w:t>
      </w:r>
      <w:r w:rsidRPr="008D59DA">
        <w:t xml:space="preserve">to settle the matter was </w:t>
      </w:r>
      <w:r w:rsidR="00646C87">
        <w:t xml:space="preserve">then </w:t>
      </w:r>
      <w:r w:rsidRPr="008D59DA">
        <w:t>referred to compulsory arbitration.</w:t>
      </w:r>
    </w:p>
    <w:p w:rsidR="00AB374A" w:rsidRPr="008D59DA" w:rsidRDefault="00AB374A" w:rsidP="00EB5A23">
      <w:pPr>
        <w:spacing w:line="360" w:lineRule="auto"/>
        <w:ind w:firstLine="720"/>
        <w:jc w:val="both"/>
      </w:pPr>
    </w:p>
    <w:p w:rsidR="00AB374A" w:rsidRPr="008D59DA" w:rsidRDefault="00AB374A" w:rsidP="00EB5A23">
      <w:pPr>
        <w:spacing w:line="360" w:lineRule="auto"/>
        <w:ind w:firstLine="720"/>
        <w:jc w:val="both"/>
      </w:pPr>
      <w:r w:rsidRPr="008D59DA">
        <w:t xml:space="preserve">The terms of </w:t>
      </w:r>
      <w:r w:rsidR="00646C87">
        <w:t>reference before</w:t>
      </w:r>
      <w:r w:rsidRPr="008D59DA">
        <w:t xml:space="preserve"> the Arbitrator were for him;</w:t>
      </w:r>
    </w:p>
    <w:p w:rsidR="00AB374A" w:rsidRPr="00646C87" w:rsidRDefault="00AB374A" w:rsidP="00EB5A23">
      <w:pPr>
        <w:pStyle w:val="ListParagraph"/>
        <w:numPr>
          <w:ilvl w:val="0"/>
          <w:numId w:val="2"/>
        </w:numPr>
        <w:spacing w:line="360" w:lineRule="auto"/>
        <w:jc w:val="both"/>
        <w:rPr>
          <w:rFonts w:ascii="Times New Roman" w:hAnsi="Times New Roman"/>
          <w:i/>
          <w:sz w:val="22"/>
          <w:szCs w:val="22"/>
        </w:rPr>
      </w:pPr>
      <w:proofErr w:type="gramStart"/>
      <w:r w:rsidRPr="008D59DA">
        <w:rPr>
          <w:rFonts w:ascii="Times New Roman" w:hAnsi="Times New Roman"/>
          <w:i/>
          <w:sz w:val="22"/>
          <w:szCs w:val="22"/>
        </w:rPr>
        <w:t>to</w:t>
      </w:r>
      <w:proofErr w:type="gramEnd"/>
      <w:r w:rsidRPr="008D59DA">
        <w:rPr>
          <w:rFonts w:ascii="Times New Roman" w:hAnsi="Times New Roman"/>
          <w:i/>
          <w:sz w:val="22"/>
          <w:szCs w:val="22"/>
        </w:rPr>
        <w:t xml:space="preserve"> determine whether or not the claimant</w:t>
      </w:r>
      <w:r w:rsidR="00EB5A23">
        <w:rPr>
          <w:rFonts w:ascii="Times New Roman" w:hAnsi="Times New Roman"/>
          <w:i/>
          <w:sz w:val="22"/>
          <w:szCs w:val="22"/>
        </w:rPr>
        <w:t xml:space="preserve"> </w:t>
      </w:r>
      <w:r w:rsidRPr="00646C87">
        <w:rPr>
          <w:rFonts w:ascii="Times New Roman" w:hAnsi="Times New Roman"/>
          <w:i/>
          <w:sz w:val="22"/>
          <w:szCs w:val="22"/>
        </w:rPr>
        <w:t>was unfairly dismissed.</w:t>
      </w:r>
    </w:p>
    <w:p w:rsidR="00AB374A" w:rsidRPr="008D59DA" w:rsidRDefault="00AB374A" w:rsidP="00EB5A23">
      <w:pPr>
        <w:pStyle w:val="ListParagraph"/>
        <w:numPr>
          <w:ilvl w:val="0"/>
          <w:numId w:val="2"/>
        </w:numPr>
        <w:spacing w:line="360" w:lineRule="auto"/>
        <w:jc w:val="both"/>
        <w:rPr>
          <w:rFonts w:ascii="Times New Roman" w:hAnsi="Times New Roman"/>
          <w:i/>
          <w:sz w:val="22"/>
          <w:szCs w:val="22"/>
        </w:rPr>
      </w:pPr>
      <w:proofErr w:type="gramStart"/>
      <w:r w:rsidRPr="008D59DA">
        <w:rPr>
          <w:rFonts w:ascii="Times New Roman" w:hAnsi="Times New Roman"/>
          <w:i/>
          <w:sz w:val="22"/>
          <w:szCs w:val="22"/>
        </w:rPr>
        <w:t>to</w:t>
      </w:r>
      <w:proofErr w:type="gramEnd"/>
      <w:r w:rsidRPr="008D59DA">
        <w:rPr>
          <w:rFonts w:ascii="Times New Roman" w:hAnsi="Times New Roman"/>
          <w:i/>
          <w:sz w:val="22"/>
          <w:szCs w:val="22"/>
        </w:rPr>
        <w:t xml:space="preserve"> determine whether or </w:t>
      </w:r>
      <w:r w:rsidR="00646C87">
        <w:rPr>
          <w:rFonts w:ascii="Times New Roman" w:hAnsi="Times New Roman"/>
          <w:i/>
          <w:sz w:val="22"/>
          <w:szCs w:val="22"/>
        </w:rPr>
        <w:t>not</w:t>
      </w:r>
      <w:r w:rsidR="00972F14">
        <w:rPr>
          <w:rFonts w:ascii="Times New Roman" w:hAnsi="Times New Roman"/>
          <w:i/>
          <w:sz w:val="22"/>
          <w:szCs w:val="22"/>
        </w:rPr>
        <w:t xml:space="preserve"> </w:t>
      </w:r>
      <w:r w:rsidRPr="008D59DA">
        <w:rPr>
          <w:rFonts w:ascii="Times New Roman" w:hAnsi="Times New Roman"/>
          <w:i/>
          <w:sz w:val="22"/>
          <w:szCs w:val="22"/>
        </w:rPr>
        <w:t xml:space="preserve">the Respondent </w:t>
      </w:r>
      <w:r w:rsidR="00646C87">
        <w:rPr>
          <w:rFonts w:ascii="Times New Roman" w:hAnsi="Times New Roman"/>
          <w:i/>
          <w:sz w:val="22"/>
          <w:szCs w:val="22"/>
        </w:rPr>
        <w:t xml:space="preserve">had </w:t>
      </w:r>
      <w:r w:rsidRPr="008D59DA">
        <w:rPr>
          <w:rFonts w:ascii="Times New Roman" w:hAnsi="Times New Roman"/>
          <w:i/>
          <w:sz w:val="22"/>
          <w:szCs w:val="22"/>
        </w:rPr>
        <w:t>committed</w:t>
      </w:r>
      <w:r w:rsidR="00052609">
        <w:rPr>
          <w:rFonts w:ascii="Times New Roman" w:hAnsi="Times New Roman"/>
          <w:i/>
          <w:sz w:val="22"/>
          <w:szCs w:val="22"/>
        </w:rPr>
        <w:t xml:space="preserve"> an</w:t>
      </w:r>
      <w:r w:rsidRPr="008D59DA">
        <w:rPr>
          <w:rFonts w:ascii="Times New Roman" w:hAnsi="Times New Roman"/>
          <w:i/>
          <w:sz w:val="22"/>
          <w:szCs w:val="22"/>
        </w:rPr>
        <w:t xml:space="preserve"> unfair </w:t>
      </w:r>
      <w:proofErr w:type="spellStart"/>
      <w:r w:rsidRPr="008D59DA">
        <w:rPr>
          <w:rFonts w:ascii="Times New Roman" w:hAnsi="Times New Roman"/>
          <w:i/>
          <w:sz w:val="22"/>
          <w:szCs w:val="22"/>
        </w:rPr>
        <w:t>labour</w:t>
      </w:r>
      <w:proofErr w:type="spellEnd"/>
      <w:r w:rsidRPr="008D59DA">
        <w:rPr>
          <w:rFonts w:ascii="Times New Roman" w:hAnsi="Times New Roman"/>
          <w:i/>
          <w:sz w:val="22"/>
          <w:szCs w:val="22"/>
        </w:rPr>
        <w:t xml:space="preserve"> practice.</w:t>
      </w:r>
    </w:p>
    <w:p w:rsidR="00AB374A" w:rsidRPr="008D59DA" w:rsidRDefault="00972F14" w:rsidP="00EB5A23">
      <w:pPr>
        <w:pStyle w:val="ListParagraph"/>
        <w:numPr>
          <w:ilvl w:val="0"/>
          <w:numId w:val="2"/>
        </w:numPr>
        <w:spacing w:line="360" w:lineRule="auto"/>
        <w:jc w:val="both"/>
        <w:rPr>
          <w:rFonts w:ascii="Times New Roman" w:hAnsi="Times New Roman"/>
          <w:i/>
          <w:sz w:val="22"/>
          <w:szCs w:val="22"/>
        </w:rPr>
      </w:pPr>
      <w:proofErr w:type="gramStart"/>
      <w:r>
        <w:rPr>
          <w:rFonts w:ascii="Times New Roman" w:hAnsi="Times New Roman"/>
          <w:i/>
          <w:sz w:val="22"/>
          <w:szCs w:val="22"/>
        </w:rPr>
        <w:t>whether</w:t>
      </w:r>
      <w:proofErr w:type="gramEnd"/>
      <w:r>
        <w:rPr>
          <w:rFonts w:ascii="Times New Roman" w:hAnsi="Times New Roman"/>
          <w:i/>
          <w:sz w:val="22"/>
          <w:szCs w:val="22"/>
        </w:rPr>
        <w:t xml:space="preserve"> or</w:t>
      </w:r>
      <w:r w:rsidR="00AE5DF0" w:rsidRPr="008D59DA">
        <w:rPr>
          <w:rFonts w:ascii="Times New Roman" w:hAnsi="Times New Roman"/>
          <w:i/>
          <w:sz w:val="22"/>
          <w:szCs w:val="22"/>
        </w:rPr>
        <w:t xml:space="preserve"> not</w:t>
      </w:r>
      <w:r w:rsidR="00AB374A" w:rsidRPr="008D59DA">
        <w:rPr>
          <w:rFonts w:ascii="Times New Roman" w:hAnsi="Times New Roman"/>
          <w:i/>
          <w:sz w:val="22"/>
          <w:szCs w:val="22"/>
        </w:rPr>
        <w:t xml:space="preserve"> the claimant is entitled to the</w:t>
      </w:r>
      <w:r>
        <w:rPr>
          <w:rFonts w:ascii="Times New Roman" w:hAnsi="Times New Roman"/>
          <w:i/>
          <w:sz w:val="22"/>
          <w:szCs w:val="22"/>
        </w:rPr>
        <w:t xml:space="preserve"> </w:t>
      </w:r>
      <w:r w:rsidR="00052609">
        <w:rPr>
          <w:rFonts w:ascii="Times New Roman" w:hAnsi="Times New Roman"/>
          <w:i/>
          <w:sz w:val="22"/>
          <w:szCs w:val="22"/>
        </w:rPr>
        <w:t>laptop</w:t>
      </w:r>
      <w:r w:rsidR="00AB374A" w:rsidRPr="008D59DA">
        <w:rPr>
          <w:rFonts w:ascii="Times New Roman" w:hAnsi="Times New Roman"/>
          <w:i/>
          <w:sz w:val="22"/>
          <w:szCs w:val="22"/>
        </w:rPr>
        <w:t>? If so</w:t>
      </w:r>
      <w:r w:rsidR="00052609">
        <w:rPr>
          <w:rFonts w:ascii="Times New Roman" w:hAnsi="Times New Roman"/>
          <w:i/>
          <w:sz w:val="22"/>
          <w:szCs w:val="22"/>
        </w:rPr>
        <w:t>,</w:t>
      </w:r>
      <w:r w:rsidR="00AB374A" w:rsidRPr="008D59DA">
        <w:rPr>
          <w:rFonts w:ascii="Times New Roman" w:hAnsi="Times New Roman"/>
          <w:i/>
          <w:sz w:val="22"/>
          <w:szCs w:val="22"/>
        </w:rPr>
        <w:t xml:space="preserve"> to determine the appropriate remedy, if any.</w:t>
      </w:r>
    </w:p>
    <w:p w:rsidR="0036771E" w:rsidRPr="008D59DA" w:rsidRDefault="0036771E" w:rsidP="00EB5A23">
      <w:pPr>
        <w:spacing w:line="360" w:lineRule="auto"/>
        <w:jc w:val="both"/>
        <w:rPr>
          <w:sz w:val="22"/>
          <w:szCs w:val="22"/>
        </w:rPr>
      </w:pPr>
    </w:p>
    <w:p w:rsidR="00052609" w:rsidRDefault="0036771E" w:rsidP="00514434">
      <w:pPr>
        <w:spacing w:line="360" w:lineRule="auto"/>
        <w:ind w:firstLine="720"/>
        <w:jc w:val="both"/>
      </w:pPr>
      <w:r w:rsidRPr="008D59DA">
        <w:t xml:space="preserve">The </w:t>
      </w:r>
      <w:r w:rsidR="006A7644" w:rsidRPr="008D59DA">
        <w:t>Arbitrator</w:t>
      </w:r>
      <w:r w:rsidRPr="008D59DA">
        <w:t xml:space="preserve"> handed down an award against the </w:t>
      </w:r>
      <w:r w:rsidRPr="008D59DA">
        <w:rPr>
          <w:b/>
        </w:rPr>
        <w:t>Appellant</w:t>
      </w:r>
      <w:r w:rsidR="00AB374A" w:rsidRPr="008D59DA">
        <w:rPr>
          <w:b/>
        </w:rPr>
        <w:t xml:space="preserve"> </w:t>
      </w:r>
      <w:r w:rsidR="00052609">
        <w:t xml:space="preserve">based on </w:t>
      </w:r>
      <w:r w:rsidR="00AE5DF0" w:rsidRPr="008D59DA">
        <w:t>his finding</w:t>
      </w:r>
      <w:r w:rsidRPr="008D59DA">
        <w:t xml:space="preserve"> that the Appellant had </w:t>
      </w:r>
      <w:r w:rsidR="00AE5DF0" w:rsidRPr="008D59DA">
        <w:t>not discharge</w:t>
      </w:r>
      <w:r w:rsidR="00972F14">
        <w:t>d</w:t>
      </w:r>
      <w:r w:rsidR="00AE5DF0" w:rsidRPr="008D59DA">
        <w:t xml:space="preserve"> the onus of proving </w:t>
      </w:r>
      <w:r w:rsidRPr="008D59DA">
        <w:t xml:space="preserve">the requirements of </w:t>
      </w:r>
      <w:r w:rsidRPr="00052609">
        <w:rPr>
          <w:b/>
        </w:rPr>
        <w:t>Section 12 B (3</w:t>
      </w:r>
      <w:proofErr w:type="gramStart"/>
      <w:r w:rsidRPr="00052609">
        <w:rPr>
          <w:b/>
        </w:rPr>
        <w:t>)(</w:t>
      </w:r>
      <w:proofErr w:type="gramEnd"/>
      <w:r w:rsidRPr="00052609">
        <w:rPr>
          <w:b/>
        </w:rPr>
        <w:t xml:space="preserve">b) of the </w:t>
      </w:r>
      <w:proofErr w:type="spellStart"/>
      <w:r w:rsidRPr="00052609">
        <w:rPr>
          <w:b/>
        </w:rPr>
        <w:t>Labour</w:t>
      </w:r>
      <w:proofErr w:type="spellEnd"/>
      <w:r w:rsidRPr="00052609">
        <w:rPr>
          <w:b/>
        </w:rPr>
        <w:t xml:space="preserve"> Act [Chapter 28:01]</w:t>
      </w:r>
      <w:r w:rsidR="00972F14">
        <w:t xml:space="preserve"> which require</w:t>
      </w:r>
      <w:r w:rsidRPr="008D59DA">
        <w:t xml:space="preserve"> </w:t>
      </w:r>
      <w:r w:rsidR="00052609">
        <w:t>proof, firstly</w:t>
      </w:r>
      <w:r w:rsidR="00972F14">
        <w:t>,</w:t>
      </w:r>
      <w:r w:rsidR="00052609">
        <w:t xml:space="preserve"> of</w:t>
      </w:r>
      <w:r w:rsidRPr="008D59DA">
        <w:t xml:space="preserve"> the existence of</w:t>
      </w:r>
      <w:r w:rsidR="00052609">
        <w:t xml:space="preserve"> a</w:t>
      </w:r>
      <w:r w:rsidRPr="008D59DA">
        <w:t xml:space="preserve"> legitimate expectation, </w:t>
      </w:r>
      <w:r w:rsidR="00052609">
        <w:t>and secondly</w:t>
      </w:r>
      <w:r w:rsidR="00972F14">
        <w:t>,</w:t>
      </w:r>
      <w:r w:rsidR="00052609">
        <w:t xml:space="preserve"> that</w:t>
      </w:r>
      <w:r w:rsidRPr="008D59DA">
        <w:t xml:space="preserve"> another employee had been engaged in the position of the Appellant.</w:t>
      </w:r>
      <w:r w:rsidR="00514434">
        <w:t xml:space="preserve">  The Arbitral award in its operative part reads;</w:t>
      </w:r>
    </w:p>
    <w:p w:rsidR="00514434" w:rsidRDefault="00514434" w:rsidP="00514434">
      <w:pPr>
        <w:spacing w:line="360" w:lineRule="auto"/>
        <w:jc w:val="both"/>
      </w:pPr>
    </w:p>
    <w:p w:rsidR="00514434" w:rsidRDefault="00514434" w:rsidP="00514434">
      <w:pPr>
        <w:pStyle w:val="ListParagraph"/>
        <w:numPr>
          <w:ilvl w:val="0"/>
          <w:numId w:val="14"/>
        </w:numPr>
        <w:spacing w:line="360" w:lineRule="auto"/>
        <w:jc w:val="both"/>
        <w:rPr>
          <w:i/>
        </w:rPr>
      </w:pPr>
      <w:r>
        <w:rPr>
          <w:i/>
        </w:rPr>
        <w:t>Claimant was not unfairly dismissed.  Her fixed term of contract was terminated in the normal way.</w:t>
      </w:r>
    </w:p>
    <w:p w:rsidR="00514434" w:rsidRDefault="00514434" w:rsidP="00514434">
      <w:pPr>
        <w:pStyle w:val="ListParagraph"/>
        <w:numPr>
          <w:ilvl w:val="0"/>
          <w:numId w:val="14"/>
        </w:numPr>
        <w:spacing w:line="360" w:lineRule="auto"/>
        <w:jc w:val="both"/>
        <w:rPr>
          <w:i/>
        </w:rPr>
      </w:pPr>
      <w:r>
        <w:rPr>
          <w:i/>
        </w:rPr>
        <w:t xml:space="preserve">Respondent did not commit an unfair </w:t>
      </w:r>
      <w:proofErr w:type="spellStart"/>
      <w:r>
        <w:rPr>
          <w:i/>
        </w:rPr>
        <w:t>labour</w:t>
      </w:r>
      <w:proofErr w:type="spellEnd"/>
      <w:r>
        <w:rPr>
          <w:i/>
        </w:rPr>
        <w:t xml:space="preserve"> practice i.e. “no casualization of </w:t>
      </w:r>
      <w:proofErr w:type="spellStart"/>
      <w:r>
        <w:rPr>
          <w:i/>
        </w:rPr>
        <w:t>Labour</w:t>
      </w:r>
      <w:proofErr w:type="spellEnd"/>
      <w:r>
        <w:rPr>
          <w:i/>
        </w:rPr>
        <w:t>.”</w:t>
      </w:r>
    </w:p>
    <w:p w:rsidR="00514434" w:rsidRPr="00514434" w:rsidRDefault="00514434" w:rsidP="00514434">
      <w:pPr>
        <w:pStyle w:val="ListParagraph"/>
        <w:numPr>
          <w:ilvl w:val="0"/>
          <w:numId w:val="14"/>
        </w:numPr>
        <w:spacing w:line="360" w:lineRule="auto"/>
        <w:jc w:val="both"/>
        <w:rPr>
          <w:i/>
        </w:rPr>
      </w:pPr>
      <w:r>
        <w:rPr>
          <w:i/>
        </w:rPr>
        <w:t>Claimant should return the laptop together with the intellectual property therein within 30 days of this award.</w:t>
      </w:r>
    </w:p>
    <w:p w:rsidR="00052609" w:rsidRDefault="00514434" w:rsidP="00514434">
      <w:pPr>
        <w:spacing w:line="360" w:lineRule="auto"/>
        <w:ind w:firstLine="360"/>
        <w:jc w:val="both"/>
      </w:pPr>
      <w:r>
        <w:lastRenderedPageBreak/>
        <w:t>Dissatisfied with the award the Appellant has noted the present appeal which is premised on the following grounds of appeal;</w:t>
      </w:r>
    </w:p>
    <w:p w:rsidR="00514434" w:rsidRDefault="00514434" w:rsidP="00EB5A23">
      <w:pPr>
        <w:spacing w:line="360" w:lineRule="auto"/>
        <w:jc w:val="both"/>
      </w:pPr>
    </w:p>
    <w:p w:rsidR="008B2320" w:rsidRPr="00EB5A23" w:rsidRDefault="008B2320" w:rsidP="00EB5A23">
      <w:pPr>
        <w:pStyle w:val="ListParagraph"/>
        <w:numPr>
          <w:ilvl w:val="0"/>
          <w:numId w:val="3"/>
        </w:numPr>
        <w:spacing w:line="360" w:lineRule="auto"/>
        <w:jc w:val="both"/>
        <w:rPr>
          <w:rFonts w:ascii="Times New Roman" w:hAnsi="Times New Roman"/>
          <w:b/>
          <w:i/>
          <w:sz w:val="22"/>
          <w:szCs w:val="22"/>
        </w:rPr>
      </w:pPr>
      <w:r w:rsidRPr="00EB5A23">
        <w:rPr>
          <w:rFonts w:ascii="Times New Roman" w:hAnsi="Times New Roman"/>
          <w:i/>
          <w:sz w:val="22"/>
          <w:szCs w:val="22"/>
        </w:rPr>
        <w:t xml:space="preserve">The Learned Arbitrator erred at law in confining the doctrine of legitimate expectation in renewal of fixed </w:t>
      </w:r>
      <w:r w:rsidR="00052609" w:rsidRPr="00EB5A23">
        <w:rPr>
          <w:rFonts w:ascii="Times New Roman" w:hAnsi="Times New Roman"/>
          <w:i/>
          <w:sz w:val="22"/>
          <w:szCs w:val="22"/>
        </w:rPr>
        <w:t>contracts</w:t>
      </w:r>
      <w:r w:rsidRPr="00EB5A23">
        <w:rPr>
          <w:rFonts w:ascii="Times New Roman" w:hAnsi="Times New Roman"/>
          <w:i/>
          <w:sz w:val="22"/>
          <w:szCs w:val="22"/>
        </w:rPr>
        <w:t xml:space="preserve"> to </w:t>
      </w:r>
      <w:r w:rsidRPr="00EB5A23">
        <w:rPr>
          <w:rFonts w:ascii="Times New Roman" w:hAnsi="Times New Roman"/>
          <w:b/>
          <w:i/>
          <w:sz w:val="22"/>
          <w:szCs w:val="22"/>
        </w:rPr>
        <w:t xml:space="preserve">Section 12 (B) 3 (b) of the </w:t>
      </w:r>
      <w:proofErr w:type="spellStart"/>
      <w:r w:rsidRPr="00EB5A23">
        <w:rPr>
          <w:rFonts w:ascii="Times New Roman" w:hAnsi="Times New Roman"/>
          <w:b/>
          <w:i/>
          <w:sz w:val="22"/>
          <w:szCs w:val="22"/>
        </w:rPr>
        <w:t>Labour</w:t>
      </w:r>
      <w:proofErr w:type="spellEnd"/>
      <w:r w:rsidRPr="00EB5A23">
        <w:rPr>
          <w:rFonts w:ascii="Times New Roman" w:hAnsi="Times New Roman"/>
          <w:b/>
          <w:i/>
          <w:sz w:val="22"/>
          <w:szCs w:val="22"/>
        </w:rPr>
        <w:t xml:space="preserve"> Act (28:01) </w:t>
      </w:r>
      <w:r w:rsidRPr="00EB5A23">
        <w:rPr>
          <w:rFonts w:ascii="Times New Roman" w:hAnsi="Times New Roman"/>
          <w:i/>
          <w:sz w:val="22"/>
          <w:szCs w:val="22"/>
        </w:rPr>
        <w:t>when clearly at common law the doctrine requires circumstantial evidence to be heard as opposed to an inquiry of whether another per</w:t>
      </w:r>
      <w:r w:rsidR="00052609" w:rsidRPr="00EB5A23">
        <w:rPr>
          <w:rFonts w:ascii="Times New Roman" w:hAnsi="Times New Roman"/>
          <w:i/>
          <w:sz w:val="22"/>
          <w:szCs w:val="22"/>
        </w:rPr>
        <w:t>son</w:t>
      </w:r>
      <w:r w:rsidRPr="00EB5A23">
        <w:rPr>
          <w:rFonts w:ascii="Times New Roman" w:hAnsi="Times New Roman"/>
          <w:i/>
          <w:sz w:val="22"/>
          <w:szCs w:val="22"/>
        </w:rPr>
        <w:t xml:space="preserve"> was re-engaged.</w:t>
      </w:r>
    </w:p>
    <w:p w:rsidR="008B2320" w:rsidRPr="008D59DA" w:rsidRDefault="008B2320" w:rsidP="00EB5A23">
      <w:pPr>
        <w:pStyle w:val="ListParagraph"/>
        <w:numPr>
          <w:ilvl w:val="0"/>
          <w:numId w:val="3"/>
        </w:numPr>
        <w:spacing w:line="360" w:lineRule="auto"/>
        <w:jc w:val="both"/>
        <w:rPr>
          <w:rFonts w:ascii="Times New Roman" w:hAnsi="Times New Roman"/>
          <w:b/>
          <w:i/>
          <w:sz w:val="22"/>
          <w:szCs w:val="22"/>
        </w:rPr>
      </w:pPr>
      <w:r w:rsidRPr="008D59DA">
        <w:rPr>
          <w:rFonts w:ascii="Times New Roman" w:hAnsi="Times New Roman"/>
          <w:i/>
          <w:sz w:val="22"/>
          <w:szCs w:val="22"/>
        </w:rPr>
        <w:t>The Learned Arbitrator erred at law in making a finding that the Appellant failed to prove that there was no on</w:t>
      </w:r>
      <w:r w:rsidR="00052609">
        <w:rPr>
          <w:rFonts w:ascii="Times New Roman" w:hAnsi="Times New Roman"/>
          <w:i/>
          <w:sz w:val="22"/>
          <w:szCs w:val="22"/>
        </w:rPr>
        <w:t xml:space="preserve">e </w:t>
      </w:r>
      <w:r w:rsidRPr="008D59DA">
        <w:rPr>
          <w:rFonts w:ascii="Times New Roman" w:hAnsi="Times New Roman"/>
          <w:i/>
          <w:sz w:val="22"/>
          <w:szCs w:val="22"/>
        </w:rPr>
        <w:t xml:space="preserve"> who was re-engaged and therefore there is no legitimate expectation, when clearly at law and in fact:-</w:t>
      </w:r>
    </w:p>
    <w:p w:rsidR="00FD60EC" w:rsidRPr="00EB5A23" w:rsidRDefault="00FD60EC" w:rsidP="00EB5A23">
      <w:pPr>
        <w:pStyle w:val="ListParagraph"/>
        <w:numPr>
          <w:ilvl w:val="0"/>
          <w:numId w:val="4"/>
        </w:numPr>
        <w:spacing w:line="360" w:lineRule="auto"/>
        <w:jc w:val="both"/>
        <w:rPr>
          <w:rFonts w:ascii="Times New Roman" w:hAnsi="Times New Roman"/>
          <w:b/>
          <w:i/>
          <w:sz w:val="22"/>
          <w:szCs w:val="22"/>
        </w:rPr>
      </w:pPr>
      <w:r w:rsidRPr="00EB5A23">
        <w:rPr>
          <w:rFonts w:ascii="Times New Roman" w:hAnsi="Times New Roman"/>
          <w:i/>
          <w:sz w:val="22"/>
          <w:szCs w:val="22"/>
        </w:rPr>
        <w:t xml:space="preserve">The provisions of </w:t>
      </w:r>
      <w:r w:rsidRPr="00EB5A23">
        <w:rPr>
          <w:rFonts w:ascii="Times New Roman" w:hAnsi="Times New Roman"/>
          <w:b/>
          <w:i/>
          <w:sz w:val="22"/>
          <w:szCs w:val="22"/>
        </w:rPr>
        <w:t xml:space="preserve">Section 12 (B) (3) (b) (ii) </w:t>
      </w:r>
      <w:r w:rsidRPr="00EB5A23">
        <w:rPr>
          <w:rFonts w:ascii="Times New Roman" w:hAnsi="Times New Roman"/>
          <w:i/>
          <w:sz w:val="22"/>
          <w:szCs w:val="22"/>
        </w:rPr>
        <w:t xml:space="preserve">of the </w:t>
      </w:r>
      <w:proofErr w:type="spellStart"/>
      <w:r w:rsidRPr="00EB5A23">
        <w:rPr>
          <w:rFonts w:ascii="Times New Roman" w:hAnsi="Times New Roman"/>
          <w:b/>
          <w:i/>
          <w:sz w:val="22"/>
          <w:szCs w:val="22"/>
        </w:rPr>
        <w:t>Labour</w:t>
      </w:r>
      <w:proofErr w:type="spellEnd"/>
      <w:r w:rsidRPr="00EB5A23">
        <w:rPr>
          <w:rFonts w:ascii="Times New Roman" w:hAnsi="Times New Roman"/>
          <w:b/>
          <w:i/>
          <w:sz w:val="22"/>
          <w:szCs w:val="22"/>
        </w:rPr>
        <w:t xml:space="preserve"> Act (28:01</w:t>
      </w:r>
      <w:r w:rsidRPr="00EB5A23">
        <w:rPr>
          <w:rFonts w:ascii="Times New Roman" w:hAnsi="Times New Roman"/>
          <w:i/>
          <w:sz w:val="22"/>
          <w:szCs w:val="22"/>
        </w:rPr>
        <w:t xml:space="preserve"> are not capable of implementation by the affected employee in that reasonably such evidence that someone was employed instead is not practically obtainable and therefore it’s a law that is dead or</w:t>
      </w:r>
    </w:p>
    <w:p w:rsidR="00FD60EC" w:rsidRPr="008D59DA" w:rsidRDefault="00FD60EC" w:rsidP="00EB5A23">
      <w:pPr>
        <w:pStyle w:val="ListParagraph"/>
        <w:numPr>
          <w:ilvl w:val="0"/>
          <w:numId w:val="4"/>
        </w:numPr>
        <w:spacing w:line="360" w:lineRule="auto"/>
        <w:jc w:val="both"/>
        <w:rPr>
          <w:rFonts w:ascii="Times New Roman" w:hAnsi="Times New Roman"/>
          <w:b/>
          <w:i/>
          <w:sz w:val="22"/>
          <w:szCs w:val="22"/>
        </w:rPr>
      </w:pPr>
      <w:r w:rsidRPr="008D59DA">
        <w:rPr>
          <w:rFonts w:ascii="Times New Roman" w:hAnsi="Times New Roman"/>
          <w:i/>
          <w:sz w:val="22"/>
          <w:szCs w:val="22"/>
        </w:rPr>
        <w:t xml:space="preserve">That interpretation of </w:t>
      </w:r>
      <w:r w:rsidRPr="008D59DA">
        <w:rPr>
          <w:rFonts w:ascii="Times New Roman" w:hAnsi="Times New Roman"/>
          <w:b/>
          <w:i/>
          <w:sz w:val="22"/>
          <w:szCs w:val="22"/>
        </w:rPr>
        <w:t xml:space="preserve">Section 12 (B) 3 (b) (ii) of the </w:t>
      </w:r>
      <w:proofErr w:type="spellStart"/>
      <w:r w:rsidRPr="008D59DA">
        <w:rPr>
          <w:rFonts w:ascii="Times New Roman" w:hAnsi="Times New Roman"/>
          <w:b/>
          <w:i/>
          <w:sz w:val="22"/>
          <w:szCs w:val="22"/>
        </w:rPr>
        <w:t>Labour</w:t>
      </w:r>
      <w:proofErr w:type="spellEnd"/>
      <w:r w:rsidRPr="008D59DA">
        <w:rPr>
          <w:rFonts w:ascii="Times New Roman" w:hAnsi="Times New Roman"/>
          <w:b/>
          <w:i/>
          <w:sz w:val="22"/>
          <w:szCs w:val="22"/>
        </w:rPr>
        <w:t xml:space="preserve"> Act (28:01)</w:t>
      </w:r>
      <w:r w:rsidRPr="008D59DA">
        <w:rPr>
          <w:rFonts w:ascii="Times New Roman" w:hAnsi="Times New Roman"/>
          <w:i/>
          <w:sz w:val="22"/>
          <w:szCs w:val="22"/>
        </w:rPr>
        <w:t xml:space="preserve"> is contrary to the purposive interpretation enshrined in Section 2A of the </w:t>
      </w:r>
      <w:proofErr w:type="spellStart"/>
      <w:r w:rsidRPr="008D59DA">
        <w:rPr>
          <w:rFonts w:ascii="Times New Roman" w:hAnsi="Times New Roman"/>
          <w:i/>
          <w:sz w:val="22"/>
          <w:szCs w:val="22"/>
        </w:rPr>
        <w:t>Labour</w:t>
      </w:r>
      <w:proofErr w:type="spellEnd"/>
      <w:r w:rsidRPr="008D59DA">
        <w:rPr>
          <w:rFonts w:ascii="Times New Roman" w:hAnsi="Times New Roman"/>
          <w:i/>
          <w:sz w:val="22"/>
          <w:szCs w:val="22"/>
        </w:rPr>
        <w:t xml:space="preserve"> Act, in that it ignores the other indicators to establish legitimate expectation for renewal of a fixed term contract.</w:t>
      </w:r>
    </w:p>
    <w:p w:rsidR="00FD60EC" w:rsidRPr="008D59DA" w:rsidRDefault="00FD60EC" w:rsidP="00EB5A23">
      <w:pPr>
        <w:pStyle w:val="ListParagraph"/>
        <w:numPr>
          <w:ilvl w:val="0"/>
          <w:numId w:val="3"/>
        </w:numPr>
        <w:spacing w:line="360" w:lineRule="auto"/>
        <w:jc w:val="both"/>
        <w:rPr>
          <w:rFonts w:ascii="Times New Roman" w:hAnsi="Times New Roman"/>
          <w:b/>
          <w:i/>
          <w:sz w:val="22"/>
          <w:szCs w:val="22"/>
        </w:rPr>
      </w:pPr>
      <w:r w:rsidRPr="008D59DA">
        <w:rPr>
          <w:rFonts w:ascii="Times New Roman" w:hAnsi="Times New Roman"/>
          <w:i/>
          <w:sz w:val="22"/>
          <w:szCs w:val="22"/>
        </w:rPr>
        <w:t>The Learned Arbitrator grossly erred factually a misdirection that amounts to a point of law; in that:</w:t>
      </w:r>
    </w:p>
    <w:p w:rsidR="00FD60EC" w:rsidRPr="008D59DA" w:rsidRDefault="00FD60EC" w:rsidP="00EB5A23">
      <w:pPr>
        <w:pStyle w:val="ListParagraph"/>
        <w:numPr>
          <w:ilvl w:val="0"/>
          <w:numId w:val="5"/>
        </w:numPr>
        <w:spacing w:line="360" w:lineRule="auto"/>
        <w:jc w:val="both"/>
        <w:rPr>
          <w:rFonts w:ascii="Times New Roman" w:hAnsi="Times New Roman"/>
          <w:b/>
          <w:i/>
          <w:sz w:val="22"/>
          <w:szCs w:val="22"/>
        </w:rPr>
      </w:pPr>
      <w:r w:rsidRPr="008D59DA">
        <w:rPr>
          <w:rFonts w:ascii="Times New Roman" w:hAnsi="Times New Roman"/>
          <w:i/>
          <w:sz w:val="22"/>
          <w:szCs w:val="22"/>
        </w:rPr>
        <w:t xml:space="preserve">He ignored a clear fact that in terms of approved and funded budgets of the Respondent, the Appellant’s salaries had been budgeted for even up to </w:t>
      </w:r>
      <w:r w:rsidRPr="008D59DA">
        <w:rPr>
          <w:rFonts w:ascii="Times New Roman" w:hAnsi="Times New Roman"/>
          <w:b/>
          <w:i/>
          <w:sz w:val="22"/>
          <w:szCs w:val="22"/>
        </w:rPr>
        <w:t>2015</w:t>
      </w:r>
      <w:r w:rsidRPr="008D59DA">
        <w:rPr>
          <w:rFonts w:ascii="Times New Roman" w:hAnsi="Times New Roman"/>
          <w:i/>
          <w:sz w:val="22"/>
          <w:szCs w:val="22"/>
        </w:rPr>
        <w:t>.</w:t>
      </w:r>
    </w:p>
    <w:p w:rsidR="00FD60EC" w:rsidRPr="008D59DA" w:rsidRDefault="00FD60EC" w:rsidP="00EB5A23">
      <w:pPr>
        <w:pStyle w:val="ListParagraph"/>
        <w:numPr>
          <w:ilvl w:val="0"/>
          <w:numId w:val="5"/>
        </w:numPr>
        <w:spacing w:line="360" w:lineRule="auto"/>
        <w:jc w:val="both"/>
        <w:rPr>
          <w:rFonts w:ascii="Times New Roman" w:hAnsi="Times New Roman"/>
          <w:b/>
          <w:i/>
          <w:sz w:val="22"/>
          <w:szCs w:val="22"/>
        </w:rPr>
      </w:pPr>
      <w:r w:rsidRPr="008D59DA">
        <w:rPr>
          <w:rFonts w:ascii="Times New Roman" w:hAnsi="Times New Roman"/>
          <w:i/>
          <w:sz w:val="22"/>
          <w:szCs w:val="22"/>
        </w:rPr>
        <w:t xml:space="preserve">He ignored a clear fact that the Appellant’s position remained </w:t>
      </w:r>
      <w:proofErr w:type="gramStart"/>
      <w:r w:rsidRPr="008D59DA">
        <w:rPr>
          <w:rFonts w:ascii="Times New Roman" w:hAnsi="Times New Roman"/>
          <w:i/>
          <w:sz w:val="22"/>
          <w:szCs w:val="22"/>
        </w:rPr>
        <w:t>core,</w:t>
      </w:r>
      <w:proofErr w:type="gramEnd"/>
      <w:r w:rsidRPr="008D59DA">
        <w:rPr>
          <w:rFonts w:ascii="Times New Roman" w:hAnsi="Times New Roman"/>
          <w:i/>
          <w:sz w:val="22"/>
          <w:szCs w:val="22"/>
        </w:rPr>
        <w:t xml:space="preserve"> essential and her services would always be needed as per donor policy and organizational structure.</w:t>
      </w:r>
    </w:p>
    <w:p w:rsidR="00062AF1" w:rsidRPr="008D59DA" w:rsidRDefault="00FD60EC" w:rsidP="00EB5A23">
      <w:pPr>
        <w:pStyle w:val="ListParagraph"/>
        <w:numPr>
          <w:ilvl w:val="0"/>
          <w:numId w:val="5"/>
        </w:numPr>
        <w:spacing w:line="360" w:lineRule="auto"/>
        <w:jc w:val="both"/>
        <w:rPr>
          <w:rFonts w:ascii="Times New Roman" w:hAnsi="Times New Roman"/>
          <w:b/>
          <w:i/>
          <w:sz w:val="22"/>
          <w:szCs w:val="22"/>
        </w:rPr>
      </w:pPr>
      <w:r w:rsidRPr="008D59DA">
        <w:rPr>
          <w:rFonts w:ascii="Times New Roman" w:hAnsi="Times New Roman"/>
          <w:i/>
          <w:sz w:val="22"/>
          <w:szCs w:val="22"/>
        </w:rPr>
        <w:t>He ignored a fact that the only basis the Appellant would not be renewed was that of poor performance</w:t>
      </w:r>
      <w:r w:rsidR="00062AF1" w:rsidRPr="008D59DA">
        <w:rPr>
          <w:rFonts w:ascii="Times New Roman" w:hAnsi="Times New Roman"/>
          <w:i/>
          <w:sz w:val="22"/>
          <w:szCs w:val="22"/>
        </w:rPr>
        <w:t xml:space="preserve"> and in this case her performance was beyond reproach.</w:t>
      </w:r>
    </w:p>
    <w:p w:rsidR="00062AF1" w:rsidRPr="008D59DA" w:rsidRDefault="00062AF1" w:rsidP="00EB5A23">
      <w:pPr>
        <w:pStyle w:val="ListParagraph"/>
        <w:numPr>
          <w:ilvl w:val="0"/>
          <w:numId w:val="5"/>
        </w:numPr>
        <w:spacing w:line="360" w:lineRule="auto"/>
        <w:jc w:val="both"/>
        <w:rPr>
          <w:rFonts w:ascii="Times New Roman" w:hAnsi="Times New Roman"/>
          <w:b/>
          <w:i/>
          <w:sz w:val="22"/>
          <w:szCs w:val="22"/>
        </w:rPr>
      </w:pPr>
      <w:r w:rsidRPr="008D59DA">
        <w:rPr>
          <w:rFonts w:ascii="Times New Roman" w:hAnsi="Times New Roman"/>
          <w:i/>
          <w:sz w:val="22"/>
          <w:szCs w:val="22"/>
        </w:rPr>
        <w:t>He ignored a fact that the reason why her contract was not renewed was that the employer had restructured and not that her work or funding to fund her position was no longer there, a reason further that is not tenable in terms of termination clause of her employment contract or the law as the law requires such to be considered as retrenchment.</w:t>
      </w:r>
    </w:p>
    <w:p w:rsidR="00062AF1" w:rsidRPr="008D59DA" w:rsidRDefault="00062AF1" w:rsidP="00EB5A23">
      <w:pPr>
        <w:pStyle w:val="ListParagraph"/>
        <w:numPr>
          <w:ilvl w:val="0"/>
          <w:numId w:val="5"/>
        </w:numPr>
        <w:spacing w:line="360" w:lineRule="auto"/>
        <w:jc w:val="both"/>
        <w:rPr>
          <w:rFonts w:ascii="Times New Roman" w:hAnsi="Times New Roman"/>
          <w:b/>
          <w:i/>
          <w:sz w:val="22"/>
          <w:szCs w:val="22"/>
        </w:rPr>
      </w:pPr>
      <w:r w:rsidRPr="008D59DA">
        <w:rPr>
          <w:rFonts w:ascii="Times New Roman" w:hAnsi="Times New Roman"/>
          <w:i/>
          <w:sz w:val="22"/>
          <w:szCs w:val="22"/>
        </w:rPr>
        <w:t xml:space="preserve">He ignored a fact that the Respondent Board resolved not to review Claimant’s contract on </w:t>
      </w:r>
      <w:r w:rsidRPr="008D59DA">
        <w:rPr>
          <w:rFonts w:ascii="Times New Roman" w:hAnsi="Times New Roman"/>
          <w:b/>
          <w:i/>
          <w:sz w:val="22"/>
          <w:szCs w:val="22"/>
        </w:rPr>
        <w:t>14</w:t>
      </w:r>
      <w:r w:rsidRPr="008D59DA">
        <w:rPr>
          <w:rFonts w:ascii="Times New Roman" w:hAnsi="Times New Roman"/>
          <w:b/>
          <w:i/>
          <w:sz w:val="22"/>
          <w:szCs w:val="22"/>
          <w:vertAlign w:val="superscript"/>
        </w:rPr>
        <w:t>th</w:t>
      </w:r>
      <w:r w:rsidRPr="008D59DA">
        <w:rPr>
          <w:rFonts w:ascii="Times New Roman" w:hAnsi="Times New Roman"/>
          <w:b/>
          <w:i/>
          <w:sz w:val="22"/>
          <w:szCs w:val="22"/>
        </w:rPr>
        <w:t xml:space="preserve"> October 2011</w:t>
      </w:r>
      <w:r w:rsidRPr="008D59DA">
        <w:rPr>
          <w:rFonts w:ascii="Times New Roman" w:hAnsi="Times New Roman"/>
          <w:i/>
          <w:sz w:val="22"/>
          <w:szCs w:val="22"/>
        </w:rPr>
        <w:t xml:space="preserve">, yet the performance assessment was done by the Respondent’s Director on </w:t>
      </w:r>
      <w:r w:rsidRPr="008D59DA">
        <w:rPr>
          <w:rFonts w:ascii="Times New Roman" w:hAnsi="Times New Roman"/>
          <w:b/>
          <w:i/>
          <w:sz w:val="22"/>
          <w:szCs w:val="22"/>
        </w:rPr>
        <w:t>18</w:t>
      </w:r>
      <w:r w:rsidRPr="008D59DA">
        <w:rPr>
          <w:rFonts w:ascii="Times New Roman" w:hAnsi="Times New Roman"/>
          <w:b/>
          <w:i/>
          <w:sz w:val="22"/>
          <w:szCs w:val="22"/>
          <w:vertAlign w:val="superscript"/>
        </w:rPr>
        <w:t>th</w:t>
      </w:r>
      <w:r w:rsidRPr="008D59DA">
        <w:rPr>
          <w:rFonts w:ascii="Times New Roman" w:hAnsi="Times New Roman"/>
          <w:b/>
          <w:i/>
          <w:sz w:val="22"/>
          <w:szCs w:val="22"/>
        </w:rPr>
        <w:t xml:space="preserve"> October 2011</w:t>
      </w:r>
      <w:r w:rsidRPr="008D59DA">
        <w:rPr>
          <w:rFonts w:ascii="Times New Roman" w:hAnsi="Times New Roman"/>
          <w:i/>
          <w:sz w:val="22"/>
          <w:szCs w:val="22"/>
        </w:rPr>
        <w:t xml:space="preserve"> and gave 7.2 out of 10% a </w:t>
      </w:r>
      <w:r w:rsidR="00722326" w:rsidRPr="008D59DA">
        <w:rPr>
          <w:rFonts w:ascii="Times New Roman" w:hAnsi="Times New Roman"/>
          <w:i/>
          <w:sz w:val="22"/>
          <w:szCs w:val="22"/>
        </w:rPr>
        <w:t>fact</w:t>
      </w:r>
      <w:r w:rsidRPr="008D59DA">
        <w:rPr>
          <w:rFonts w:ascii="Times New Roman" w:hAnsi="Times New Roman"/>
          <w:i/>
          <w:sz w:val="22"/>
          <w:szCs w:val="22"/>
        </w:rPr>
        <w:t xml:space="preserve"> that confirms existence of a legitimate expectation.</w:t>
      </w:r>
    </w:p>
    <w:p w:rsidR="00FD60EC" w:rsidRPr="008D59DA" w:rsidRDefault="00062AF1" w:rsidP="00EB5A23">
      <w:pPr>
        <w:pStyle w:val="ListParagraph"/>
        <w:numPr>
          <w:ilvl w:val="0"/>
          <w:numId w:val="3"/>
        </w:numPr>
        <w:spacing w:line="360" w:lineRule="auto"/>
        <w:jc w:val="both"/>
        <w:rPr>
          <w:rFonts w:ascii="Times New Roman" w:hAnsi="Times New Roman"/>
          <w:b/>
          <w:i/>
          <w:sz w:val="22"/>
          <w:szCs w:val="22"/>
        </w:rPr>
      </w:pPr>
      <w:r w:rsidRPr="008D59DA">
        <w:rPr>
          <w:rFonts w:ascii="Times New Roman" w:hAnsi="Times New Roman"/>
          <w:i/>
          <w:sz w:val="22"/>
          <w:szCs w:val="22"/>
        </w:rPr>
        <w:lastRenderedPageBreak/>
        <w:t>The Learned Arbitrator erred at law in not finding that the existence of the legitimate expectation or renewal of the employment contract was present in this case and consequently the dismissal was unfair.</w:t>
      </w:r>
      <w:r w:rsidR="00FD60EC" w:rsidRPr="008D59DA">
        <w:rPr>
          <w:rFonts w:ascii="Times New Roman" w:hAnsi="Times New Roman"/>
          <w:i/>
          <w:sz w:val="22"/>
          <w:szCs w:val="22"/>
        </w:rPr>
        <w:t xml:space="preserve"> </w:t>
      </w:r>
    </w:p>
    <w:p w:rsidR="00722326" w:rsidRDefault="00722326" w:rsidP="00EB5A23">
      <w:pPr>
        <w:spacing w:line="360" w:lineRule="auto"/>
        <w:jc w:val="both"/>
        <w:rPr>
          <w:b/>
          <w:sz w:val="28"/>
          <w:szCs w:val="28"/>
        </w:rPr>
      </w:pPr>
    </w:p>
    <w:p w:rsidR="00722326" w:rsidRPr="008D59DA" w:rsidRDefault="00722326" w:rsidP="00514434">
      <w:pPr>
        <w:spacing w:line="360" w:lineRule="auto"/>
        <w:ind w:firstLine="360"/>
        <w:jc w:val="both"/>
      </w:pPr>
      <w:r w:rsidRPr="008D59DA">
        <w:t xml:space="preserve">The </w:t>
      </w:r>
      <w:r w:rsidR="00972F14">
        <w:t>Appellant has filed an</w:t>
      </w:r>
      <w:r w:rsidRPr="008D59DA">
        <w:t xml:space="preserve"> Applicat</w:t>
      </w:r>
      <w:r w:rsidR="00F607D7" w:rsidRPr="008D59DA">
        <w:t xml:space="preserve">ion for Amendment to Notice of Appeal.  The amendment sought by the Appellant is through </w:t>
      </w:r>
      <w:r w:rsidR="00A3644D">
        <w:t>an additional</w:t>
      </w:r>
      <w:r w:rsidR="00AC67E1" w:rsidRPr="008D59DA">
        <w:t xml:space="preserve"> ground of appeal ground 2(c)</w:t>
      </w:r>
      <w:r w:rsidR="00F607D7" w:rsidRPr="008D59DA">
        <w:t xml:space="preserve"> which reads as follows; </w:t>
      </w:r>
    </w:p>
    <w:p w:rsidR="000A272B" w:rsidRPr="008D59DA" w:rsidRDefault="000A272B" w:rsidP="00EB5A23">
      <w:pPr>
        <w:spacing w:line="360" w:lineRule="auto"/>
        <w:jc w:val="both"/>
      </w:pPr>
    </w:p>
    <w:p w:rsidR="00AB374A" w:rsidRPr="008D59DA" w:rsidRDefault="00A3644D" w:rsidP="00EB5A23">
      <w:pPr>
        <w:spacing w:line="360" w:lineRule="auto"/>
        <w:jc w:val="both"/>
        <w:rPr>
          <w:rFonts w:ascii="Times New Roman" w:hAnsi="Times New Roman"/>
          <w:i/>
          <w:sz w:val="22"/>
          <w:szCs w:val="22"/>
        </w:rPr>
      </w:pPr>
      <w:r>
        <w:t xml:space="preserve">     “</w:t>
      </w:r>
      <w:r w:rsidR="000A272B" w:rsidRPr="00A3644D">
        <w:rPr>
          <w:i/>
          <w:sz w:val="22"/>
          <w:szCs w:val="22"/>
        </w:rPr>
        <w:t>2</w:t>
      </w:r>
      <w:proofErr w:type="gramStart"/>
      <w:r w:rsidR="000A272B" w:rsidRPr="00A3644D">
        <w:rPr>
          <w:i/>
          <w:sz w:val="22"/>
          <w:szCs w:val="22"/>
        </w:rPr>
        <w:t>.  (</w:t>
      </w:r>
      <w:proofErr w:type="gramEnd"/>
      <w:r w:rsidR="000A272B" w:rsidRPr="00A3644D">
        <w:rPr>
          <w:i/>
          <w:sz w:val="22"/>
          <w:szCs w:val="22"/>
        </w:rPr>
        <w:t xml:space="preserve">c) </w:t>
      </w:r>
      <w:r w:rsidR="000A272B" w:rsidRPr="00A3644D">
        <w:rPr>
          <w:rFonts w:ascii="Times New Roman" w:hAnsi="Times New Roman"/>
          <w:i/>
          <w:sz w:val="22"/>
          <w:szCs w:val="22"/>
        </w:rPr>
        <w:t>The</w:t>
      </w:r>
      <w:r w:rsidR="000A272B" w:rsidRPr="008D59DA">
        <w:rPr>
          <w:rFonts w:ascii="Times New Roman" w:hAnsi="Times New Roman"/>
          <w:i/>
          <w:sz w:val="22"/>
          <w:szCs w:val="22"/>
        </w:rPr>
        <w:t xml:space="preserve"> Appellant’s post was advertised as a vacancy, in other </w:t>
      </w:r>
    </w:p>
    <w:p w:rsidR="00CD62EE" w:rsidRDefault="000A272B" w:rsidP="00EB5A23">
      <w:pPr>
        <w:spacing w:line="360" w:lineRule="auto"/>
        <w:ind w:left="900"/>
        <w:jc w:val="both"/>
        <w:rPr>
          <w:rFonts w:ascii="Times New Roman" w:hAnsi="Times New Roman"/>
          <w:i/>
          <w:sz w:val="22"/>
          <w:szCs w:val="22"/>
        </w:rPr>
      </w:pPr>
      <w:r w:rsidRPr="008D59DA">
        <w:rPr>
          <w:rFonts w:ascii="Times New Roman" w:hAnsi="Times New Roman"/>
          <w:i/>
          <w:sz w:val="22"/>
          <w:szCs w:val="22"/>
        </w:rPr>
        <w:t xml:space="preserve">Respondent employed another person or intends to employ another person instead of the Appellant contrary to provisions of Section 12 B of the </w:t>
      </w:r>
      <w:proofErr w:type="spellStart"/>
      <w:r w:rsidRPr="008D59DA">
        <w:rPr>
          <w:rFonts w:ascii="Times New Roman" w:hAnsi="Times New Roman"/>
          <w:i/>
          <w:sz w:val="22"/>
          <w:szCs w:val="22"/>
        </w:rPr>
        <w:t>Labour</w:t>
      </w:r>
      <w:proofErr w:type="spellEnd"/>
      <w:r w:rsidRPr="008D59DA">
        <w:rPr>
          <w:rFonts w:ascii="Times New Roman" w:hAnsi="Times New Roman"/>
          <w:i/>
          <w:sz w:val="22"/>
          <w:szCs w:val="22"/>
        </w:rPr>
        <w:t xml:space="preserve"> Act (28:01).  See Annexure “A”.</w:t>
      </w:r>
    </w:p>
    <w:p w:rsidR="00514434" w:rsidRPr="008D59DA" w:rsidRDefault="00514434" w:rsidP="00EB5A23">
      <w:pPr>
        <w:spacing w:line="360" w:lineRule="auto"/>
        <w:ind w:left="900"/>
        <w:jc w:val="both"/>
        <w:rPr>
          <w:rFonts w:ascii="Times New Roman" w:hAnsi="Times New Roman"/>
          <w:i/>
          <w:sz w:val="22"/>
          <w:szCs w:val="22"/>
        </w:rPr>
      </w:pPr>
    </w:p>
    <w:p w:rsidR="00A05186" w:rsidRPr="008D59DA" w:rsidRDefault="00CD62EE" w:rsidP="00EB5A23">
      <w:pPr>
        <w:spacing w:line="360" w:lineRule="auto"/>
        <w:ind w:firstLine="720"/>
        <w:jc w:val="both"/>
      </w:pPr>
      <w:r w:rsidRPr="008D59DA">
        <w:t xml:space="preserve">The </w:t>
      </w:r>
      <w:r w:rsidR="00A3644D">
        <w:t>application</w:t>
      </w:r>
      <w:r w:rsidRPr="008D59DA">
        <w:t xml:space="preserve"> is accompanied by an attachment in the </w:t>
      </w:r>
      <w:r w:rsidR="00A3644D">
        <w:t>form</w:t>
      </w:r>
      <w:r w:rsidRPr="008D59DA">
        <w:t xml:space="preserve"> of Annexure “</w:t>
      </w:r>
      <w:r w:rsidR="00AE5DF0" w:rsidRPr="008D59DA">
        <w:t xml:space="preserve">A” which is an advertisement </w:t>
      </w:r>
      <w:proofErr w:type="spellStart"/>
      <w:r w:rsidR="00AE5DF0" w:rsidRPr="008D59DA">
        <w:t>fli</w:t>
      </w:r>
      <w:r w:rsidRPr="008D59DA">
        <w:t>ghted</w:t>
      </w:r>
      <w:proofErr w:type="spellEnd"/>
      <w:r w:rsidRPr="008D59DA">
        <w:t xml:space="preserve"> in a local newspaper for a position of Accountant; Local NGO</w:t>
      </w:r>
      <w:r w:rsidR="00972F14">
        <w:t xml:space="preserve">. </w:t>
      </w:r>
      <w:r w:rsidRPr="008D59DA">
        <w:t xml:space="preserve"> </w:t>
      </w:r>
      <w:r w:rsidR="00972F14">
        <w:t>F</w:t>
      </w:r>
      <w:r w:rsidR="00A05186" w:rsidRPr="008D59DA">
        <w:t>or interview</w:t>
      </w:r>
      <w:r w:rsidR="00972F14">
        <w:t>s</w:t>
      </w:r>
      <w:r w:rsidR="00A05186" w:rsidRPr="008D59DA">
        <w:t xml:space="preserve"> the deadline is</w:t>
      </w:r>
      <w:r w:rsidR="00972F14">
        <w:t xml:space="preserve"> given as</w:t>
      </w:r>
      <w:r w:rsidR="00A05186" w:rsidRPr="008D59DA">
        <w:t xml:space="preserve"> 16 October 2012.  The advert</w:t>
      </w:r>
      <w:r w:rsidR="00972F14">
        <w:t>isement</w:t>
      </w:r>
      <w:r w:rsidR="00A05186" w:rsidRPr="008D59DA">
        <w:t xml:space="preserve"> indicates specific duties, qualifications and skills of the person required.  An address </w:t>
      </w:r>
      <w:r w:rsidR="00972F14">
        <w:t>to</w:t>
      </w:r>
      <w:r w:rsidR="00A05186" w:rsidRPr="008D59DA">
        <w:t xml:space="preserve"> send one’s CV is also given.</w:t>
      </w:r>
    </w:p>
    <w:p w:rsidR="00A05186" w:rsidRPr="008D59DA" w:rsidRDefault="00A05186" w:rsidP="00EB5A23">
      <w:pPr>
        <w:spacing w:line="360" w:lineRule="auto"/>
        <w:ind w:firstLine="720"/>
        <w:jc w:val="both"/>
      </w:pPr>
    </w:p>
    <w:p w:rsidR="00A05186" w:rsidRDefault="00972F14" w:rsidP="00EB5A23">
      <w:pPr>
        <w:spacing w:line="360" w:lineRule="auto"/>
        <w:ind w:firstLine="720"/>
        <w:jc w:val="both"/>
      </w:pPr>
      <w:r>
        <w:t>The Respondent</w:t>
      </w:r>
      <w:r w:rsidR="00A05186" w:rsidRPr="008D59DA">
        <w:t xml:space="preserve"> </w:t>
      </w:r>
      <w:r w:rsidR="00A3644D">
        <w:t>objects</w:t>
      </w:r>
      <w:r w:rsidR="00A05186" w:rsidRPr="008D59DA">
        <w:t xml:space="preserve"> to the amendment of the Appellant</w:t>
      </w:r>
      <w:r w:rsidR="00A3644D">
        <w:t>’s</w:t>
      </w:r>
      <w:r w:rsidR="00A05186" w:rsidRPr="008D59DA">
        <w:t xml:space="preserve"> notice of appeal on the following basis;</w:t>
      </w:r>
    </w:p>
    <w:p w:rsidR="00514434" w:rsidRPr="008D59DA" w:rsidRDefault="00514434" w:rsidP="00EB5A23">
      <w:pPr>
        <w:spacing w:line="360" w:lineRule="auto"/>
        <w:ind w:firstLine="720"/>
        <w:jc w:val="both"/>
      </w:pPr>
    </w:p>
    <w:p w:rsidR="00CD62EE" w:rsidRPr="00271628" w:rsidRDefault="00271628" w:rsidP="00271628">
      <w:pPr>
        <w:spacing w:line="360" w:lineRule="auto"/>
        <w:ind w:left="720" w:hanging="720"/>
        <w:jc w:val="both"/>
        <w:rPr>
          <w:rFonts w:ascii="Times New Roman" w:hAnsi="Times New Roman"/>
          <w:i/>
          <w:sz w:val="22"/>
          <w:szCs w:val="22"/>
        </w:rPr>
      </w:pPr>
      <w:r>
        <w:rPr>
          <w:rFonts w:ascii="Times New Roman" w:hAnsi="Times New Roman"/>
          <w:i/>
          <w:sz w:val="22"/>
          <w:szCs w:val="22"/>
        </w:rPr>
        <w:t>(a)</w:t>
      </w:r>
      <w:r>
        <w:rPr>
          <w:rFonts w:ascii="Times New Roman" w:hAnsi="Times New Roman"/>
          <w:i/>
          <w:sz w:val="22"/>
          <w:szCs w:val="22"/>
        </w:rPr>
        <w:tab/>
      </w:r>
      <w:r w:rsidR="00A05186" w:rsidRPr="00271628">
        <w:rPr>
          <w:rFonts w:ascii="Times New Roman" w:hAnsi="Times New Roman"/>
          <w:i/>
          <w:sz w:val="22"/>
          <w:szCs w:val="22"/>
        </w:rPr>
        <w:t>In the amendment</w:t>
      </w:r>
      <w:r w:rsidR="00A3644D" w:rsidRPr="00271628">
        <w:rPr>
          <w:rFonts w:ascii="Times New Roman" w:hAnsi="Times New Roman"/>
          <w:i/>
          <w:sz w:val="22"/>
          <w:szCs w:val="22"/>
        </w:rPr>
        <w:t xml:space="preserve"> Appellant</w:t>
      </w:r>
      <w:r w:rsidR="00A05186" w:rsidRPr="00271628">
        <w:rPr>
          <w:rFonts w:ascii="Times New Roman" w:hAnsi="Times New Roman"/>
          <w:i/>
          <w:sz w:val="22"/>
          <w:szCs w:val="22"/>
        </w:rPr>
        <w:t xml:space="preserve"> seeks to introduce fresh evidence which was not before the Arbitrator.  In the same argument appeals </w:t>
      </w:r>
      <w:r w:rsidR="00A3644D" w:rsidRPr="00271628">
        <w:rPr>
          <w:rFonts w:ascii="Times New Roman" w:hAnsi="Times New Roman"/>
          <w:i/>
          <w:sz w:val="22"/>
          <w:szCs w:val="22"/>
        </w:rPr>
        <w:t>before</w:t>
      </w:r>
      <w:r w:rsidR="00A05186" w:rsidRPr="00271628">
        <w:rPr>
          <w:rFonts w:ascii="Times New Roman" w:hAnsi="Times New Roman"/>
          <w:i/>
          <w:sz w:val="22"/>
          <w:szCs w:val="22"/>
        </w:rPr>
        <w:t xml:space="preserve"> the </w:t>
      </w:r>
      <w:proofErr w:type="spellStart"/>
      <w:r w:rsidR="00A05186" w:rsidRPr="00271628">
        <w:rPr>
          <w:rFonts w:ascii="Times New Roman" w:hAnsi="Times New Roman"/>
          <w:i/>
          <w:sz w:val="22"/>
          <w:szCs w:val="22"/>
        </w:rPr>
        <w:t>Labour</w:t>
      </w:r>
      <w:proofErr w:type="spellEnd"/>
      <w:r w:rsidR="00A05186" w:rsidRPr="00271628">
        <w:rPr>
          <w:rFonts w:ascii="Times New Roman" w:hAnsi="Times New Roman"/>
          <w:i/>
          <w:sz w:val="22"/>
          <w:szCs w:val="22"/>
        </w:rPr>
        <w:t xml:space="preserve"> Court </w:t>
      </w:r>
      <w:r w:rsidR="00A3644D" w:rsidRPr="00271628">
        <w:rPr>
          <w:rFonts w:ascii="Times New Roman" w:hAnsi="Times New Roman"/>
          <w:i/>
          <w:sz w:val="22"/>
          <w:szCs w:val="22"/>
        </w:rPr>
        <w:t>are</w:t>
      </w:r>
      <w:r w:rsidR="00A05186" w:rsidRPr="00271628">
        <w:rPr>
          <w:rFonts w:ascii="Times New Roman" w:hAnsi="Times New Roman"/>
          <w:i/>
          <w:sz w:val="22"/>
          <w:szCs w:val="22"/>
        </w:rPr>
        <w:t xml:space="preserve"> appeals on the record.</w:t>
      </w:r>
    </w:p>
    <w:p w:rsidR="00A05186" w:rsidRPr="00271628" w:rsidRDefault="00271628" w:rsidP="00271628">
      <w:pPr>
        <w:spacing w:line="360" w:lineRule="auto"/>
        <w:ind w:left="720" w:hanging="720"/>
        <w:jc w:val="both"/>
        <w:rPr>
          <w:rFonts w:ascii="Times New Roman" w:hAnsi="Times New Roman"/>
          <w:i/>
          <w:sz w:val="22"/>
          <w:szCs w:val="22"/>
        </w:rPr>
      </w:pPr>
      <w:r>
        <w:rPr>
          <w:rFonts w:ascii="Times New Roman" w:hAnsi="Times New Roman"/>
          <w:i/>
          <w:sz w:val="22"/>
          <w:szCs w:val="22"/>
        </w:rPr>
        <w:t>(b)</w:t>
      </w:r>
      <w:r>
        <w:rPr>
          <w:rFonts w:ascii="Times New Roman" w:hAnsi="Times New Roman"/>
          <w:i/>
          <w:sz w:val="22"/>
          <w:szCs w:val="22"/>
        </w:rPr>
        <w:tab/>
      </w:r>
      <w:r w:rsidR="00A05186" w:rsidRPr="00271628">
        <w:rPr>
          <w:rFonts w:ascii="Times New Roman" w:hAnsi="Times New Roman"/>
          <w:i/>
          <w:sz w:val="22"/>
          <w:szCs w:val="22"/>
        </w:rPr>
        <w:t>The advertisement relates to a different post to the one the Appellant had.  Appellant position was engaged as Finance and Administration Manager</w:t>
      </w:r>
      <w:r w:rsidR="002603B2" w:rsidRPr="00271628">
        <w:rPr>
          <w:rFonts w:ascii="Times New Roman" w:hAnsi="Times New Roman"/>
          <w:i/>
          <w:sz w:val="22"/>
          <w:szCs w:val="22"/>
        </w:rPr>
        <w:t xml:space="preserve"> whereas advert relates to the post of Accountant advertised in October 2012 a year after Appellant’s contract terminated by effective of time.</w:t>
      </w:r>
    </w:p>
    <w:p w:rsidR="002603B2" w:rsidRPr="00271628" w:rsidRDefault="00271628" w:rsidP="00271628">
      <w:pPr>
        <w:spacing w:line="360" w:lineRule="auto"/>
        <w:ind w:left="720" w:hanging="720"/>
        <w:jc w:val="both"/>
        <w:rPr>
          <w:rFonts w:ascii="Times New Roman" w:hAnsi="Times New Roman"/>
          <w:i/>
          <w:sz w:val="22"/>
          <w:szCs w:val="22"/>
        </w:rPr>
      </w:pPr>
      <w:r>
        <w:rPr>
          <w:rFonts w:ascii="Times New Roman" w:hAnsi="Times New Roman"/>
          <w:i/>
          <w:sz w:val="22"/>
          <w:szCs w:val="22"/>
        </w:rPr>
        <w:t>(c)</w:t>
      </w:r>
      <w:r>
        <w:rPr>
          <w:rFonts w:ascii="Times New Roman" w:hAnsi="Times New Roman"/>
          <w:i/>
          <w:sz w:val="22"/>
          <w:szCs w:val="22"/>
        </w:rPr>
        <w:tab/>
      </w:r>
      <w:r w:rsidR="002603B2" w:rsidRPr="00271628">
        <w:rPr>
          <w:rFonts w:ascii="Times New Roman" w:hAnsi="Times New Roman"/>
          <w:i/>
          <w:sz w:val="22"/>
          <w:szCs w:val="22"/>
        </w:rPr>
        <w:t>The Appellant is seeking to introduce factual issues whereas appeals against Arbitral award have to be in point of law.  Ground of appeal does not raise point of law.</w:t>
      </w:r>
    </w:p>
    <w:p w:rsidR="002603B2" w:rsidRPr="00AE5DF0" w:rsidRDefault="002603B2" w:rsidP="00EB5A23">
      <w:pPr>
        <w:spacing w:line="360" w:lineRule="auto"/>
        <w:ind w:left="720"/>
        <w:jc w:val="both"/>
        <w:rPr>
          <w:rFonts w:ascii="Times New Roman" w:hAnsi="Times New Roman"/>
          <w:i/>
          <w:sz w:val="28"/>
          <w:szCs w:val="28"/>
        </w:rPr>
      </w:pPr>
    </w:p>
    <w:p w:rsidR="002603B2" w:rsidRPr="008D59DA" w:rsidRDefault="002603B2" w:rsidP="00271628">
      <w:pPr>
        <w:spacing w:line="360" w:lineRule="auto"/>
        <w:ind w:firstLine="720"/>
        <w:jc w:val="both"/>
      </w:pPr>
      <w:r w:rsidRPr="008D59DA">
        <w:t xml:space="preserve">The Appellant has in </w:t>
      </w:r>
      <w:r w:rsidR="00A3644D">
        <w:t xml:space="preserve">replication </w:t>
      </w:r>
      <w:r w:rsidRPr="008D59DA">
        <w:t xml:space="preserve">submitted in </w:t>
      </w:r>
      <w:r w:rsidR="00A3644D">
        <w:t xml:space="preserve">her </w:t>
      </w:r>
      <w:r w:rsidRPr="008D59DA">
        <w:t>Supplement</w:t>
      </w:r>
      <w:r w:rsidR="00A3644D">
        <w:t>ary</w:t>
      </w:r>
      <w:r w:rsidRPr="008D59DA">
        <w:t xml:space="preserve"> Heads of Argument </w:t>
      </w:r>
      <w:r w:rsidR="00A3644D">
        <w:t>as follows.</w:t>
      </w:r>
    </w:p>
    <w:p w:rsidR="002603B2" w:rsidRPr="00271628" w:rsidRDefault="00271628" w:rsidP="00271628">
      <w:pPr>
        <w:spacing w:line="360" w:lineRule="auto"/>
        <w:ind w:left="720" w:hanging="720"/>
        <w:jc w:val="both"/>
        <w:rPr>
          <w:rFonts w:ascii="Times New Roman" w:hAnsi="Times New Roman"/>
          <w:i/>
          <w:sz w:val="22"/>
          <w:szCs w:val="22"/>
        </w:rPr>
      </w:pPr>
      <w:r>
        <w:rPr>
          <w:rFonts w:ascii="Times New Roman" w:hAnsi="Times New Roman"/>
          <w:i/>
          <w:sz w:val="22"/>
          <w:szCs w:val="22"/>
        </w:rPr>
        <w:lastRenderedPageBreak/>
        <w:t>(a)</w:t>
      </w:r>
      <w:r>
        <w:rPr>
          <w:rFonts w:ascii="Times New Roman" w:hAnsi="Times New Roman"/>
          <w:i/>
          <w:sz w:val="22"/>
          <w:szCs w:val="22"/>
        </w:rPr>
        <w:tab/>
      </w:r>
      <w:r w:rsidR="002603B2" w:rsidRPr="00271628">
        <w:rPr>
          <w:rFonts w:ascii="Times New Roman" w:hAnsi="Times New Roman"/>
          <w:i/>
          <w:sz w:val="22"/>
          <w:szCs w:val="22"/>
        </w:rPr>
        <w:t xml:space="preserve">No fresh evidence is being introduced.  The issue as to whether or not the Respondent engaged another person in place of Appellant </w:t>
      </w:r>
      <w:r w:rsidR="00972F14" w:rsidRPr="00271628">
        <w:rPr>
          <w:rFonts w:ascii="Times New Roman" w:hAnsi="Times New Roman"/>
          <w:i/>
          <w:sz w:val="22"/>
          <w:szCs w:val="22"/>
        </w:rPr>
        <w:t>w</w:t>
      </w:r>
      <w:r w:rsidR="002603B2" w:rsidRPr="00271628">
        <w:rPr>
          <w:rFonts w:ascii="Times New Roman" w:hAnsi="Times New Roman"/>
          <w:i/>
          <w:sz w:val="22"/>
          <w:szCs w:val="22"/>
        </w:rPr>
        <w:t>as c</w:t>
      </w:r>
      <w:r w:rsidR="00972F14" w:rsidRPr="00271628">
        <w:rPr>
          <w:rFonts w:ascii="Times New Roman" w:hAnsi="Times New Roman"/>
          <w:i/>
          <w:sz w:val="22"/>
          <w:szCs w:val="22"/>
        </w:rPr>
        <w:t>entral</w:t>
      </w:r>
      <w:r w:rsidR="002603B2" w:rsidRPr="00271628">
        <w:rPr>
          <w:rFonts w:ascii="Times New Roman" w:hAnsi="Times New Roman"/>
          <w:i/>
          <w:sz w:val="22"/>
          <w:szCs w:val="22"/>
        </w:rPr>
        <w:t xml:space="preserve"> to the issue be</w:t>
      </w:r>
      <w:r w:rsidR="00972F14" w:rsidRPr="00271628">
        <w:rPr>
          <w:rFonts w:ascii="Times New Roman" w:hAnsi="Times New Roman"/>
          <w:i/>
          <w:sz w:val="22"/>
          <w:szCs w:val="22"/>
        </w:rPr>
        <w:t>for</w:t>
      </w:r>
      <w:r w:rsidR="008740CF" w:rsidRPr="00271628">
        <w:rPr>
          <w:rFonts w:ascii="Times New Roman" w:hAnsi="Times New Roman"/>
          <w:i/>
          <w:sz w:val="22"/>
          <w:szCs w:val="22"/>
        </w:rPr>
        <w:t xml:space="preserve">e the Arbitrator and </w:t>
      </w:r>
      <w:r w:rsidR="00972F14" w:rsidRPr="00271628">
        <w:rPr>
          <w:rFonts w:ascii="Times New Roman" w:hAnsi="Times New Roman"/>
          <w:i/>
          <w:sz w:val="22"/>
          <w:szCs w:val="22"/>
        </w:rPr>
        <w:t xml:space="preserve">is </w:t>
      </w:r>
      <w:r w:rsidR="008740CF" w:rsidRPr="00271628">
        <w:rPr>
          <w:rFonts w:ascii="Times New Roman" w:hAnsi="Times New Roman"/>
          <w:i/>
          <w:sz w:val="22"/>
          <w:szCs w:val="22"/>
        </w:rPr>
        <w:t>now before</w:t>
      </w:r>
      <w:r w:rsidR="002603B2" w:rsidRPr="00271628">
        <w:rPr>
          <w:rFonts w:ascii="Times New Roman" w:hAnsi="Times New Roman"/>
          <w:i/>
          <w:sz w:val="22"/>
          <w:szCs w:val="22"/>
        </w:rPr>
        <w:t xml:space="preserve"> the </w:t>
      </w:r>
      <w:proofErr w:type="spellStart"/>
      <w:r w:rsidR="002603B2" w:rsidRPr="00271628">
        <w:rPr>
          <w:rFonts w:ascii="Times New Roman" w:hAnsi="Times New Roman"/>
          <w:i/>
          <w:sz w:val="22"/>
          <w:szCs w:val="22"/>
        </w:rPr>
        <w:t>Labour</w:t>
      </w:r>
      <w:proofErr w:type="spellEnd"/>
      <w:r w:rsidR="002603B2" w:rsidRPr="00271628">
        <w:rPr>
          <w:rFonts w:ascii="Times New Roman" w:hAnsi="Times New Roman"/>
          <w:i/>
          <w:sz w:val="22"/>
          <w:szCs w:val="22"/>
        </w:rPr>
        <w:t xml:space="preserve"> Court.</w:t>
      </w:r>
    </w:p>
    <w:p w:rsidR="008740CF" w:rsidRPr="00271628" w:rsidRDefault="00271628" w:rsidP="00271628">
      <w:pPr>
        <w:spacing w:line="360" w:lineRule="auto"/>
        <w:ind w:left="720" w:hanging="720"/>
        <w:jc w:val="both"/>
        <w:rPr>
          <w:rFonts w:ascii="Times New Roman" w:hAnsi="Times New Roman"/>
          <w:i/>
          <w:sz w:val="22"/>
          <w:szCs w:val="22"/>
        </w:rPr>
      </w:pPr>
      <w:r>
        <w:rPr>
          <w:rFonts w:ascii="Times New Roman" w:hAnsi="Times New Roman"/>
          <w:i/>
          <w:sz w:val="22"/>
          <w:szCs w:val="22"/>
        </w:rPr>
        <w:t>(b)</w:t>
      </w:r>
      <w:r>
        <w:rPr>
          <w:rFonts w:ascii="Times New Roman" w:hAnsi="Times New Roman"/>
          <w:i/>
          <w:sz w:val="22"/>
          <w:szCs w:val="22"/>
        </w:rPr>
        <w:tab/>
      </w:r>
      <w:r w:rsidR="002603B2" w:rsidRPr="00271628">
        <w:rPr>
          <w:rFonts w:ascii="Times New Roman" w:hAnsi="Times New Roman"/>
          <w:i/>
          <w:sz w:val="22"/>
          <w:szCs w:val="22"/>
        </w:rPr>
        <w:t>On the basis of Rule 26(1</w:t>
      </w:r>
      <w:proofErr w:type="gramStart"/>
      <w:r w:rsidR="002603B2" w:rsidRPr="00271628">
        <w:rPr>
          <w:rFonts w:ascii="Times New Roman" w:hAnsi="Times New Roman"/>
          <w:i/>
          <w:sz w:val="22"/>
          <w:szCs w:val="22"/>
        </w:rPr>
        <w:t>)(</w:t>
      </w:r>
      <w:proofErr w:type="gramEnd"/>
      <w:r w:rsidR="002603B2" w:rsidRPr="00271628">
        <w:rPr>
          <w:rFonts w:ascii="Times New Roman" w:hAnsi="Times New Roman"/>
          <w:i/>
          <w:sz w:val="22"/>
          <w:szCs w:val="22"/>
        </w:rPr>
        <w:t xml:space="preserve">a) of the </w:t>
      </w:r>
      <w:proofErr w:type="spellStart"/>
      <w:r w:rsidR="002603B2" w:rsidRPr="00271628">
        <w:rPr>
          <w:rFonts w:ascii="Times New Roman" w:hAnsi="Times New Roman"/>
          <w:i/>
          <w:sz w:val="22"/>
          <w:szCs w:val="22"/>
        </w:rPr>
        <w:t>Labour</w:t>
      </w:r>
      <w:proofErr w:type="spellEnd"/>
      <w:r w:rsidR="002603B2" w:rsidRPr="00271628">
        <w:rPr>
          <w:rFonts w:ascii="Times New Roman" w:hAnsi="Times New Roman"/>
          <w:i/>
          <w:sz w:val="22"/>
          <w:szCs w:val="22"/>
        </w:rPr>
        <w:t xml:space="preserve"> </w:t>
      </w:r>
      <w:r w:rsidR="00A3644D" w:rsidRPr="00271628">
        <w:rPr>
          <w:rFonts w:ascii="Times New Roman" w:hAnsi="Times New Roman"/>
          <w:i/>
          <w:sz w:val="22"/>
          <w:szCs w:val="22"/>
        </w:rPr>
        <w:t>Court</w:t>
      </w:r>
      <w:r w:rsidR="00972F14" w:rsidRPr="00271628">
        <w:rPr>
          <w:rFonts w:ascii="Times New Roman" w:hAnsi="Times New Roman"/>
          <w:i/>
          <w:sz w:val="22"/>
          <w:szCs w:val="22"/>
        </w:rPr>
        <w:t xml:space="preserve"> Rules the</w:t>
      </w:r>
      <w:r w:rsidR="002603B2" w:rsidRPr="00271628">
        <w:rPr>
          <w:rFonts w:ascii="Times New Roman" w:hAnsi="Times New Roman"/>
          <w:i/>
          <w:sz w:val="22"/>
          <w:szCs w:val="22"/>
        </w:rPr>
        <w:t xml:space="preserve"> court can authorize a dep</w:t>
      </w:r>
      <w:r w:rsidR="00972F14" w:rsidRPr="00271628">
        <w:rPr>
          <w:rFonts w:ascii="Times New Roman" w:hAnsi="Times New Roman"/>
          <w:i/>
          <w:sz w:val="22"/>
          <w:szCs w:val="22"/>
        </w:rPr>
        <w:t>artur</w:t>
      </w:r>
      <w:r w:rsidR="00A3644D" w:rsidRPr="00271628">
        <w:rPr>
          <w:rFonts w:ascii="Times New Roman" w:hAnsi="Times New Roman"/>
          <w:i/>
          <w:sz w:val="22"/>
          <w:szCs w:val="22"/>
        </w:rPr>
        <w:t>e</w:t>
      </w:r>
      <w:r w:rsidR="002603B2" w:rsidRPr="00271628">
        <w:rPr>
          <w:rFonts w:ascii="Times New Roman" w:hAnsi="Times New Roman"/>
          <w:i/>
          <w:sz w:val="22"/>
          <w:szCs w:val="22"/>
        </w:rPr>
        <w:t xml:space="preserve"> from the Rules of Court</w:t>
      </w:r>
      <w:r w:rsidR="00972F14" w:rsidRPr="00271628">
        <w:rPr>
          <w:rFonts w:ascii="Times New Roman" w:hAnsi="Times New Roman"/>
          <w:i/>
          <w:sz w:val="22"/>
          <w:szCs w:val="22"/>
        </w:rPr>
        <w:t>.</w:t>
      </w:r>
      <w:r w:rsidR="002603B2" w:rsidRPr="00271628">
        <w:rPr>
          <w:rFonts w:ascii="Times New Roman" w:hAnsi="Times New Roman"/>
          <w:i/>
          <w:sz w:val="22"/>
          <w:szCs w:val="22"/>
        </w:rPr>
        <w:t xml:space="preserve"> </w:t>
      </w:r>
      <w:r w:rsidR="00972F14" w:rsidRPr="00271628">
        <w:rPr>
          <w:rFonts w:ascii="Times New Roman" w:hAnsi="Times New Roman"/>
          <w:i/>
          <w:sz w:val="22"/>
          <w:szCs w:val="22"/>
        </w:rPr>
        <w:t xml:space="preserve"> </w:t>
      </w:r>
      <w:proofErr w:type="gramStart"/>
      <w:r w:rsidR="00972F14" w:rsidRPr="00271628">
        <w:rPr>
          <w:rFonts w:ascii="Times New Roman" w:hAnsi="Times New Roman"/>
          <w:i/>
          <w:sz w:val="22"/>
          <w:szCs w:val="22"/>
        </w:rPr>
        <w:t>In the interest of justice, f</w:t>
      </w:r>
      <w:r w:rsidR="002603B2" w:rsidRPr="00271628">
        <w:rPr>
          <w:rFonts w:ascii="Times New Roman" w:hAnsi="Times New Roman"/>
          <w:i/>
          <w:sz w:val="22"/>
          <w:szCs w:val="22"/>
        </w:rPr>
        <w:t>airness and equity</w:t>
      </w:r>
      <w:r w:rsidR="00972F14" w:rsidRPr="00271628">
        <w:rPr>
          <w:rFonts w:ascii="Times New Roman" w:hAnsi="Times New Roman"/>
          <w:i/>
          <w:sz w:val="22"/>
          <w:szCs w:val="22"/>
        </w:rPr>
        <w:t>.</w:t>
      </w:r>
      <w:proofErr w:type="gramEnd"/>
      <w:r w:rsidR="00972F14" w:rsidRPr="00271628">
        <w:rPr>
          <w:rFonts w:ascii="Times New Roman" w:hAnsi="Times New Roman"/>
          <w:i/>
          <w:sz w:val="22"/>
          <w:szCs w:val="22"/>
        </w:rPr>
        <w:t xml:space="preserve">  U</w:t>
      </w:r>
      <w:r w:rsidR="002603B2" w:rsidRPr="00271628">
        <w:rPr>
          <w:rFonts w:ascii="Times New Roman" w:hAnsi="Times New Roman"/>
          <w:i/>
          <w:sz w:val="22"/>
          <w:szCs w:val="22"/>
        </w:rPr>
        <w:t>nder</w:t>
      </w:r>
      <w:r w:rsidR="008740CF" w:rsidRPr="00271628">
        <w:rPr>
          <w:rFonts w:ascii="Times New Roman" w:hAnsi="Times New Roman"/>
          <w:i/>
          <w:sz w:val="22"/>
          <w:szCs w:val="22"/>
        </w:rPr>
        <w:t xml:space="preserve"> S</w:t>
      </w:r>
      <w:r w:rsidR="00CF441F">
        <w:rPr>
          <w:rFonts w:ascii="Times New Roman" w:hAnsi="Times New Roman"/>
          <w:i/>
          <w:sz w:val="22"/>
          <w:szCs w:val="22"/>
        </w:rPr>
        <w:t>ection 90(A)</w:t>
      </w:r>
      <w:r w:rsidR="008740CF" w:rsidRPr="00271628">
        <w:rPr>
          <w:rFonts w:ascii="Times New Roman" w:hAnsi="Times New Roman"/>
          <w:i/>
          <w:sz w:val="22"/>
          <w:szCs w:val="22"/>
        </w:rPr>
        <w:t xml:space="preserve"> of the </w:t>
      </w:r>
      <w:proofErr w:type="spellStart"/>
      <w:r w:rsidR="008740CF" w:rsidRPr="00271628">
        <w:rPr>
          <w:rFonts w:ascii="Times New Roman" w:hAnsi="Times New Roman"/>
          <w:i/>
          <w:sz w:val="22"/>
          <w:szCs w:val="22"/>
        </w:rPr>
        <w:t>Labour</w:t>
      </w:r>
      <w:proofErr w:type="spellEnd"/>
      <w:r w:rsidR="008740CF" w:rsidRPr="00271628">
        <w:rPr>
          <w:rFonts w:ascii="Times New Roman" w:hAnsi="Times New Roman"/>
          <w:i/>
          <w:sz w:val="22"/>
          <w:szCs w:val="22"/>
        </w:rPr>
        <w:t xml:space="preserve"> Act [Ch</w:t>
      </w:r>
      <w:r w:rsidR="00A3644D" w:rsidRPr="00271628">
        <w:rPr>
          <w:rFonts w:ascii="Times New Roman" w:hAnsi="Times New Roman"/>
          <w:i/>
          <w:sz w:val="22"/>
          <w:szCs w:val="22"/>
        </w:rPr>
        <w:t xml:space="preserve">apter 28:01] </w:t>
      </w:r>
      <w:proofErr w:type="spellStart"/>
      <w:r w:rsidR="00A3644D" w:rsidRPr="00271628">
        <w:rPr>
          <w:rFonts w:ascii="Times New Roman" w:hAnsi="Times New Roman"/>
          <w:i/>
          <w:sz w:val="22"/>
          <w:szCs w:val="22"/>
        </w:rPr>
        <w:t>Labour</w:t>
      </w:r>
      <w:proofErr w:type="spellEnd"/>
      <w:r w:rsidR="00A3644D" w:rsidRPr="00271628">
        <w:rPr>
          <w:rFonts w:ascii="Times New Roman" w:hAnsi="Times New Roman"/>
          <w:i/>
          <w:sz w:val="22"/>
          <w:szCs w:val="22"/>
        </w:rPr>
        <w:t xml:space="preserve"> Court is not</w:t>
      </w:r>
      <w:r w:rsidR="00972F14" w:rsidRPr="00271628">
        <w:rPr>
          <w:rFonts w:ascii="Times New Roman" w:hAnsi="Times New Roman"/>
          <w:i/>
          <w:sz w:val="22"/>
          <w:szCs w:val="22"/>
        </w:rPr>
        <w:t xml:space="preserve"> bound</w:t>
      </w:r>
      <w:r w:rsidR="008740CF" w:rsidRPr="00271628">
        <w:rPr>
          <w:rFonts w:ascii="Times New Roman" w:hAnsi="Times New Roman"/>
          <w:i/>
          <w:sz w:val="22"/>
          <w:szCs w:val="22"/>
        </w:rPr>
        <w:t xml:space="preserve"> by s</w:t>
      </w:r>
      <w:r w:rsidR="00972F14" w:rsidRPr="00271628">
        <w:rPr>
          <w:rFonts w:ascii="Times New Roman" w:hAnsi="Times New Roman"/>
          <w:i/>
          <w:sz w:val="22"/>
          <w:szCs w:val="22"/>
        </w:rPr>
        <w:t xml:space="preserve">trict </w:t>
      </w:r>
      <w:r w:rsidR="008740CF" w:rsidRPr="00271628">
        <w:rPr>
          <w:rFonts w:ascii="Times New Roman" w:hAnsi="Times New Roman"/>
          <w:i/>
          <w:sz w:val="22"/>
          <w:szCs w:val="22"/>
        </w:rPr>
        <w:t>rules of evidence</w:t>
      </w:r>
      <w:r w:rsidR="00972F14" w:rsidRPr="00271628">
        <w:rPr>
          <w:rFonts w:ascii="Times New Roman" w:hAnsi="Times New Roman"/>
          <w:i/>
          <w:sz w:val="22"/>
          <w:szCs w:val="22"/>
        </w:rPr>
        <w:t xml:space="preserve">.  Under </w:t>
      </w:r>
      <w:r w:rsidR="008740CF" w:rsidRPr="00271628">
        <w:rPr>
          <w:rFonts w:ascii="Times New Roman" w:hAnsi="Times New Roman"/>
          <w:i/>
          <w:sz w:val="22"/>
          <w:szCs w:val="22"/>
        </w:rPr>
        <w:t>Rule 12(2) the court is also entitled to deal with a matter most suitable for clarification of issues.</w:t>
      </w:r>
    </w:p>
    <w:p w:rsidR="00AE5DF0" w:rsidRDefault="00271628" w:rsidP="00271628">
      <w:pPr>
        <w:spacing w:line="360" w:lineRule="auto"/>
        <w:ind w:left="720" w:hanging="720"/>
        <w:jc w:val="both"/>
        <w:rPr>
          <w:rFonts w:ascii="Times New Roman" w:hAnsi="Times New Roman"/>
          <w:i/>
          <w:sz w:val="22"/>
          <w:szCs w:val="22"/>
        </w:rPr>
      </w:pPr>
      <w:r>
        <w:rPr>
          <w:rFonts w:ascii="Times New Roman" w:hAnsi="Times New Roman"/>
          <w:i/>
          <w:sz w:val="22"/>
          <w:szCs w:val="22"/>
        </w:rPr>
        <w:t>(c)</w:t>
      </w:r>
      <w:r>
        <w:rPr>
          <w:rFonts w:ascii="Times New Roman" w:hAnsi="Times New Roman"/>
          <w:i/>
          <w:sz w:val="22"/>
          <w:szCs w:val="22"/>
        </w:rPr>
        <w:tab/>
      </w:r>
      <w:r w:rsidR="008740CF" w:rsidRPr="00271628">
        <w:rPr>
          <w:rFonts w:ascii="Times New Roman" w:hAnsi="Times New Roman"/>
          <w:i/>
          <w:sz w:val="22"/>
          <w:szCs w:val="22"/>
        </w:rPr>
        <w:t>Appeals before</w:t>
      </w:r>
      <w:r w:rsidR="00972F14" w:rsidRPr="00271628">
        <w:rPr>
          <w:rFonts w:ascii="Times New Roman" w:hAnsi="Times New Roman"/>
          <w:i/>
          <w:sz w:val="22"/>
          <w:szCs w:val="22"/>
        </w:rPr>
        <w:t xml:space="preserve"> the </w:t>
      </w:r>
      <w:proofErr w:type="spellStart"/>
      <w:r w:rsidR="00972F14" w:rsidRPr="00271628">
        <w:rPr>
          <w:rFonts w:ascii="Times New Roman" w:hAnsi="Times New Roman"/>
          <w:i/>
          <w:sz w:val="22"/>
          <w:szCs w:val="22"/>
        </w:rPr>
        <w:t>Labour</w:t>
      </w:r>
      <w:proofErr w:type="spellEnd"/>
      <w:r w:rsidR="00972F14" w:rsidRPr="00271628">
        <w:rPr>
          <w:rFonts w:ascii="Times New Roman" w:hAnsi="Times New Roman"/>
          <w:i/>
          <w:sz w:val="22"/>
          <w:szCs w:val="22"/>
        </w:rPr>
        <w:t xml:space="preserve"> Court are appeals in</w:t>
      </w:r>
      <w:r w:rsidR="008740CF" w:rsidRPr="00271628">
        <w:rPr>
          <w:rFonts w:ascii="Times New Roman" w:hAnsi="Times New Roman"/>
          <w:i/>
          <w:sz w:val="22"/>
          <w:szCs w:val="22"/>
        </w:rPr>
        <w:t xml:space="preserve"> the </w:t>
      </w:r>
      <w:r w:rsidR="00972F14" w:rsidRPr="00271628">
        <w:rPr>
          <w:rFonts w:ascii="Times New Roman" w:hAnsi="Times New Roman"/>
          <w:i/>
          <w:sz w:val="22"/>
          <w:szCs w:val="22"/>
        </w:rPr>
        <w:t>wide sense and</w:t>
      </w:r>
      <w:r w:rsidR="008740CF" w:rsidRPr="00271628">
        <w:rPr>
          <w:rFonts w:ascii="Times New Roman" w:hAnsi="Times New Roman"/>
          <w:i/>
          <w:sz w:val="22"/>
          <w:szCs w:val="22"/>
        </w:rPr>
        <w:t xml:space="preserve"> are regarded </w:t>
      </w:r>
      <w:r w:rsidR="00972F14" w:rsidRPr="00271628">
        <w:rPr>
          <w:rFonts w:ascii="Times New Roman" w:hAnsi="Times New Roman"/>
          <w:i/>
          <w:sz w:val="22"/>
          <w:szCs w:val="22"/>
        </w:rPr>
        <w:t xml:space="preserve">as special kind </w:t>
      </w:r>
      <w:r w:rsidR="008740CF" w:rsidRPr="00271628">
        <w:rPr>
          <w:rFonts w:ascii="Times New Roman" w:hAnsi="Times New Roman"/>
          <w:i/>
          <w:sz w:val="22"/>
          <w:szCs w:val="22"/>
        </w:rPr>
        <w:t xml:space="preserve">of appeal </w:t>
      </w:r>
      <w:r w:rsidR="00972F14" w:rsidRPr="00271628">
        <w:rPr>
          <w:rFonts w:ascii="Times New Roman" w:hAnsi="Times New Roman"/>
          <w:i/>
          <w:sz w:val="22"/>
          <w:szCs w:val="22"/>
        </w:rPr>
        <w:t xml:space="preserve">(The </w:t>
      </w:r>
      <w:r w:rsidR="008740CF" w:rsidRPr="00271628">
        <w:rPr>
          <w:rFonts w:ascii="Times New Roman" w:hAnsi="Times New Roman"/>
          <w:i/>
          <w:sz w:val="22"/>
          <w:szCs w:val="22"/>
        </w:rPr>
        <w:t>Court was referred to the relative authorities to support both propositions.</w:t>
      </w:r>
      <w:r w:rsidR="00972F14" w:rsidRPr="00271628">
        <w:rPr>
          <w:rFonts w:ascii="Times New Roman" w:hAnsi="Times New Roman"/>
          <w:i/>
          <w:sz w:val="22"/>
          <w:szCs w:val="22"/>
        </w:rPr>
        <w:t>)</w:t>
      </w:r>
    </w:p>
    <w:p w:rsidR="00514434" w:rsidRPr="00271628" w:rsidRDefault="00514434" w:rsidP="00271628">
      <w:pPr>
        <w:spacing w:line="360" w:lineRule="auto"/>
        <w:ind w:left="720" w:hanging="720"/>
        <w:jc w:val="both"/>
        <w:rPr>
          <w:rFonts w:ascii="Times New Roman" w:hAnsi="Times New Roman"/>
          <w:i/>
          <w:sz w:val="22"/>
          <w:szCs w:val="22"/>
        </w:rPr>
      </w:pPr>
    </w:p>
    <w:p w:rsidR="00A273E0" w:rsidRPr="008D59DA" w:rsidRDefault="00A3644D" w:rsidP="00EB5A23">
      <w:pPr>
        <w:spacing w:line="360" w:lineRule="auto"/>
        <w:ind w:firstLine="360"/>
        <w:jc w:val="both"/>
      </w:pPr>
      <w:r w:rsidRPr="00A3644D">
        <w:t>It is clear that in seeking to amend the notice of appeal the Appellant intends</w:t>
      </w:r>
      <w:r w:rsidR="00CF441F">
        <w:t xml:space="preserve"> to also introduce fresh</w:t>
      </w:r>
      <w:r>
        <w:t xml:space="preserve"> evidence that was not otherwise placed before the court </w:t>
      </w:r>
      <w:r w:rsidRPr="00A273E0">
        <w:rPr>
          <w:rFonts w:ascii="Times New Roman" w:hAnsi="Times New Roman"/>
          <w:b/>
          <w:i/>
        </w:rPr>
        <w:t>a quo</w:t>
      </w:r>
      <w:r>
        <w:t>.</w:t>
      </w:r>
      <w:r w:rsidR="00A273E0">
        <w:t xml:space="preserve"> The evidence is in the form of the advertisement attached as Annex ‘A’</w:t>
      </w:r>
      <w:r w:rsidR="00153830">
        <w:t xml:space="preserve"> </w:t>
      </w:r>
      <w:r w:rsidR="00A273E0">
        <w:t>to Appellant’s papers.</w:t>
      </w:r>
      <w:r>
        <w:rPr>
          <w:b/>
        </w:rPr>
        <w:t xml:space="preserve"> </w:t>
      </w:r>
      <w:r w:rsidR="008740CF" w:rsidRPr="008D59DA">
        <w:rPr>
          <w:b/>
        </w:rPr>
        <w:t xml:space="preserve">Section 89 (5) </w:t>
      </w:r>
      <w:r w:rsidR="00153830">
        <w:rPr>
          <w:b/>
        </w:rPr>
        <w:t xml:space="preserve">[Cap 28:01] </w:t>
      </w:r>
      <w:r w:rsidR="008740CF" w:rsidRPr="008D59DA">
        <w:t xml:space="preserve">as read with </w:t>
      </w:r>
      <w:r w:rsidR="008740CF" w:rsidRPr="008D59DA">
        <w:rPr>
          <w:b/>
        </w:rPr>
        <w:t>Section 90 (A)</w:t>
      </w:r>
      <w:r w:rsidR="008740CF" w:rsidRPr="008D59DA">
        <w:t xml:space="preserve"> </w:t>
      </w:r>
      <w:r w:rsidR="00153830" w:rsidRPr="008D59DA">
        <w:rPr>
          <w:b/>
        </w:rPr>
        <w:t xml:space="preserve">of the </w:t>
      </w:r>
      <w:proofErr w:type="spellStart"/>
      <w:r w:rsidR="00153830" w:rsidRPr="008D59DA">
        <w:rPr>
          <w:b/>
        </w:rPr>
        <w:t>Labour</w:t>
      </w:r>
      <w:proofErr w:type="spellEnd"/>
      <w:r w:rsidR="00153830" w:rsidRPr="008D59DA">
        <w:rPr>
          <w:b/>
        </w:rPr>
        <w:t xml:space="preserve"> Act</w:t>
      </w:r>
      <w:r w:rsidR="00153830" w:rsidRPr="008D59DA">
        <w:t xml:space="preserve"> </w:t>
      </w:r>
      <w:r w:rsidR="008740CF" w:rsidRPr="008D59DA">
        <w:t xml:space="preserve">thereof </w:t>
      </w:r>
      <w:r w:rsidR="00AE5DF0" w:rsidRPr="008D59DA">
        <w:t>gives</w:t>
      </w:r>
      <w:r w:rsidR="008740CF" w:rsidRPr="008D59DA">
        <w:t xml:space="preserve"> the </w:t>
      </w:r>
      <w:proofErr w:type="spellStart"/>
      <w:r w:rsidR="008740CF" w:rsidRPr="008D59DA">
        <w:t>Labour</w:t>
      </w:r>
      <w:proofErr w:type="spellEnd"/>
      <w:r w:rsidR="008740CF" w:rsidRPr="008D59DA">
        <w:t xml:space="preserve"> Court </w:t>
      </w:r>
      <w:r w:rsidR="00AE5DF0" w:rsidRPr="008D59DA">
        <w:t>discretion</w:t>
      </w:r>
      <w:r w:rsidR="008740CF" w:rsidRPr="008D59DA">
        <w:t xml:space="preserve"> </w:t>
      </w:r>
      <w:r w:rsidR="00AE5DF0" w:rsidRPr="008D59DA">
        <w:t>t</w:t>
      </w:r>
      <w:r w:rsidR="008740CF" w:rsidRPr="008D59DA">
        <w:t xml:space="preserve">o hear and receive additional fresh evidence at appeal stage.  The Act </w:t>
      </w:r>
      <w:r w:rsidR="00153830">
        <w:t xml:space="preserve">however does not </w:t>
      </w:r>
      <w:proofErr w:type="gramStart"/>
      <w:r w:rsidR="00153830">
        <w:t>expli</w:t>
      </w:r>
      <w:r w:rsidR="00153830" w:rsidRPr="008D59DA">
        <w:t>c</w:t>
      </w:r>
      <w:r w:rsidR="00CF441F">
        <w:t>i</w:t>
      </w:r>
      <w:r w:rsidR="00153830">
        <w:t>t</w:t>
      </w:r>
      <w:r w:rsidR="00CF441F">
        <w:t>ly</w:t>
      </w:r>
      <w:r w:rsidR="00153830">
        <w:t>,</w:t>
      </w:r>
      <w:proofErr w:type="gramEnd"/>
      <w:r w:rsidR="00FB058B" w:rsidRPr="008D59DA">
        <w:t xml:space="preserve"> indicate how such dis</w:t>
      </w:r>
      <w:r w:rsidR="00153830">
        <w:t>cre</w:t>
      </w:r>
      <w:r w:rsidR="00FB058B" w:rsidRPr="008D59DA">
        <w:t xml:space="preserve">tion may be exercised.  In the </w:t>
      </w:r>
      <w:proofErr w:type="spellStart"/>
      <w:r w:rsidR="00FB058B" w:rsidRPr="008D59DA">
        <w:t>Labour</w:t>
      </w:r>
      <w:proofErr w:type="spellEnd"/>
      <w:r w:rsidR="00FB058B" w:rsidRPr="008D59DA">
        <w:t xml:space="preserve"> Court decision </w:t>
      </w:r>
      <w:r w:rsidR="00FB058B" w:rsidRPr="00153830">
        <w:rPr>
          <w:b/>
        </w:rPr>
        <w:t xml:space="preserve">Thomas </w:t>
      </w:r>
      <w:proofErr w:type="spellStart"/>
      <w:r w:rsidR="00FB058B" w:rsidRPr="00153830">
        <w:rPr>
          <w:b/>
        </w:rPr>
        <w:t>Njerere</w:t>
      </w:r>
      <w:proofErr w:type="spellEnd"/>
      <w:r w:rsidR="00FB058B" w:rsidRPr="00153830">
        <w:rPr>
          <w:b/>
        </w:rPr>
        <w:t xml:space="preserve"> N.O. </w:t>
      </w:r>
      <w:proofErr w:type="spellStart"/>
      <w:r w:rsidR="00FB058B" w:rsidRPr="00153830">
        <w:rPr>
          <w:b/>
        </w:rPr>
        <w:t>vs</w:t>
      </w:r>
      <w:proofErr w:type="spellEnd"/>
      <w:r w:rsidR="00FB058B" w:rsidRPr="00153830">
        <w:rPr>
          <w:b/>
        </w:rPr>
        <w:t xml:space="preserve"> Africa University LC/MC/17/2005 </w:t>
      </w:r>
      <w:r w:rsidR="00FB058B" w:rsidRPr="008D59DA">
        <w:t xml:space="preserve">the court laid down factors that may be considered by the Court.  Referring to the Supreme Court decision in </w:t>
      </w:r>
      <w:r w:rsidR="00FB058B" w:rsidRPr="00A273E0">
        <w:rPr>
          <w:b/>
        </w:rPr>
        <w:t xml:space="preserve">Warrant – </w:t>
      </w:r>
      <w:proofErr w:type="spellStart"/>
      <w:r w:rsidR="00FB058B" w:rsidRPr="00A273E0">
        <w:rPr>
          <w:b/>
        </w:rPr>
        <w:t>Godringham</w:t>
      </w:r>
      <w:proofErr w:type="spellEnd"/>
      <w:r w:rsidR="00FB058B" w:rsidRPr="00A273E0">
        <w:rPr>
          <w:b/>
        </w:rPr>
        <w:t xml:space="preserve"> </w:t>
      </w:r>
      <w:proofErr w:type="spellStart"/>
      <w:r w:rsidR="00FB058B" w:rsidRPr="00A273E0">
        <w:rPr>
          <w:b/>
        </w:rPr>
        <w:t>vs</w:t>
      </w:r>
      <w:proofErr w:type="spellEnd"/>
      <w:r w:rsidR="00FB058B" w:rsidRPr="00A273E0">
        <w:rPr>
          <w:b/>
        </w:rPr>
        <w:t xml:space="preserve"> </w:t>
      </w:r>
      <w:proofErr w:type="spellStart"/>
      <w:r w:rsidR="00A273E0">
        <w:rPr>
          <w:b/>
        </w:rPr>
        <w:t>Tarsyth</w:t>
      </w:r>
      <w:proofErr w:type="spellEnd"/>
      <w:r w:rsidR="00A273E0">
        <w:rPr>
          <w:b/>
        </w:rPr>
        <w:t xml:space="preserve"> Trust 2000 (2) ZLR 377(S</w:t>
      </w:r>
      <w:r w:rsidR="00FB058B" w:rsidRPr="00A273E0">
        <w:rPr>
          <w:b/>
        </w:rPr>
        <w:t>)</w:t>
      </w:r>
      <w:r w:rsidR="00A273E0">
        <w:t xml:space="preserve"> the criteria was laid down to</w:t>
      </w:r>
      <w:r w:rsidR="00FB058B" w:rsidRPr="008D59DA">
        <w:t xml:space="preserve"> be</w:t>
      </w:r>
      <w:r w:rsidR="00A273E0">
        <w:t xml:space="preserve"> as follows;</w:t>
      </w:r>
    </w:p>
    <w:p w:rsidR="00FB058B" w:rsidRPr="008D59DA" w:rsidRDefault="00FB058B" w:rsidP="00EB5A23">
      <w:pPr>
        <w:pStyle w:val="ListParagraph"/>
        <w:numPr>
          <w:ilvl w:val="0"/>
          <w:numId w:val="11"/>
        </w:numPr>
        <w:spacing w:line="360" w:lineRule="auto"/>
        <w:jc w:val="both"/>
        <w:rPr>
          <w:rFonts w:ascii="Times New Roman" w:hAnsi="Times New Roman"/>
          <w:i/>
          <w:sz w:val="22"/>
          <w:szCs w:val="22"/>
        </w:rPr>
      </w:pPr>
      <w:r w:rsidRPr="008D59DA">
        <w:rPr>
          <w:rFonts w:ascii="Times New Roman" w:hAnsi="Times New Roman"/>
          <w:i/>
          <w:sz w:val="22"/>
          <w:szCs w:val="22"/>
        </w:rPr>
        <w:t xml:space="preserve">Could the evidence </w:t>
      </w:r>
      <w:r w:rsidR="00A273E0">
        <w:rPr>
          <w:rFonts w:ascii="Times New Roman" w:hAnsi="Times New Roman"/>
          <w:i/>
          <w:sz w:val="22"/>
          <w:szCs w:val="22"/>
        </w:rPr>
        <w:t>have</w:t>
      </w:r>
      <w:r w:rsidRPr="008D59DA">
        <w:rPr>
          <w:rFonts w:ascii="Times New Roman" w:hAnsi="Times New Roman"/>
          <w:i/>
          <w:sz w:val="22"/>
          <w:szCs w:val="22"/>
        </w:rPr>
        <w:t xml:space="preserve">, with reasonable diligence, been obtained in time for the </w:t>
      </w:r>
      <w:proofErr w:type="gramStart"/>
      <w:r w:rsidRPr="008D59DA">
        <w:rPr>
          <w:rFonts w:ascii="Times New Roman" w:hAnsi="Times New Roman"/>
          <w:i/>
          <w:sz w:val="22"/>
          <w:szCs w:val="22"/>
        </w:rPr>
        <w:t>trial.</w:t>
      </w:r>
      <w:proofErr w:type="gramEnd"/>
    </w:p>
    <w:p w:rsidR="00FB058B" w:rsidRPr="008D59DA" w:rsidRDefault="00FB058B" w:rsidP="00EB5A23">
      <w:pPr>
        <w:pStyle w:val="ListParagraph"/>
        <w:numPr>
          <w:ilvl w:val="0"/>
          <w:numId w:val="11"/>
        </w:numPr>
        <w:spacing w:line="360" w:lineRule="auto"/>
        <w:jc w:val="both"/>
        <w:rPr>
          <w:rFonts w:ascii="Times New Roman" w:hAnsi="Times New Roman"/>
          <w:i/>
          <w:sz w:val="22"/>
          <w:szCs w:val="22"/>
        </w:rPr>
      </w:pPr>
      <w:r w:rsidRPr="008D59DA">
        <w:rPr>
          <w:rFonts w:ascii="Times New Roman" w:hAnsi="Times New Roman"/>
          <w:i/>
          <w:sz w:val="22"/>
          <w:szCs w:val="22"/>
        </w:rPr>
        <w:t>Is the evidence apparently credible?</w:t>
      </w:r>
    </w:p>
    <w:p w:rsidR="00FB058B" w:rsidRPr="008D59DA" w:rsidRDefault="00FB058B" w:rsidP="00EB5A23">
      <w:pPr>
        <w:pStyle w:val="ListParagraph"/>
        <w:numPr>
          <w:ilvl w:val="0"/>
          <w:numId w:val="11"/>
        </w:numPr>
        <w:spacing w:line="360" w:lineRule="auto"/>
        <w:jc w:val="both"/>
        <w:rPr>
          <w:rFonts w:ascii="Times New Roman" w:hAnsi="Times New Roman"/>
          <w:i/>
          <w:sz w:val="22"/>
          <w:szCs w:val="22"/>
        </w:rPr>
      </w:pPr>
      <w:r w:rsidRPr="008D59DA">
        <w:rPr>
          <w:rFonts w:ascii="Times New Roman" w:hAnsi="Times New Roman"/>
          <w:i/>
          <w:sz w:val="22"/>
          <w:szCs w:val="22"/>
        </w:rPr>
        <w:t xml:space="preserve">Would it probably have an important influence on the result of the case although it need not be </w:t>
      </w:r>
      <w:proofErr w:type="gramStart"/>
      <w:r w:rsidRPr="008D59DA">
        <w:rPr>
          <w:rFonts w:ascii="Times New Roman" w:hAnsi="Times New Roman"/>
          <w:i/>
          <w:sz w:val="22"/>
          <w:szCs w:val="22"/>
        </w:rPr>
        <w:t>decisive.</w:t>
      </w:r>
      <w:proofErr w:type="gramEnd"/>
    </w:p>
    <w:p w:rsidR="00FB058B" w:rsidRPr="008D59DA" w:rsidRDefault="00FB058B" w:rsidP="00EB5A23">
      <w:pPr>
        <w:pStyle w:val="ListParagraph"/>
        <w:numPr>
          <w:ilvl w:val="0"/>
          <w:numId w:val="11"/>
        </w:numPr>
        <w:spacing w:line="360" w:lineRule="auto"/>
        <w:jc w:val="both"/>
        <w:rPr>
          <w:rFonts w:ascii="Times New Roman" w:hAnsi="Times New Roman"/>
          <w:i/>
          <w:sz w:val="22"/>
          <w:szCs w:val="22"/>
        </w:rPr>
      </w:pPr>
      <w:r w:rsidRPr="008D59DA">
        <w:rPr>
          <w:rFonts w:ascii="Times New Roman" w:hAnsi="Times New Roman"/>
          <w:i/>
          <w:sz w:val="22"/>
          <w:szCs w:val="22"/>
        </w:rPr>
        <w:t xml:space="preserve">Have conditions changed since the trial </w:t>
      </w:r>
      <w:r w:rsidR="00A273E0">
        <w:rPr>
          <w:rFonts w:ascii="Times New Roman" w:hAnsi="Times New Roman"/>
          <w:i/>
          <w:sz w:val="22"/>
          <w:szCs w:val="22"/>
        </w:rPr>
        <w:t>so that</w:t>
      </w:r>
      <w:r w:rsidRPr="008D59DA">
        <w:rPr>
          <w:rFonts w:ascii="Times New Roman" w:hAnsi="Times New Roman"/>
          <w:i/>
          <w:sz w:val="22"/>
          <w:szCs w:val="22"/>
        </w:rPr>
        <w:t xml:space="preserve"> fresh evidence would prejudice the opposite party.</w:t>
      </w:r>
    </w:p>
    <w:p w:rsidR="002603B2" w:rsidRDefault="00A273E0" w:rsidP="00EB5A23">
      <w:pPr>
        <w:spacing w:line="360" w:lineRule="auto"/>
        <w:ind w:firstLine="360"/>
        <w:jc w:val="both"/>
      </w:pPr>
      <w:r>
        <w:t>Applying the criteria outlined above</w:t>
      </w:r>
      <w:r w:rsidR="00153830">
        <w:t>,</w:t>
      </w:r>
      <w:r>
        <w:t xml:space="preserve"> there is no doubt the application to amend the notice of appeal cannot succeed.  Although there is no affidavit </w:t>
      </w:r>
      <w:r w:rsidR="00153830">
        <w:t xml:space="preserve">or statement </w:t>
      </w:r>
      <w:r>
        <w:t xml:space="preserve">from </w:t>
      </w:r>
      <w:proofErr w:type="spellStart"/>
      <w:proofErr w:type="gramStart"/>
      <w:r w:rsidRPr="00CF441F">
        <w:rPr>
          <w:b/>
        </w:rPr>
        <w:t>messrs</w:t>
      </w:r>
      <w:proofErr w:type="spellEnd"/>
      <w:proofErr w:type="gramEnd"/>
      <w:r w:rsidRPr="00CF441F">
        <w:rPr>
          <w:b/>
        </w:rPr>
        <w:t xml:space="preserve"> </w:t>
      </w:r>
      <w:proofErr w:type="spellStart"/>
      <w:r w:rsidRPr="00CF441F">
        <w:rPr>
          <w:b/>
        </w:rPr>
        <w:t>Matsikidze</w:t>
      </w:r>
      <w:proofErr w:type="spellEnd"/>
      <w:r w:rsidRPr="00CF441F">
        <w:rPr>
          <w:b/>
        </w:rPr>
        <w:t xml:space="preserve"> &amp; </w:t>
      </w:r>
      <w:proofErr w:type="spellStart"/>
      <w:r w:rsidRPr="00CF441F">
        <w:rPr>
          <w:b/>
        </w:rPr>
        <w:t>Mucheche</w:t>
      </w:r>
      <w:proofErr w:type="spellEnd"/>
      <w:r>
        <w:t xml:space="preserve"> to explain why evidence sought to be adduced on appeal was not placed before the court </w:t>
      </w:r>
      <w:r w:rsidRPr="00A273E0">
        <w:rPr>
          <w:rFonts w:ascii="Times New Roman" w:hAnsi="Times New Roman"/>
          <w:b/>
          <w:i/>
        </w:rPr>
        <w:t>a quo</w:t>
      </w:r>
      <w:r>
        <w:t xml:space="preserve"> the court can only sur</w:t>
      </w:r>
      <w:r w:rsidR="00153830">
        <w:t>m</w:t>
      </w:r>
      <w:r>
        <w:t>ise it is because the evidence was not existing at the time.</w:t>
      </w:r>
      <w:r w:rsidR="00FB058B" w:rsidRPr="008D59DA">
        <w:t xml:space="preserve"> </w:t>
      </w:r>
      <w:r>
        <w:t xml:space="preserve"> It is clear that</w:t>
      </w:r>
      <w:r w:rsidR="006F449D">
        <w:t xml:space="preserve"> </w:t>
      </w:r>
      <w:r>
        <w:t>t</w:t>
      </w:r>
      <w:r w:rsidR="00FB058B" w:rsidRPr="008D59DA">
        <w:t xml:space="preserve">he </w:t>
      </w:r>
      <w:r w:rsidR="00FB058B" w:rsidRPr="008D59DA">
        <w:lastRenderedPageBreak/>
        <w:t xml:space="preserve">advertisement was </w:t>
      </w:r>
      <w:proofErr w:type="spellStart"/>
      <w:r w:rsidR="00FB058B" w:rsidRPr="008D59DA">
        <w:t>flighted</w:t>
      </w:r>
      <w:proofErr w:type="spellEnd"/>
      <w:r w:rsidR="00FB058B" w:rsidRPr="008D59DA">
        <w:t xml:space="preserve"> in October 2012 whereas the Appellant’s contrac</w:t>
      </w:r>
      <w:r w:rsidR="00153830">
        <w:t>t of employment terminated on 31</w:t>
      </w:r>
      <w:r w:rsidR="00153830" w:rsidRPr="00153830">
        <w:rPr>
          <w:vertAlign w:val="superscript"/>
        </w:rPr>
        <w:t>st</w:t>
      </w:r>
      <w:r w:rsidR="00153830">
        <w:t xml:space="preserve"> October </w:t>
      </w:r>
      <w:r w:rsidR="00FB058B" w:rsidRPr="008D59DA">
        <w:t xml:space="preserve">2011 </w:t>
      </w:r>
      <w:r w:rsidR="000D05B9" w:rsidRPr="008D59DA">
        <w:t xml:space="preserve">a year earlier.  The </w:t>
      </w:r>
      <w:r w:rsidR="00153830">
        <w:t>parties according to</w:t>
      </w:r>
      <w:r w:rsidR="006F449D">
        <w:t xml:space="preserve"> the record </w:t>
      </w:r>
      <w:r w:rsidR="000D05B9" w:rsidRPr="008D59DA">
        <w:t>appeared before the A</w:t>
      </w:r>
      <w:r w:rsidR="00153830">
        <w:t>rbitrator on 22 June 2012.  Cle</w:t>
      </w:r>
      <w:r w:rsidR="000D05B9" w:rsidRPr="008D59DA">
        <w:t>a</w:t>
      </w:r>
      <w:r w:rsidR="00153830">
        <w:t>r</w:t>
      </w:r>
      <w:r w:rsidR="000D05B9" w:rsidRPr="008D59DA">
        <w:t>ly the evidence could not have be</w:t>
      </w:r>
      <w:r w:rsidR="00153830">
        <w:t>en obtained in time for the hearing</w:t>
      </w:r>
      <w:r w:rsidR="000D05B9" w:rsidRPr="008D59DA">
        <w:t xml:space="preserve"> before the Arbitrator</w:t>
      </w:r>
      <w:r w:rsidR="006F449D">
        <w:t xml:space="preserve"> </w:t>
      </w:r>
      <w:r w:rsidR="00153830">
        <w:t>as it did not exist then</w:t>
      </w:r>
      <w:r w:rsidR="000D05B9" w:rsidRPr="008D59DA">
        <w:t>.</w:t>
      </w:r>
    </w:p>
    <w:p w:rsidR="006F449D" w:rsidRPr="008D59DA" w:rsidRDefault="006F449D" w:rsidP="00EB5A23">
      <w:pPr>
        <w:spacing w:line="360" w:lineRule="auto"/>
        <w:ind w:firstLine="360"/>
        <w:jc w:val="both"/>
      </w:pPr>
    </w:p>
    <w:p w:rsidR="000D05B9" w:rsidRDefault="000D05B9" w:rsidP="00EB5A23">
      <w:pPr>
        <w:spacing w:line="360" w:lineRule="auto"/>
        <w:ind w:firstLine="360"/>
        <w:jc w:val="both"/>
      </w:pPr>
      <w:r w:rsidRPr="008D59DA">
        <w:t xml:space="preserve">The next issue is whether the evidence is credible.  The Respondent has raised the issue that the Appellant was employed as </w:t>
      </w:r>
      <w:proofErr w:type="gramStart"/>
      <w:r w:rsidRPr="008D59DA">
        <w:t>a Finance</w:t>
      </w:r>
      <w:proofErr w:type="gramEnd"/>
      <w:r w:rsidRPr="008D59DA">
        <w:t xml:space="preserve"> and Administration Manager whereas the post that was advertised relates to a different position of Accountant.  In addition the Respondent has raised the issue </w:t>
      </w:r>
      <w:r w:rsidR="006F449D">
        <w:t>that</w:t>
      </w:r>
      <w:r w:rsidRPr="008D59DA">
        <w:t xml:space="preserve"> the advertisement was </w:t>
      </w:r>
      <w:proofErr w:type="spellStart"/>
      <w:r w:rsidRPr="008D59DA">
        <w:t>flighted</w:t>
      </w:r>
      <w:proofErr w:type="spellEnd"/>
      <w:r w:rsidRPr="008D59DA">
        <w:t xml:space="preserve"> in October 2012 whilst</w:t>
      </w:r>
      <w:r w:rsidR="006F449D">
        <w:t xml:space="preserve"> the</w:t>
      </w:r>
      <w:r w:rsidRPr="008D59DA">
        <w:t xml:space="preserve"> Appellant’s contract </w:t>
      </w:r>
      <w:r w:rsidR="00153830">
        <w:t>expir</w:t>
      </w:r>
      <w:r w:rsidR="006F449D">
        <w:t xml:space="preserve">ed by </w:t>
      </w:r>
      <w:proofErr w:type="spellStart"/>
      <w:r w:rsidR="006F449D">
        <w:t>e</w:t>
      </w:r>
      <w:r w:rsidR="00153830">
        <w:t>fflux</w:t>
      </w:r>
      <w:r w:rsidR="006F449D">
        <w:t>ion</w:t>
      </w:r>
      <w:proofErr w:type="spellEnd"/>
      <w:r w:rsidR="006F449D">
        <w:t xml:space="preserve"> of time </w:t>
      </w:r>
      <w:r w:rsidRPr="008D59DA">
        <w:t>in October 2011.  There is therefore a period of over twelve months in between therefore the advert could not have related to the same position occupied.</w:t>
      </w:r>
      <w:r w:rsidR="00153830">
        <w:t xml:space="preserve">  For that reason the Court was urged to disregard the evidence.</w:t>
      </w:r>
    </w:p>
    <w:p w:rsidR="006F449D" w:rsidRPr="008D59DA" w:rsidRDefault="006F449D" w:rsidP="00EB5A23">
      <w:pPr>
        <w:spacing w:line="360" w:lineRule="auto"/>
        <w:ind w:firstLine="360"/>
        <w:jc w:val="both"/>
      </w:pPr>
    </w:p>
    <w:p w:rsidR="000D05B9" w:rsidRDefault="000D05B9" w:rsidP="00EB5A23">
      <w:pPr>
        <w:spacing w:line="360" w:lineRule="auto"/>
        <w:ind w:firstLine="360"/>
        <w:jc w:val="both"/>
      </w:pPr>
      <w:r w:rsidRPr="008D59DA">
        <w:t xml:space="preserve">The Appellant’s position is </w:t>
      </w:r>
      <w:r w:rsidR="006F449D">
        <w:t>that</w:t>
      </w:r>
      <w:r w:rsidRPr="008D59DA">
        <w:t xml:space="preserve"> the evidence is credible.  In the Court’s bid to determine the question as to whether or not the Appel</w:t>
      </w:r>
      <w:r w:rsidR="00153830">
        <w:t>lant had a legitimate expectation</w:t>
      </w:r>
      <w:r w:rsidRPr="008D59DA">
        <w:t xml:space="preserve"> of her contract being reviewed and whether or not another person was engaged instead of the Appellant the court would necessar</w:t>
      </w:r>
      <w:r w:rsidR="006F449D">
        <w:t>il</w:t>
      </w:r>
      <w:r w:rsidRPr="008D59DA">
        <w:t xml:space="preserve">y need to consider </w:t>
      </w:r>
      <w:r w:rsidR="00B61571" w:rsidRPr="008D59DA">
        <w:t xml:space="preserve">the evidence which is being introduced to </w:t>
      </w:r>
      <w:r w:rsidR="006F449D">
        <w:t>show</w:t>
      </w:r>
      <w:r w:rsidR="00B61571" w:rsidRPr="008D59DA">
        <w:t xml:space="preserve"> that the Respondent indeed engaged another person in place of the Appellant.  It is Appellant</w:t>
      </w:r>
      <w:r w:rsidR="006F449D">
        <w:t>’s</w:t>
      </w:r>
      <w:r w:rsidR="00B61571" w:rsidRPr="008D59DA">
        <w:t xml:space="preserve"> position that although the advert</w:t>
      </w:r>
      <w:r w:rsidR="006F449D">
        <w:t>isement</w:t>
      </w:r>
      <w:r w:rsidR="00B61571" w:rsidRPr="008D59DA">
        <w:t xml:space="preserve"> relates to </w:t>
      </w:r>
      <w:r w:rsidR="006F449D" w:rsidRPr="008D59DA">
        <w:t>the</w:t>
      </w:r>
      <w:r w:rsidR="00B61571" w:rsidRPr="008D59DA">
        <w:t xml:space="preserve"> position of Accountant it actually relates to Appellant’s position of Finance and Administrator Manager and that the person engaged by the Respondent is actually doing Appellant’s work.</w:t>
      </w:r>
    </w:p>
    <w:p w:rsidR="00153830" w:rsidRDefault="00153830" w:rsidP="00EB5A23">
      <w:pPr>
        <w:spacing w:line="360" w:lineRule="auto"/>
        <w:ind w:firstLine="360"/>
        <w:jc w:val="both"/>
      </w:pPr>
    </w:p>
    <w:p w:rsidR="00153830" w:rsidRDefault="00153830" w:rsidP="00EB5A23">
      <w:pPr>
        <w:spacing w:line="360" w:lineRule="auto"/>
        <w:ind w:firstLine="360"/>
        <w:jc w:val="both"/>
      </w:pPr>
      <w:r>
        <w:t xml:space="preserve">The evidence sought to be introduced cannot be considered credible.  Firstly, the advertisement relates to a different position to the one previously occupied by the Appellant.  The advertisement relates to an Accountant whereas the Appellant’s opposition was </w:t>
      </w:r>
      <w:proofErr w:type="gramStart"/>
      <w:r>
        <w:t>a Finance</w:t>
      </w:r>
      <w:proofErr w:type="gramEnd"/>
      <w:r>
        <w:t xml:space="preserve"> and Administrator Manager.  The Appellant would have needed to produce </w:t>
      </w:r>
      <w:r w:rsidR="00EB5A23">
        <w:t xml:space="preserve">further evidence to prove that in that it was the same position.  In the absence of that evidence the Court cannot safely conclude that it was the same position.  Secondly, the advertisement was </w:t>
      </w:r>
      <w:proofErr w:type="spellStart"/>
      <w:r w:rsidR="00EB5A23">
        <w:t>flighted</w:t>
      </w:r>
      <w:proofErr w:type="spellEnd"/>
      <w:r w:rsidR="00EB5A23">
        <w:t xml:space="preserve"> a year after the Appellant’s </w:t>
      </w:r>
      <w:r w:rsidR="00EB5A23">
        <w:lastRenderedPageBreak/>
        <w:t>contract terminated.  The Appellant appears to be building her case as she goes.  There has to be finality in litigation.  If the Appellant were to be allowed to present the evidence on appeal at this stage that would set a bad precedent and there might be no end to the litigation.</w:t>
      </w:r>
    </w:p>
    <w:p w:rsidR="006F449D" w:rsidRPr="008D59DA" w:rsidRDefault="006F449D" w:rsidP="00EB5A23">
      <w:pPr>
        <w:spacing w:line="360" w:lineRule="auto"/>
        <w:ind w:firstLine="360"/>
        <w:jc w:val="both"/>
      </w:pPr>
    </w:p>
    <w:p w:rsidR="006F449D" w:rsidRDefault="00B61571" w:rsidP="00EB5A23">
      <w:pPr>
        <w:spacing w:line="360" w:lineRule="auto"/>
        <w:ind w:firstLine="360"/>
        <w:jc w:val="both"/>
      </w:pPr>
      <w:r w:rsidRPr="008D59DA">
        <w:t xml:space="preserve">The next issue is whether the evidence would have an </w:t>
      </w:r>
      <w:r w:rsidR="006F449D">
        <w:t>importance</w:t>
      </w:r>
      <w:r w:rsidRPr="008D59DA">
        <w:t xml:space="preserve"> influence on the result of the case. The Arbitrator in his award came to the conclusion that the Appellant had failed to discharge the onus on her to prove that another person was employed.  That factual finding by the Arbitrator was based on the evidence before the Arbitrator then.  Having already concluded </w:t>
      </w:r>
      <w:r w:rsidR="006F449D">
        <w:t>that</w:t>
      </w:r>
      <w:r w:rsidRPr="008D59DA">
        <w:t xml:space="preserve"> the </w:t>
      </w:r>
      <w:r w:rsidR="006A7644" w:rsidRPr="008D59DA">
        <w:t>evidence</w:t>
      </w:r>
      <w:r w:rsidRPr="008D59DA">
        <w:t xml:space="preserve"> is not credible</w:t>
      </w:r>
      <w:r w:rsidR="006F449D">
        <w:t xml:space="preserve"> the court shall not</w:t>
      </w:r>
      <w:r w:rsidR="00795654">
        <w:t xml:space="preserve"> consider what effect the evidence would have if admitted</w:t>
      </w:r>
      <w:r w:rsidRPr="008D59DA">
        <w:t>.  It would also be unfair on the Respondent part</w:t>
      </w:r>
      <w:r w:rsidR="00795654">
        <w:t>y</w:t>
      </w:r>
      <w:r w:rsidRPr="008D59DA">
        <w:t xml:space="preserve"> to al</w:t>
      </w:r>
      <w:r w:rsidR="00795654">
        <w:t xml:space="preserve">low </w:t>
      </w:r>
      <w:r w:rsidRPr="008D59DA">
        <w:t xml:space="preserve">the introduction of this evidence which evidence </w:t>
      </w:r>
      <w:r w:rsidR="00EB5A23">
        <w:t xml:space="preserve">was </w:t>
      </w:r>
      <w:r w:rsidR="00795654">
        <w:t>not</w:t>
      </w:r>
      <w:r w:rsidRPr="008D59DA">
        <w:t xml:space="preserve"> before the Arbitrator </w:t>
      </w:r>
      <w:r w:rsidR="00795654">
        <w:t xml:space="preserve">at </w:t>
      </w:r>
      <w:r w:rsidRPr="008D59DA">
        <w:t xml:space="preserve">the </w:t>
      </w:r>
      <w:r w:rsidR="00795654">
        <w:t>material</w:t>
      </w:r>
      <w:r w:rsidRPr="008D59DA">
        <w:t xml:space="preserve"> time of hearing.  The Respondent before Arbitrator</w:t>
      </w:r>
      <w:r w:rsidR="00EB5A23">
        <w:t xml:space="preserve"> had</w:t>
      </w:r>
      <w:r w:rsidRPr="008D59DA">
        <w:t xml:space="preserve"> indicated that the Appellant </w:t>
      </w:r>
      <w:r w:rsidR="006A7644" w:rsidRPr="008D59DA">
        <w:t>position had been abolished.  The Respondent would clearly stand to be prejudiced were the court to allow the leading of the fresh evidence given the changed circumstance at Respondent’s place of work.</w:t>
      </w:r>
    </w:p>
    <w:p w:rsidR="00795654" w:rsidRPr="008D59DA" w:rsidRDefault="00795654" w:rsidP="00EB5A23">
      <w:pPr>
        <w:spacing w:line="360" w:lineRule="auto"/>
        <w:ind w:firstLine="360"/>
        <w:jc w:val="both"/>
      </w:pPr>
    </w:p>
    <w:p w:rsidR="006A7644" w:rsidRDefault="006A7644" w:rsidP="00EB5A23">
      <w:pPr>
        <w:spacing w:line="360" w:lineRule="auto"/>
        <w:ind w:firstLine="360"/>
        <w:jc w:val="both"/>
      </w:pPr>
      <w:r w:rsidRPr="008D59DA">
        <w:t>The application for amendment of notice of appeal clearly cannot succeed on the basis that it would result in leading of fresh</w:t>
      </w:r>
      <w:r w:rsidR="00EB5A23">
        <w:t xml:space="preserve"> evidence potentially prejudicial</w:t>
      </w:r>
      <w:r w:rsidRPr="008D59DA">
        <w:t xml:space="preserve"> to </w:t>
      </w:r>
      <w:r w:rsidR="00795654">
        <w:t>the</w:t>
      </w:r>
      <w:r w:rsidR="00795654" w:rsidRPr="008D59DA">
        <w:t xml:space="preserve"> Respondent</w:t>
      </w:r>
      <w:r w:rsidRPr="008D59DA">
        <w:t>.</w:t>
      </w:r>
    </w:p>
    <w:p w:rsidR="00795654" w:rsidRPr="008D59DA" w:rsidRDefault="00795654" w:rsidP="00EB5A23">
      <w:pPr>
        <w:spacing w:line="360" w:lineRule="auto"/>
        <w:ind w:firstLine="360"/>
        <w:jc w:val="both"/>
      </w:pPr>
    </w:p>
    <w:p w:rsidR="006A7644" w:rsidRPr="008D59DA" w:rsidRDefault="006A7644" w:rsidP="00EB5A23">
      <w:pPr>
        <w:spacing w:line="360" w:lineRule="auto"/>
        <w:ind w:firstLine="360"/>
        <w:jc w:val="both"/>
      </w:pPr>
      <w:r w:rsidRPr="008D59DA">
        <w:t>Accordingly it is ordered that</w:t>
      </w:r>
    </w:p>
    <w:p w:rsidR="006A7644" w:rsidRPr="008D59DA" w:rsidRDefault="006A7644" w:rsidP="00EB5A23">
      <w:pPr>
        <w:pStyle w:val="ListParagraph"/>
        <w:numPr>
          <w:ilvl w:val="0"/>
          <w:numId w:val="12"/>
        </w:numPr>
        <w:spacing w:line="360" w:lineRule="auto"/>
        <w:jc w:val="both"/>
      </w:pPr>
      <w:r w:rsidRPr="008D59DA">
        <w:t xml:space="preserve">The application to amend the notice of appeal is hereby dismissed; and </w:t>
      </w:r>
    </w:p>
    <w:p w:rsidR="00B61571" w:rsidRPr="008D59DA" w:rsidRDefault="006A7644" w:rsidP="00EB5A23">
      <w:pPr>
        <w:pStyle w:val="ListParagraph"/>
        <w:numPr>
          <w:ilvl w:val="0"/>
          <w:numId w:val="12"/>
        </w:numPr>
        <w:spacing w:line="360" w:lineRule="auto"/>
        <w:jc w:val="both"/>
      </w:pPr>
      <w:r w:rsidRPr="008D59DA">
        <w:t xml:space="preserve">Each party </w:t>
      </w:r>
      <w:r w:rsidR="00AE5DF0" w:rsidRPr="008D59DA">
        <w:t>shall</w:t>
      </w:r>
      <w:r w:rsidRPr="008D59DA">
        <w:t xml:space="preserve"> pay its own costs. </w:t>
      </w:r>
    </w:p>
    <w:p w:rsidR="00B61571" w:rsidRPr="008D59DA" w:rsidRDefault="00B61571" w:rsidP="00EB5A23">
      <w:pPr>
        <w:spacing w:line="360" w:lineRule="auto"/>
        <w:ind w:firstLine="360"/>
        <w:jc w:val="both"/>
      </w:pPr>
    </w:p>
    <w:p w:rsidR="00B9483B" w:rsidRPr="008D59DA" w:rsidRDefault="00B9483B" w:rsidP="00EB5A23">
      <w:pPr>
        <w:spacing w:line="360" w:lineRule="auto"/>
        <w:jc w:val="both"/>
      </w:pPr>
      <w:r w:rsidRPr="008D59DA">
        <w:t xml:space="preserve"> </w:t>
      </w:r>
    </w:p>
    <w:p w:rsidR="008D59DA" w:rsidRDefault="008D59DA" w:rsidP="00EB5A23">
      <w:pPr>
        <w:tabs>
          <w:tab w:val="left" w:pos="6405"/>
        </w:tabs>
        <w:spacing w:line="360" w:lineRule="auto"/>
        <w:jc w:val="both"/>
      </w:pPr>
    </w:p>
    <w:p w:rsidR="008D59DA" w:rsidRPr="008D59DA" w:rsidRDefault="008D59DA" w:rsidP="00EB5A23">
      <w:pPr>
        <w:tabs>
          <w:tab w:val="left" w:pos="6405"/>
        </w:tabs>
        <w:spacing w:line="360" w:lineRule="auto"/>
        <w:jc w:val="both"/>
        <w:rPr>
          <w:b/>
          <w:i/>
        </w:rPr>
      </w:pPr>
      <w:proofErr w:type="spellStart"/>
      <w:r w:rsidRPr="008D59DA">
        <w:rPr>
          <w:b/>
          <w:i/>
        </w:rPr>
        <w:t>Matsikizde</w:t>
      </w:r>
      <w:proofErr w:type="spellEnd"/>
      <w:r w:rsidRPr="008D59DA">
        <w:rPr>
          <w:b/>
          <w:i/>
        </w:rPr>
        <w:t xml:space="preserve"> &amp; </w:t>
      </w:r>
      <w:proofErr w:type="spellStart"/>
      <w:r w:rsidRPr="008D59DA">
        <w:rPr>
          <w:b/>
          <w:i/>
        </w:rPr>
        <w:t>Mucheche</w:t>
      </w:r>
      <w:proofErr w:type="spellEnd"/>
      <w:r w:rsidRPr="008D59DA">
        <w:rPr>
          <w:b/>
          <w:i/>
        </w:rPr>
        <w:t xml:space="preserve"> – Appellant’s Legal Practitioners</w:t>
      </w:r>
    </w:p>
    <w:p w:rsidR="00EB5A23" w:rsidRDefault="00EB5A23" w:rsidP="00EB5A23">
      <w:pPr>
        <w:tabs>
          <w:tab w:val="left" w:pos="6405"/>
        </w:tabs>
        <w:spacing w:line="360" w:lineRule="auto"/>
        <w:jc w:val="both"/>
        <w:rPr>
          <w:b/>
          <w:i/>
        </w:rPr>
      </w:pPr>
    </w:p>
    <w:p w:rsidR="001405F9" w:rsidRPr="008D59DA" w:rsidRDefault="008D59DA" w:rsidP="00EB5A23">
      <w:pPr>
        <w:tabs>
          <w:tab w:val="left" w:pos="6405"/>
        </w:tabs>
        <w:spacing w:line="360" w:lineRule="auto"/>
        <w:jc w:val="both"/>
        <w:rPr>
          <w:b/>
          <w:i/>
        </w:rPr>
      </w:pPr>
      <w:r w:rsidRPr="008D59DA">
        <w:rPr>
          <w:b/>
          <w:i/>
        </w:rPr>
        <w:t>T.K. Hove &amp; Partners – Respondent’s Legal Practitioners</w:t>
      </w:r>
      <w:r w:rsidR="00B9483B" w:rsidRPr="008D59DA">
        <w:rPr>
          <w:b/>
          <w:i/>
        </w:rPr>
        <w:tab/>
      </w:r>
    </w:p>
    <w:sectPr w:rsidR="001405F9" w:rsidRPr="008D59DA" w:rsidSect="003915C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AC" w:rsidRDefault="00AD70AC" w:rsidP="003915C9">
      <w:r>
        <w:separator/>
      </w:r>
    </w:p>
  </w:endnote>
  <w:endnote w:type="continuationSeparator" w:id="0">
    <w:p w:rsidR="00AD70AC" w:rsidRDefault="00AD70AC" w:rsidP="0039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1794"/>
      <w:docPartObj>
        <w:docPartGallery w:val="Page Numbers (Bottom of Page)"/>
        <w:docPartUnique/>
      </w:docPartObj>
    </w:sdtPr>
    <w:sdtEndPr/>
    <w:sdtContent>
      <w:p w:rsidR="00EB5A23" w:rsidRDefault="00EB5A23">
        <w:pPr>
          <w:pStyle w:val="Footer"/>
          <w:jc w:val="center"/>
        </w:pPr>
        <w:r>
          <w:fldChar w:fldCharType="begin"/>
        </w:r>
        <w:r>
          <w:instrText xml:space="preserve"> PAGE   \* MERGEFORMAT </w:instrText>
        </w:r>
        <w:r>
          <w:fldChar w:fldCharType="separate"/>
        </w:r>
        <w:r w:rsidR="00C52ECC">
          <w:rPr>
            <w:noProof/>
          </w:rPr>
          <w:t>7</w:t>
        </w:r>
        <w:r>
          <w:rPr>
            <w:noProof/>
          </w:rPr>
          <w:fldChar w:fldCharType="end"/>
        </w:r>
      </w:p>
    </w:sdtContent>
  </w:sdt>
  <w:p w:rsidR="00EB5A23" w:rsidRDefault="00EB5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AC" w:rsidRDefault="00AD70AC" w:rsidP="003915C9">
      <w:r>
        <w:separator/>
      </w:r>
    </w:p>
  </w:footnote>
  <w:footnote w:type="continuationSeparator" w:id="0">
    <w:p w:rsidR="00AD70AC" w:rsidRDefault="00AD70AC" w:rsidP="00391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23" w:rsidRPr="003915C9" w:rsidRDefault="00EB5A23">
    <w:pPr>
      <w:pStyle w:val="Header"/>
      <w:rPr>
        <w:lang w:val="en-ZW"/>
      </w:rPr>
    </w:pPr>
    <w:r>
      <w:rPr>
        <w:lang w:val="en-ZW"/>
      </w:rPr>
      <w:tab/>
    </w:r>
    <w:r>
      <w:rPr>
        <w:lang w:val="en-ZW"/>
      </w:rPr>
      <w:tab/>
      <w:t>JUDGMENT NO. LC/H/421/2013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B6CCA"/>
    <w:multiLevelType w:val="hybridMultilevel"/>
    <w:tmpl w:val="D210254E"/>
    <w:lvl w:ilvl="0" w:tplc="034CDA0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C2C06C3"/>
    <w:multiLevelType w:val="hybridMultilevel"/>
    <w:tmpl w:val="50C88C1C"/>
    <w:lvl w:ilvl="0" w:tplc="3009000F">
      <w:start w:val="1"/>
      <w:numFmt w:val="decimal"/>
      <w:lvlText w:val="%1."/>
      <w:lvlJc w:val="left"/>
      <w:pPr>
        <w:ind w:left="810" w:hanging="360"/>
      </w:p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2">
    <w:nsid w:val="362262CF"/>
    <w:multiLevelType w:val="hybridMultilevel"/>
    <w:tmpl w:val="8A401D8A"/>
    <w:lvl w:ilvl="0" w:tplc="303025DA">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CD746C2"/>
    <w:multiLevelType w:val="hybridMultilevel"/>
    <w:tmpl w:val="289EA6DA"/>
    <w:lvl w:ilvl="0" w:tplc="88FA71AC">
      <w:start w:val="1"/>
      <w:numFmt w:val="lowerLetter"/>
      <w:lvlText w:val="(%1)"/>
      <w:lvlJc w:val="left"/>
      <w:pPr>
        <w:ind w:left="1440" w:hanging="720"/>
      </w:pPr>
      <w:rPr>
        <w:rFonts w:ascii="Times New Roman" w:eastAsia="Times New Roman" w:hAnsi="Times New Roman" w:cs="Times New Roman"/>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F9E5197"/>
    <w:multiLevelType w:val="hybridMultilevel"/>
    <w:tmpl w:val="454A8016"/>
    <w:lvl w:ilvl="0" w:tplc="5664D016">
      <w:start w:val="1"/>
      <w:numFmt w:val="decimal"/>
      <w:lvlText w:val="%1."/>
      <w:lvlJc w:val="left"/>
      <w:pPr>
        <w:ind w:left="720" w:hanging="360"/>
      </w:pPr>
      <w:rPr>
        <w:rFonts w:ascii="Times New Roman" w:eastAsia="Times New Roman" w:hAnsi="Times New Roman" w:cs="Times New Roman"/>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4C16A27"/>
    <w:multiLevelType w:val="hybridMultilevel"/>
    <w:tmpl w:val="78FCD7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5341510"/>
    <w:multiLevelType w:val="hybridMultilevel"/>
    <w:tmpl w:val="2892D7CE"/>
    <w:lvl w:ilvl="0" w:tplc="A91299E2">
      <w:start w:val="1"/>
      <w:numFmt w:val="lowerLetter"/>
      <w:lvlText w:val="(%1)"/>
      <w:lvlJc w:val="left"/>
      <w:pPr>
        <w:ind w:left="2160" w:hanging="720"/>
      </w:pPr>
      <w:rPr>
        <w:rFonts w:ascii="Times New Roman" w:eastAsia="Times New Roman"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491D1690"/>
    <w:multiLevelType w:val="hybridMultilevel"/>
    <w:tmpl w:val="3FE6DD5E"/>
    <w:lvl w:ilvl="0" w:tplc="B54CBCD2">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9771EA5"/>
    <w:multiLevelType w:val="hybridMultilevel"/>
    <w:tmpl w:val="B6AA2B5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4AC4127E"/>
    <w:multiLevelType w:val="hybridMultilevel"/>
    <w:tmpl w:val="FBD22E2C"/>
    <w:lvl w:ilvl="0" w:tplc="D690E35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19C021E"/>
    <w:multiLevelType w:val="hybridMultilevel"/>
    <w:tmpl w:val="A6D025F6"/>
    <w:lvl w:ilvl="0" w:tplc="ED7C6582">
      <w:start w:val="1"/>
      <w:numFmt w:val="lowerLetter"/>
      <w:lvlText w:val="(%1)"/>
      <w:lvlJc w:val="left"/>
      <w:pPr>
        <w:ind w:left="1440" w:hanging="72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028068C"/>
    <w:multiLevelType w:val="hybridMultilevel"/>
    <w:tmpl w:val="807C8766"/>
    <w:lvl w:ilvl="0" w:tplc="84F87D0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5947707"/>
    <w:multiLevelType w:val="hybridMultilevel"/>
    <w:tmpl w:val="80A0E966"/>
    <w:lvl w:ilvl="0" w:tplc="0FF0DF9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7F5079D0"/>
    <w:multiLevelType w:val="hybridMultilevel"/>
    <w:tmpl w:val="D090B2D6"/>
    <w:lvl w:ilvl="0" w:tplc="30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10"/>
  </w:num>
  <w:num w:numId="6">
    <w:abstractNumId w:val="8"/>
  </w:num>
  <w:num w:numId="7">
    <w:abstractNumId w:val="13"/>
  </w:num>
  <w:num w:numId="8">
    <w:abstractNumId w:val="1"/>
  </w:num>
  <w:num w:numId="9">
    <w:abstractNumId w:val="9"/>
  </w:num>
  <w:num w:numId="10">
    <w:abstractNumId w:val="6"/>
  </w:num>
  <w:num w:numId="11">
    <w:abstractNumId w:val="5"/>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6777"/>
    <w:rsid w:val="00052609"/>
    <w:rsid w:val="00062AF1"/>
    <w:rsid w:val="000A272B"/>
    <w:rsid w:val="000A5E24"/>
    <w:rsid w:val="000D05B9"/>
    <w:rsid w:val="00136E52"/>
    <w:rsid w:val="001405F9"/>
    <w:rsid w:val="00150DFD"/>
    <w:rsid w:val="00153830"/>
    <w:rsid w:val="00170320"/>
    <w:rsid w:val="001A3352"/>
    <w:rsid w:val="002603B2"/>
    <w:rsid w:val="00271628"/>
    <w:rsid w:val="0036771E"/>
    <w:rsid w:val="003915C9"/>
    <w:rsid w:val="00446777"/>
    <w:rsid w:val="004C48E9"/>
    <w:rsid w:val="004F47FD"/>
    <w:rsid w:val="00514434"/>
    <w:rsid w:val="005372CF"/>
    <w:rsid w:val="00572CB5"/>
    <w:rsid w:val="00574D2C"/>
    <w:rsid w:val="005C7ED3"/>
    <w:rsid w:val="005D716A"/>
    <w:rsid w:val="0060624D"/>
    <w:rsid w:val="00646C87"/>
    <w:rsid w:val="006A7644"/>
    <w:rsid w:val="006E7BC2"/>
    <w:rsid w:val="006F449D"/>
    <w:rsid w:val="00722326"/>
    <w:rsid w:val="00795654"/>
    <w:rsid w:val="008254A5"/>
    <w:rsid w:val="008740CF"/>
    <w:rsid w:val="008B2320"/>
    <w:rsid w:val="008D59DA"/>
    <w:rsid w:val="00972F14"/>
    <w:rsid w:val="00977539"/>
    <w:rsid w:val="009A4202"/>
    <w:rsid w:val="00A05186"/>
    <w:rsid w:val="00A273E0"/>
    <w:rsid w:val="00A3644D"/>
    <w:rsid w:val="00AB374A"/>
    <w:rsid w:val="00AC67E1"/>
    <w:rsid w:val="00AC70F3"/>
    <w:rsid w:val="00AD3D5A"/>
    <w:rsid w:val="00AD70AC"/>
    <w:rsid w:val="00AE5DF0"/>
    <w:rsid w:val="00B61571"/>
    <w:rsid w:val="00B9483B"/>
    <w:rsid w:val="00C52ECC"/>
    <w:rsid w:val="00CD62EE"/>
    <w:rsid w:val="00CF441F"/>
    <w:rsid w:val="00D144D8"/>
    <w:rsid w:val="00E2753E"/>
    <w:rsid w:val="00EA6EE8"/>
    <w:rsid w:val="00EB5A23"/>
    <w:rsid w:val="00EF3587"/>
    <w:rsid w:val="00EF6328"/>
    <w:rsid w:val="00EF7563"/>
    <w:rsid w:val="00F52BC7"/>
    <w:rsid w:val="00F607D7"/>
    <w:rsid w:val="00F66AE6"/>
    <w:rsid w:val="00FB058B"/>
    <w:rsid w:val="00FD60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7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5C9"/>
    <w:pPr>
      <w:tabs>
        <w:tab w:val="center" w:pos="4513"/>
        <w:tab w:val="right" w:pos="9026"/>
      </w:tabs>
    </w:pPr>
  </w:style>
  <w:style w:type="character" w:customStyle="1" w:styleId="HeaderChar">
    <w:name w:val="Header Char"/>
    <w:basedOn w:val="DefaultParagraphFont"/>
    <w:link w:val="Header"/>
    <w:uiPriority w:val="99"/>
    <w:rsid w:val="003915C9"/>
    <w:rPr>
      <w:rFonts w:ascii="Tahoma" w:eastAsia="Times New Roman" w:hAnsi="Tahoma" w:cs="Times New Roman"/>
      <w:sz w:val="24"/>
      <w:szCs w:val="24"/>
      <w:lang w:val="en-US"/>
    </w:rPr>
  </w:style>
  <w:style w:type="paragraph" w:styleId="Footer">
    <w:name w:val="footer"/>
    <w:basedOn w:val="Normal"/>
    <w:link w:val="FooterChar"/>
    <w:uiPriority w:val="99"/>
    <w:unhideWhenUsed/>
    <w:rsid w:val="003915C9"/>
    <w:pPr>
      <w:tabs>
        <w:tab w:val="center" w:pos="4513"/>
        <w:tab w:val="right" w:pos="9026"/>
      </w:tabs>
    </w:pPr>
  </w:style>
  <w:style w:type="character" w:customStyle="1" w:styleId="FooterChar">
    <w:name w:val="Footer Char"/>
    <w:basedOn w:val="DefaultParagraphFont"/>
    <w:link w:val="Footer"/>
    <w:uiPriority w:val="99"/>
    <w:rsid w:val="003915C9"/>
    <w:rPr>
      <w:rFonts w:ascii="Tahoma" w:eastAsia="Times New Roman" w:hAnsi="Tahoma" w:cs="Times New Roman"/>
      <w:sz w:val="24"/>
      <w:szCs w:val="24"/>
      <w:lang w:val="en-US"/>
    </w:rPr>
  </w:style>
  <w:style w:type="paragraph" w:styleId="ListParagraph">
    <w:name w:val="List Paragraph"/>
    <w:basedOn w:val="Normal"/>
    <w:uiPriority w:val="34"/>
    <w:qFormat/>
    <w:rsid w:val="00AB374A"/>
    <w:pPr>
      <w:ind w:left="720"/>
      <w:contextualSpacing/>
    </w:pPr>
  </w:style>
  <w:style w:type="paragraph" w:styleId="BalloonText">
    <w:name w:val="Balloon Text"/>
    <w:basedOn w:val="Normal"/>
    <w:link w:val="BalloonTextChar"/>
    <w:uiPriority w:val="99"/>
    <w:semiHidden/>
    <w:unhideWhenUsed/>
    <w:rsid w:val="00C52ECC"/>
    <w:rPr>
      <w:rFonts w:cs="Tahoma"/>
      <w:sz w:val="16"/>
      <w:szCs w:val="16"/>
    </w:rPr>
  </w:style>
  <w:style w:type="character" w:customStyle="1" w:styleId="BalloonTextChar">
    <w:name w:val="Balloon Text Char"/>
    <w:basedOn w:val="DefaultParagraphFont"/>
    <w:link w:val="BalloonText"/>
    <w:uiPriority w:val="99"/>
    <w:semiHidden/>
    <w:rsid w:val="00C52EC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7</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18</cp:revision>
  <cp:lastPrinted>2013-09-03T13:38:00Z</cp:lastPrinted>
  <dcterms:created xsi:type="dcterms:W3CDTF">2013-08-26T12:46:00Z</dcterms:created>
  <dcterms:modified xsi:type="dcterms:W3CDTF">2013-09-03T13:40:00Z</dcterms:modified>
</cp:coreProperties>
</file>