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696" w:rsidRPr="00D10188" w:rsidRDefault="00DE3696" w:rsidP="00077D57">
      <w:pPr>
        <w:pStyle w:val="NoSpacing"/>
        <w:jc w:val="both"/>
        <w:rPr>
          <w:b/>
        </w:rPr>
      </w:pPr>
      <w:r>
        <w:rPr>
          <w:b/>
        </w:rPr>
        <w:t>SHERIFF OF THE HIGH COURT OF ZIMBABWE</w:t>
      </w:r>
    </w:p>
    <w:p w:rsidR="00DE3696" w:rsidRDefault="00DE3696" w:rsidP="00077D57">
      <w:pPr>
        <w:pStyle w:val="NoSpacing"/>
        <w:jc w:val="both"/>
        <w:rPr>
          <w:b/>
        </w:rPr>
      </w:pPr>
    </w:p>
    <w:p w:rsidR="00DE3696" w:rsidRPr="00D10188" w:rsidRDefault="00DE3696" w:rsidP="00077D57">
      <w:pPr>
        <w:pStyle w:val="NoSpacing"/>
        <w:jc w:val="both"/>
        <w:rPr>
          <w:b/>
        </w:rPr>
      </w:pPr>
      <w:r w:rsidRPr="00D10188">
        <w:rPr>
          <w:b/>
        </w:rPr>
        <w:t>Versus</w:t>
      </w:r>
    </w:p>
    <w:p w:rsidR="00DE3696" w:rsidRPr="00D10188" w:rsidRDefault="00DE3696" w:rsidP="00077D57">
      <w:pPr>
        <w:pStyle w:val="NoSpacing"/>
        <w:jc w:val="both"/>
        <w:rPr>
          <w:b/>
        </w:rPr>
      </w:pPr>
    </w:p>
    <w:p w:rsidR="00DE3696" w:rsidRDefault="00DE3696" w:rsidP="00077D57">
      <w:pPr>
        <w:pStyle w:val="NoSpacing"/>
        <w:jc w:val="both"/>
        <w:rPr>
          <w:b/>
        </w:rPr>
      </w:pPr>
      <w:r>
        <w:rPr>
          <w:b/>
        </w:rPr>
        <w:t>RHA TUNGSTEN MAURITIUS LIMITED</w:t>
      </w:r>
    </w:p>
    <w:p w:rsidR="00DE3696" w:rsidRDefault="00DE3696" w:rsidP="00077D57">
      <w:pPr>
        <w:pStyle w:val="NoSpacing"/>
        <w:jc w:val="both"/>
        <w:rPr>
          <w:b/>
        </w:rPr>
      </w:pPr>
    </w:p>
    <w:p w:rsidR="00DE3696" w:rsidRDefault="00DE3696" w:rsidP="00077D57">
      <w:pPr>
        <w:pStyle w:val="NoSpacing"/>
        <w:jc w:val="both"/>
        <w:rPr>
          <w:b/>
        </w:rPr>
      </w:pPr>
      <w:r>
        <w:rPr>
          <w:b/>
        </w:rPr>
        <w:t>And</w:t>
      </w:r>
    </w:p>
    <w:p w:rsidR="00DE3696" w:rsidRDefault="00DE3696" w:rsidP="00077D57">
      <w:pPr>
        <w:pStyle w:val="NoSpacing"/>
        <w:jc w:val="both"/>
        <w:rPr>
          <w:b/>
        </w:rPr>
      </w:pPr>
    </w:p>
    <w:p w:rsidR="00DE3696" w:rsidRDefault="00DE3696" w:rsidP="00077D57">
      <w:pPr>
        <w:pStyle w:val="NoSpacing"/>
        <w:jc w:val="both"/>
        <w:rPr>
          <w:b/>
        </w:rPr>
      </w:pPr>
      <w:r>
        <w:rPr>
          <w:b/>
        </w:rPr>
        <w:t>J.R GODDARD CONTRACTING (PRIVATE LIMITED</w:t>
      </w:r>
    </w:p>
    <w:p w:rsidR="004319FA" w:rsidRDefault="004319FA" w:rsidP="00077D57">
      <w:pPr>
        <w:jc w:val="both"/>
        <w:rPr>
          <w:rFonts w:ascii="Times New Roman" w:hAnsi="Times New Roman" w:cs="Times New Roman"/>
          <w:sz w:val="24"/>
          <w:szCs w:val="24"/>
          <w:lang w:val="en-US"/>
        </w:rPr>
      </w:pPr>
    </w:p>
    <w:p w:rsidR="00DE3696" w:rsidRPr="00D10188" w:rsidRDefault="00DE3696" w:rsidP="00077D57">
      <w:pPr>
        <w:pStyle w:val="NoSpacing"/>
        <w:jc w:val="both"/>
      </w:pPr>
      <w:r w:rsidRPr="00D10188">
        <w:t>IN THE HIGH COURT OF ZIMBABWE</w:t>
      </w:r>
    </w:p>
    <w:p w:rsidR="00DE3696" w:rsidRPr="00D10188" w:rsidRDefault="00DE3696" w:rsidP="00077D57">
      <w:pPr>
        <w:pStyle w:val="NoSpacing"/>
        <w:jc w:val="both"/>
      </w:pPr>
      <w:r>
        <w:t xml:space="preserve">TAKUVA </w:t>
      </w:r>
      <w:r w:rsidRPr="00D10188">
        <w:t>J</w:t>
      </w:r>
    </w:p>
    <w:p w:rsidR="00DE3696" w:rsidRPr="00D10188" w:rsidRDefault="005663E1" w:rsidP="00077D57">
      <w:pPr>
        <w:pStyle w:val="NoSpacing"/>
        <w:jc w:val="both"/>
      </w:pPr>
      <w:r>
        <w:t>BULAWAYO 12 MAY AND 31</w:t>
      </w:r>
      <w:r w:rsidR="00BF5CCB">
        <w:t xml:space="preserve"> AUGUST 2021</w:t>
      </w:r>
    </w:p>
    <w:p w:rsidR="00DE3696" w:rsidRPr="00D10188" w:rsidRDefault="00DE3696" w:rsidP="00077D57">
      <w:pPr>
        <w:pStyle w:val="NoSpacing"/>
        <w:jc w:val="both"/>
      </w:pPr>
    </w:p>
    <w:p w:rsidR="00DE3696" w:rsidRPr="00D10188" w:rsidRDefault="00DE3696" w:rsidP="00077D57">
      <w:pPr>
        <w:pStyle w:val="NoSpacing"/>
        <w:jc w:val="both"/>
        <w:rPr>
          <w:b/>
        </w:rPr>
      </w:pPr>
      <w:r>
        <w:rPr>
          <w:b/>
        </w:rPr>
        <w:t xml:space="preserve">Opposed Application </w:t>
      </w:r>
    </w:p>
    <w:p w:rsidR="00DE3696" w:rsidRPr="00D10188" w:rsidRDefault="00DE3696" w:rsidP="00077D57">
      <w:pPr>
        <w:pStyle w:val="NoSpacing"/>
        <w:jc w:val="both"/>
      </w:pPr>
    </w:p>
    <w:p w:rsidR="00DE3696" w:rsidRPr="00D10188" w:rsidRDefault="00DE3696" w:rsidP="00077D57">
      <w:pPr>
        <w:pStyle w:val="NoSpacing"/>
        <w:jc w:val="both"/>
      </w:pPr>
      <w:r>
        <w:rPr>
          <w:i/>
        </w:rPr>
        <w:t xml:space="preserve">H. </w:t>
      </w:r>
      <w:proofErr w:type="spellStart"/>
      <w:r>
        <w:rPr>
          <w:i/>
        </w:rPr>
        <w:t>Chimbetete</w:t>
      </w:r>
      <w:proofErr w:type="spellEnd"/>
      <w:r>
        <w:rPr>
          <w:i/>
        </w:rPr>
        <w:t>,</w:t>
      </w:r>
      <w:r w:rsidRPr="00D10188">
        <w:t xml:space="preserve"> for the applicant</w:t>
      </w:r>
      <w:bookmarkStart w:id="0" w:name="_GoBack"/>
      <w:bookmarkEnd w:id="0"/>
    </w:p>
    <w:p w:rsidR="00DE3696" w:rsidRDefault="00DE3696" w:rsidP="00077D57">
      <w:pPr>
        <w:pStyle w:val="NoSpacing"/>
        <w:jc w:val="both"/>
      </w:pPr>
      <w:r>
        <w:rPr>
          <w:i/>
        </w:rPr>
        <w:t xml:space="preserve">P. </w:t>
      </w:r>
      <w:proofErr w:type="spellStart"/>
      <w:r>
        <w:rPr>
          <w:i/>
        </w:rPr>
        <w:t>Nyeperayi</w:t>
      </w:r>
      <w:proofErr w:type="spellEnd"/>
      <w:r>
        <w:rPr>
          <w:i/>
        </w:rPr>
        <w:t xml:space="preserve">, </w:t>
      </w:r>
      <w:r>
        <w:t>for the claimant</w:t>
      </w:r>
    </w:p>
    <w:p w:rsidR="00DE3696" w:rsidRDefault="00DE3696" w:rsidP="00077D57">
      <w:pPr>
        <w:pStyle w:val="NoSpacing"/>
        <w:jc w:val="both"/>
      </w:pPr>
      <w:r w:rsidRPr="00DE3696">
        <w:rPr>
          <w:i/>
        </w:rPr>
        <w:t xml:space="preserve">Miss V </w:t>
      </w:r>
      <w:proofErr w:type="spellStart"/>
      <w:r w:rsidRPr="00DE3696">
        <w:rPr>
          <w:i/>
        </w:rPr>
        <w:t>Chagonda</w:t>
      </w:r>
      <w:proofErr w:type="spellEnd"/>
      <w:r>
        <w:t>, for the Judgment Creditor</w:t>
      </w:r>
    </w:p>
    <w:p w:rsidR="00DE3696" w:rsidRDefault="00DE3696" w:rsidP="00077D57">
      <w:pPr>
        <w:autoSpaceDE w:val="0"/>
        <w:autoSpaceDN w:val="0"/>
        <w:adjustRightInd w:val="0"/>
        <w:spacing w:after="0" w:line="360" w:lineRule="auto"/>
        <w:ind w:firstLine="720"/>
        <w:jc w:val="both"/>
        <w:rPr>
          <w:rFonts w:ascii="Times New Roman" w:hAnsi="Times New Roman" w:cs="Times New Roman"/>
          <w:sz w:val="24"/>
          <w:szCs w:val="24"/>
        </w:rPr>
      </w:pPr>
    </w:p>
    <w:p w:rsidR="00DE3696" w:rsidRDefault="00DE3696" w:rsidP="00077D57">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TAKUVA </w:t>
      </w:r>
      <w:r w:rsidRPr="001222B4">
        <w:rPr>
          <w:rFonts w:ascii="Times New Roman" w:hAnsi="Times New Roman" w:cs="Times New Roman"/>
          <w:b/>
          <w:sz w:val="24"/>
          <w:szCs w:val="24"/>
        </w:rPr>
        <w:t>J:</w:t>
      </w:r>
      <w:r>
        <w:rPr>
          <w:rFonts w:ascii="Times New Roman" w:hAnsi="Times New Roman" w:cs="Times New Roman"/>
          <w:sz w:val="24"/>
          <w:szCs w:val="24"/>
        </w:rPr>
        <w:t xml:space="preserve"> </w:t>
      </w:r>
      <w:r>
        <w:rPr>
          <w:rFonts w:ascii="Times New Roman" w:hAnsi="Times New Roman" w:cs="Times New Roman"/>
          <w:sz w:val="24"/>
          <w:szCs w:val="24"/>
        </w:rPr>
        <w:tab/>
        <w:t>This is an interpleader application filed by the applicant in</w:t>
      </w:r>
      <w:r w:rsidR="00BF5CCB">
        <w:rPr>
          <w:rFonts w:ascii="Times New Roman" w:hAnsi="Times New Roman" w:cs="Times New Roman"/>
          <w:sz w:val="24"/>
          <w:szCs w:val="24"/>
        </w:rPr>
        <w:t xml:space="preserve"> terms of Order 30 rule 205A </w:t>
      </w:r>
      <w:r>
        <w:rPr>
          <w:rFonts w:ascii="Times New Roman" w:hAnsi="Times New Roman" w:cs="Times New Roman"/>
          <w:sz w:val="24"/>
          <w:szCs w:val="24"/>
        </w:rPr>
        <w:t>as read with rule 207 of the High Court Rules, 1971.</w:t>
      </w:r>
    </w:p>
    <w:p w:rsidR="00DE3696" w:rsidRPr="0075195D" w:rsidRDefault="0075195D" w:rsidP="00077D57">
      <w:pPr>
        <w:spacing w:line="360" w:lineRule="auto"/>
        <w:ind w:firstLine="720"/>
        <w:jc w:val="both"/>
        <w:rPr>
          <w:rFonts w:ascii="Times New Roman" w:hAnsi="Times New Roman" w:cs="Times New Roman"/>
          <w:b/>
          <w:sz w:val="24"/>
          <w:szCs w:val="24"/>
          <w:u w:val="single"/>
        </w:rPr>
      </w:pPr>
      <w:r w:rsidRPr="0075195D">
        <w:rPr>
          <w:rFonts w:ascii="Times New Roman" w:hAnsi="Times New Roman" w:cs="Times New Roman"/>
          <w:b/>
          <w:sz w:val="24"/>
          <w:szCs w:val="24"/>
          <w:u w:val="single"/>
        </w:rPr>
        <w:t>FACTS</w:t>
      </w:r>
    </w:p>
    <w:p w:rsidR="00DE3696" w:rsidRDefault="0075195D"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judgment c</w:t>
      </w:r>
      <w:r w:rsidR="00DE3696">
        <w:rPr>
          <w:rFonts w:ascii="Times New Roman" w:hAnsi="Times New Roman" w:cs="Times New Roman"/>
          <w:sz w:val="24"/>
          <w:szCs w:val="24"/>
        </w:rPr>
        <w:t>reditor obtained judgment in case No. HC 10259/19 (High Court Harare</w:t>
      </w:r>
      <w:r w:rsidR="00BF5CCB">
        <w:rPr>
          <w:rFonts w:ascii="Times New Roman" w:hAnsi="Times New Roman" w:cs="Times New Roman"/>
          <w:sz w:val="24"/>
          <w:szCs w:val="24"/>
        </w:rPr>
        <w:t>).  Pursuant to that</w:t>
      </w:r>
      <w:r w:rsidR="00A83807">
        <w:rPr>
          <w:rFonts w:ascii="Times New Roman" w:hAnsi="Times New Roman" w:cs="Times New Roman"/>
          <w:sz w:val="24"/>
          <w:szCs w:val="24"/>
        </w:rPr>
        <w:t xml:space="preserve"> judgment, it instructed applicant to attach certain property that appears in </w:t>
      </w:r>
      <w:proofErr w:type="spellStart"/>
      <w:r w:rsidR="00A83807">
        <w:rPr>
          <w:rFonts w:ascii="Times New Roman" w:hAnsi="Times New Roman" w:cs="Times New Roman"/>
          <w:sz w:val="24"/>
          <w:szCs w:val="24"/>
        </w:rPr>
        <w:t>Annexture</w:t>
      </w:r>
      <w:proofErr w:type="spellEnd"/>
      <w:r w:rsidR="00A83807">
        <w:rPr>
          <w:rFonts w:ascii="Times New Roman" w:hAnsi="Times New Roman" w:cs="Times New Roman"/>
          <w:sz w:val="24"/>
          <w:szCs w:val="24"/>
        </w:rPr>
        <w:t xml:space="preserve"> A which is the Writ of Execution.  The property so attached is being claimed by claimant.  The claim is opposed by the Judgment creditor.</w:t>
      </w:r>
    </w:p>
    <w:p w:rsidR="00A83807" w:rsidRPr="0075195D" w:rsidRDefault="00A83807" w:rsidP="00077D57">
      <w:pPr>
        <w:spacing w:line="360" w:lineRule="auto"/>
        <w:ind w:firstLine="720"/>
        <w:jc w:val="both"/>
        <w:rPr>
          <w:rFonts w:ascii="Times New Roman" w:hAnsi="Times New Roman" w:cs="Times New Roman"/>
          <w:b/>
          <w:sz w:val="24"/>
          <w:szCs w:val="24"/>
        </w:rPr>
      </w:pPr>
      <w:r w:rsidRPr="0075195D">
        <w:rPr>
          <w:rFonts w:ascii="Times New Roman" w:hAnsi="Times New Roman" w:cs="Times New Roman"/>
          <w:b/>
          <w:sz w:val="24"/>
          <w:szCs w:val="24"/>
        </w:rPr>
        <w:t>THE CLAIMANT’S CASE</w:t>
      </w:r>
    </w:p>
    <w:p w:rsidR="00350272" w:rsidRDefault="00A83807"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Claimant’s director one Brendon Roach filed an affidavit justifying its claim to the a</w:t>
      </w:r>
      <w:r w:rsidR="00BF5CCB">
        <w:rPr>
          <w:rFonts w:ascii="Times New Roman" w:hAnsi="Times New Roman" w:cs="Times New Roman"/>
          <w:sz w:val="24"/>
          <w:szCs w:val="24"/>
        </w:rPr>
        <w:t>ttached property that was in RHA</w:t>
      </w:r>
      <w:r>
        <w:rPr>
          <w:rFonts w:ascii="Times New Roman" w:hAnsi="Times New Roman" w:cs="Times New Roman"/>
          <w:sz w:val="24"/>
          <w:szCs w:val="24"/>
        </w:rPr>
        <w:t xml:space="preserve"> Tungsten (Pvt) Ltd</w:t>
      </w:r>
      <w:r w:rsidR="00BF5CCB">
        <w:rPr>
          <w:rFonts w:ascii="Times New Roman" w:hAnsi="Times New Roman" w:cs="Times New Roman"/>
          <w:sz w:val="24"/>
          <w:szCs w:val="24"/>
        </w:rPr>
        <w:t>, a Zimbabwean company’s possession.</w:t>
      </w:r>
      <w:r w:rsidR="00350272">
        <w:rPr>
          <w:rFonts w:ascii="Times New Roman" w:hAnsi="Times New Roman" w:cs="Times New Roman"/>
          <w:sz w:val="24"/>
          <w:szCs w:val="24"/>
        </w:rPr>
        <w:t xml:space="preserve">  This company and the claimant are two different companies.  They do not have a common or joint ownership of assets.  However they entered into agreements for the lease of the plant and equipment in </w:t>
      </w:r>
      <w:r w:rsidR="0075195D">
        <w:rPr>
          <w:rFonts w:ascii="Times New Roman" w:hAnsi="Times New Roman" w:cs="Times New Roman"/>
          <w:sz w:val="24"/>
          <w:szCs w:val="24"/>
        </w:rPr>
        <w:t>i</w:t>
      </w:r>
      <w:r w:rsidR="00350272">
        <w:rPr>
          <w:rFonts w:ascii="Times New Roman" w:hAnsi="Times New Roman" w:cs="Times New Roman"/>
          <w:sz w:val="24"/>
          <w:szCs w:val="24"/>
        </w:rPr>
        <w:t>ssue.</w:t>
      </w:r>
    </w:p>
    <w:p w:rsidR="00350272" w:rsidRDefault="00350272"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claimant’s argument that the burden to prove ownership of goods which are the subject matter of an interpleader application lies with the clai</w:t>
      </w:r>
      <w:r w:rsidR="0075195D">
        <w:rPr>
          <w:rFonts w:ascii="Times New Roman" w:hAnsi="Times New Roman" w:cs="Times New Roman"/>
          <w:sz w:val="24"/>
          <w:szCs w:val="24"/>
        </w:rPr>
        <w:t>mant.  However, once the claima</w:t>
      </w:r>
      <w:r>
        <w:rPr>
          <w:rFonts w:ascii="Times New Roman" w:hAnsi="Times New Roman" w:cs="Times New Roman"/>
          <w:sz w:val="24"/>
          <w:szCs w:val="24"/>
        </w:rPr>
        <w:t xml:space="preserve">nt establishes a </w:t>
      </w:r>
      <w:r w:rsidRPr="00E1383A">
        <w:rPr>
          <w:rFonts w:ascii="Times New Roman" w:hAnsi="Times New Roman" w:cs="Times New Roman"/>
          <w:i/>
          <w:sz w:val="24"/>
          <w:szCs w:val="24"/>
        </w:rPr>
        <w:t>prima facie</w:t>
      </w:r>
      <w:r>
        <w:rPr>
          <w:rFonts w:ascii="Times New Roman" w:hAnsi="Times New Roman" w:cs="Times New Roman"/>
          <w:sz w:val="24"/>
          <w:szCs w:val="24"/>
        </w:rPr>
        <w:t xml:space="preserve"> </w:t>
      </w:r>
      <w:r w:rsidR="00BF5CCB">
        <w:rPr>
          <w:rFonts w:ascii="Times New Roman" w:hAnsi="Times New Roman" w:cs="Times New Roman"/>
          <w:sz w:val="24"/>
          <w:szCs w:val="24"/>
        </w:rPr>
        <w:t>case, the burden shifts to the Judgment C</w:t>
      </w:r>
      <w:r>
        <w:rPr>
          <w:rFonts w:ascii="Times New Roman" w:hAnsi="Times New Roman" w:cs="Times New Roman"/>
          <w:sz w:val="24"/>
          <w:szCs w:val="24"/>
        </w:rPr>
        <w:t xml:space="preserve">reditor to rebut the </w:t>
      </w:r>
      <w:r w:rsidRPr="00E1383A">
        <w:rPr>
          <w:rFonts w:ascii="Times New Roman" w:hAnsi="Times New Roman" w:cs="Times New Roman"/>
          <w:i/>
          <w:sz w:val="24"/>
          <w:szCs w:val="24"/>
        </w:rPr>
        <w:t xml:space="preserve">prima </w:t>
      </w:r>
      <w:r w:rsidRPr="00E1383A">
        <w:rPr>
          <w:rFonts w:ascii="Times New Roman" w:hAnsi="Times New Roman" w:cs="Times New Roman"/>
          <w:i/>
          <w:sz w:val="24"/>
          <w:szCs w:val="24"/>
        </w:rPr>
        <w:lastRenderedPageBreak/>
        <w:t xml:space="preserve">facie </w:t>
      </w:r>
      <w:r>
        <w:rPr>
          <w:rFonts w:ascii="Times New Roman" w:hAnsi="Times New Roman" w:cs="Times New Roman"/>
          <w:sz w:val="24"/>
          <w:szCs w:val="24"/>
        </w:rPr>
        <w:t xml:space="preserve">evidence produced by the claimant.  There is a long list of cases supporting this position in our jurisdiction.  See </w:t>
      </w:r>
      <w:proofErr w:type="spellStart"/>
      <w:r w:rsidRPr="00E1383A">
        <w:rPr>
          <w:rFonts w:ascii="Times New Roman" w:hAnsi="Times New Roman" w:cs="Times New Roman"/>
          <w:i/>
          <w:sz w:val="24"/>
          <w:szCs w:val="24"/>
        </w:rPr>
        <w:t>Sabarauta</w:t>
      </w:r>
      <w:proofErr w:type="spellEnd"/>
      <w:r w:rsidRPr="00E1383A">
        <w:rPr>
          <w:rFonts w:ascii="Times New Roman" w:hAnsi="Times New Roman" w:cs="Times New Roman"/>
          <w:i/>
          <w:sz w:val="24"/>
          <w:szCs w:val="24"/>
        </w:rPr>
        <w:t xml:space="preserve"> </w:t>
      </w:r>
      <w:r w:rsidRPr="00E1383A">
        <w:rPr>
          <w:rFonts w:ascii="Times New Roman" w:hAnsi="Times New Roman" w:cs="Times New Roman"/>
          <w:sz w:val="24"/>
          <w:szCs w:val="24"/>
        </w:rPr>
        <w:t>v</w:t>
      </w:r>
      <w:r w:rsidRPr="00E1383A">
        <w:rPr>
          <w:rFonts w:ascii="Times New Roman" w:hAnsi="Times New Roman" w:cs="Times New Roman"/>
          <w:i/>
          <w:sz w:val="24"/>
          <w:szCs w:val="24"/>
        </w:rPr>
        <w:t xml:space="preserve"> Local Authorities Pension Fund &amp; The Sheriff</w:t>
      </w:r>
      <w:r>
        <w:rPr>
          <w:rFonts w:ascii="Times New Roman" w:hAnsi="Times New Roman" w:cs="Times New Roman"/>
          <w:sz w:val="24"/>
          <w:szCs w:val="24"/>
        </w:rPr>
        <w:t xml:space="preserve"> SC 77-17; </w:t>
      </w:r>
      <w:r w:rsidRPr="00E1383A">
        <w:rPr>
          <w:rFonts w:ascii="Times New Roman" w:hAnsi="Times New Roman" w:cs="Times New Roman"/>
          <w:i/>
          <w:sz w:val="24"/>
          <w:szCs w:val="24"/>
        </w:rPr>
        <w:t>The Sheriff of Zimbabwe &amp; Anor</w:t>
      </w:r>
      <w:r>
        <w:rPr>
          <w:rFonts w:ascii="Times New Roman" w:hAnsi="Times New Roman" w:cs="Times New Roman"/>
          <w:sz w:val="24"/>
          <w:szCs w:val="24"/>
        </w:rPr>
        <w:t xml:space="preserve"> v </w:t>
      </w:r>
      <w:proofErr w:type="spellStart"/>
      <w:r w:rsidRPr="00E1383A">
        <w:rPr>
          <w:rFonts w:ascii="Times New Roman" w:hAnsi="Times New Roman" w:cs="Times New Roman"/>
          <w:i/>
          <w:sz w:val="24"/>
          <w:szCs w:val="24"/>
        </w:rPr>
        <w:t>Manja</w:t>
      </w:r>
      <w:proofErr w:type="spellEnd"/>
      <w:r w:rsidRPr="00E1383A">
        <w:rPr>
          <w:rFonts w:ascii="Times New Roman" w:hAnsi="Times New Roman" w:cs="Times New Roman"/>
          <w:i/>
          <w:sz w:val="24"/>
          <w:szCs w:val="24"/>
        </w:rPr>
        <w:t xml:space="preserve"> &amp; 98 </w:t>
      </w:r>
      <w:proofErr w:type="spellStart"/>
      <w:r w:rsidRPr="00E1383A">
        <w:rPr>
          <w:rFonts w:ascii="Times New Roman" w:hAnsi="Times New Roman" w:cs="Times New Roman"/>
          <w:i/>
          <w:sz w:val="24"/>
          <w:szCs w:val="24"/>
        </w:rPr>
        <w:t>Ors</w:t>
      </w:r>
      <w:proofErr w:type="spellEnd"/>
      <w:r>
        <w:rPr>
          <w:rFonts w:ascii="Times New Roman" w:hAnsi="Times New Roman" w:cs="Times New Roman"/>
          <w:sz w:val="24"/>
          <w:szCs w:val="24"/>
        </w:rPr>
        <w:t xml:space="preserve"> HH 351-29, </w:t>
      </w:r>
      <w:r w:rsidRPr="00E1383A">
        <w:rPr>
          <w:rFonts w:ascii="Times New Roman" w:hAnsi="Times New Roman" w:cs="Times New Roman"/>
          <w:i/>
          <w:sz w:val="24"/>
          <w:szCs w:val="24"/>
        </w:rPr>
        <w:t>Sheriff For Zimbabwe</w:t>
      </w:r>
      <w:r>
        <w:rPr>
          <w:rFonts w:ascii="Times New Roman" w:hAnsi="Times New Roman" w:cs="Times New Roman"/>
          <w:sz w:val="24"/>
          <w:szCs w:val="24"/>
        </w:rPr>
        <w:t xml:space="preserve"> v </w:t>
      </w:r>
      <w:proofErr w:type="spellStart"/>
      <w:r w:rsidRPr="00E1383A">
        <w:rPr>
          <w:rFonts w:ascii="Times New Roman" w:hAnsi="Times New Roman" w:cs="Times New Roman"/>
          <w:i/>
          <w:sz w:val="24"/>
          <w:szCs w:val="24"/>
        </w:rPr>
        <w:t>Mahachi</w:t>
      </w:r>
      <w:proofErr w:type="spellEnd"/>
      <w:r w:rsidRPr="00E1383A">
        <w:rPr>
          <w:rFonts w:ascii="Times New Roman" w:hAnsi="Times New Roman" w:cs="Times New Roman"/>
          <w:i/>
          <w:sz w:val="24"/>
          <w:szCs w:val="24"/>
        </w:rPr>
        <w:t xml:space="preserve"> &amp; </w:t>
      </w:r>
      <w:proofErr w:type="spellStart"/>
      <w:r w:rsidRPr="00E1383A">
        <w:rPr>
          <w:rFonts w:ascii="Times New Roman" w:hAnsi="Times New Roman" w:cs="Times New Roman"/>
          <w:i/>
          <w:sz w:val="24"/>
          <w:szCs w:val="24"/>
        </w:rPr>
        <w:t>Leomarch</w:t>
      </w:r>
      <w:proofErr w:type="spellEnd"/>
      <w:r w:rsidRPr="00E1383A">
        <w:rPr>
          <w:rFonts w:ascii="Times New Roman" w:hAnsi="Times New Roman" w:cs="Times New Roman"/>
          <w:i/>
          <w:sz w:val="24"/>
          <w:szCs w:val="24"/>
        </w:rPr>
        <w:t xml:space="preserve"> Engineering</w:t>
      </w:r>
      <w:r>
        <w:rPr>
          <w:rFonts w:ascii="Times New Roman" w:hAnsi="Times New Roman" w:cs="Times New Roman"/>
          <w:sz w:val="24"/>
          <w:szCs w:val="24"/>
        </w:rPr>
        <w:t xml:space="preserve"> HMA 34-18, </w:t>
      </w:r>
      <w:r w:rsidRPr="00E1383A">
        <w:rPr>
          <w:rFonts w:ascii="Times New Roman" w:hAnsi="Times New Roman" w:cs="Times New Roman"/>
          <w:i/>
          <w:sz w:val="24"/>
          <w:szCs w:val="24"/>
        </w:rPr>
        <w:t>Smit Investments Holdings SA (Proprietary)</w:t>
      </w:r>
      <w:r>
        <w:rPr>
          <w:rFonts w:ascii="Times New Roman" w:hAnsi="Times New Roman" w:cs="Times New Roman"/>
          <w:sz w:val="24"/>
          <w:szCs w:val="24"/>
        </w:rPr>
        <w:t xml:space="preserve"> </w:t>
      </w:r>
      <w:r w:rsidRPr="00E1383A">
        <w:rPr>
          <w:rFonts w:ascii="Times New Roman" w:hAnsi="Times New Roman" w:cs="Times New Roman"/>
          <w:i/>
          <w:sz w:val="24"/>
          <w:szCs w:val="24"/>
        </w:rPr>
        <w:t xml:space="preserve">Ltd </w:t>
      </w:r>
      <w:r>
        <w:rPr>
          <w:rFonts w:ascii="Times New Roman" w:hAnsi="Times New Roman" w:cs="Times New Roman"/>
          <w:sz w:val="24"/>
          <w:szCs w:val="24"/>
        </w:rPr>
        <w:t xml:space="preserve">v </w:t>
      </w:r>
      <w:r w:rsidRPr="00E1383A">
        <w:rPr>
          <w:rFonts w:ascii="Times New Roman" w:hAnsi="Times New Roman" w:cs="Times New Roman"/>
          <w:i/>
          <w:sz w:val="24"/>
          <w:szCs w:val="24"/>
        </w:rPr>
        <w:t>Sheriff of Zimbabwe &amp; Anor</w:t>
      </w:r>
      <w:r>
        <w:rPr>
          <w:rFonts w:ascii="Times New Roman" w:hAnsi="Times New Roman" w:cs="Times New Roman"/>
          <w:sz w:val="24"/>
          <w:szCs w:val="24"/>
        </w:rPr>
        <w:t xml:space="preserve"> SC 33-18.</w:t>
      </w:r>
    </w:p>
    <w:p w:rsidR="00350272" w:rsidRDefault="00350272"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Claimant submitted that once its property that was in possession of the judgment debtor was attached by the claimant, it immediately requested that the property be released to it as it was the legal owner thereof.  Further attempts to have the property released were rebuffed by</w:t>
      </w:r>
      <w:r w:rsidR="00BF5CCB">
        <w:rPr>
          <w:rFonts w:ascii="Times New Roman" w:hAnsi="Times New Roman" w:cs="Times New Roman"/>
          <w:sz w:val="24"/>
          <w:szCs w:val="24"/>
        </w:rPr>
        <w:t xml:space="preserve"> the judgment creditor and its legal p</w:t>
      </w:r>
      <w:r>
        <w:rPr>
          <w:rFonts w:ascii="Times New Roman" w:hAnsi="Times New Roman" w:cs="Times New Roman"/>
          <w:sz w:val="24"/>
          <w:szCs w:val="24"/>
        </w:rPr>
        <w:t>ractitioners.</w:t>
      </w:r>
    </w:p>
    <w:p w:rsidR="00350272" w:rsidRDefault="00350272"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prove its ownership, claimant attached the following documents;</w:t>
      </w:r>
    </w:p>
    <w:p w:rsidR="00350272" w:rsidRDefault="00350272"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Equipment and Plant Rental Agreement dated 11 May 2015 between it and the </w:t>
      </w:r>
      <w:r>
        <w:rPr>
          <w:rFonts w:ascii="Times New Roman" w:hAnsi="Times New Roman" w:cs="Times New Roman"/>
          <w:sz w:val="24"/>
          <w:szCs w:val="24"/>
        </w:rPr>
        <w:tab/>
      </w:r>
      <w:r>
        <w:rPr>
          <w:rFonts w:ascii="Times New Roman" w:hAnsi="Times New Roman" w:cs="Times New Roman"/>
          <w:sz w:val="24"/>
          <w:szCs w:val="24"/>
        </w:rPr>
        <w:tab/>
        <w:t>judgment debtor.</w:t>
      </w:r>
      <w:r w:rsidR="00A83807">
        <w:rPr>
          <w:rFonts w:ascii="Times New Roman" w:hAnsi="Times New Roman" w:cs="Times New Roman"/>
          <w:sz w:val="24"/>
          <w:szCs w:val="24"/>
        </w:rPr>
        <w:t xml:space="preserve"> </w:t>
      </w:r>
    </w:p>
    <w:p w:rsidR="00350272" w:rsidRDefault="00350272"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Invoice No. 101 dated 6 May 2015.</w:t>
      </w:r>
    </w:p>
    <w:p w:rsidR="00350272" w:rsidRDefault="00350272"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Invoice No. 102 dated 8 May 2015.</w:t>
      </w:r>
    </w:p>
    <w:p w:rsidR="00350272" w:rsidRDefault="00350272"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Invoice No. 103 dated 10 May 2015</w:t>
      </w:r>
      <w:r w:rsidR="00251B61">
        <w:rPr>
          <w:rFonts w:ascii="Times New Roman" w:hAnsi="Times New Roman" w:cs="Times New Roman"/>
          <w:sz w:val="24"/>
          <w:szCs w:val="24"/>
        </w:rPr>
        <w:t>.</w:t>
      </w:r>
    </w:p>
    <w:p w:rsidR="00A83807" w:rsidRDefault="00350272" w:rsidP="00077D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Equipment Rental Agreements dated 30 June 2015 between the claimant and the judgment debtor.</w:t>
      </w:r>
      <w:r w:rsidR="00D72E4C">
        <w:rPr>
          <w:rFonts w:ascii="Times New Roman" w:hAnsi="Times New Roman" w:cs="Times New Roman"/>
          <w:sz w:val="24"/>
          <w:szCs w:val="24"/>
        </w:rPr>
        <w:t xml:space="preserve"> </w:t>
      </w:r>
    </w:p>
    <w:p w:rsidR="00350272" w:rsidRDefault="00350272" w:rsidP="00077D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Plant and Rental Agreement dated 3 February 2017 between the claimant and the judgment debtor.</w:t>
      </w:r>
    </w:p>
    <w:p w:rsidR="00350272" w:rsidRDefault="00251B61" w:rsidP="00077D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Temporary Import P</w:t>
      </w:r>
      <w:r w:rsidR="00350272">
        <w:rPr>
          <w:rFonts w:ascii="Times New Roman" w:hAnsi="Times New Roman" w:cs="Times New Roman"/>
          <w:sz w:val="24"/>
          <w:szCs w:val="24"/>
        </w:rPr>
        <w:t>ermit dated 15 May 2015.</w:t>
      </w:r>
    </w:p>
    <w:p w:rsidR="00350272" w:rsidRDefault="00350272" w:rsidP="00077D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Temporary Import Permit dated 3 July 2015.</w:t>
      </w:r>
    </w:p>
    <w:p w:rsidR="00350272" w:rsidRDefault="00350272" w:rsidP="00077D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Temporary Import Permit dated 8 February 2017.</w:t>
      </w:r>
    </w:p>
    <w:p w:rsidR="00350272" w:rsidRDefault="00350272"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claimant contended that </w:t>
      </w:r>
      <w:r w:rsidR="005D6124">
        <w:rPr>
          <w:rFonts w:ascii="Times New Roman" w:hAnsi="Times New Roman" w:cs="Times New Roman"/>
          <w:sz w:val="24"/>
          <w:szCs w:val="24"/>
        </w:rPr>
        <w:t>the documentary evidence produced shows that</w:t>
      </w:r>
      <w:r w:rsidR="00251B61">
        <w:rPr>
          <w:rFonts w:ascii="Times New Roman" w:hAnsi="Times New Roman" w:cs="Times New Roman"/>
          <w:sz w:val="24"/>
          <w:szCs w:val="24"/>
        </w:rPr>
        <w:t xml:space="preserve"> the rental agreements and the Temporary Import P</w:t>
      </w:r>
      <w:r w:rsidR="005D6124">
        <w:rPr>
          <w:rFonts w:ascii="Times New Roman" w:hAnsi="Times New Roman" w:cs="Times New Roman"/>
          <w:sz w:val="24"/>
          <w:szCs w:val="24"/>
        </w:rPr>
        <w:t>ermits came into existence before the goods were attached.  Finally, claimant submitted that it had discharged the onus cast on it to prove that the goods are its own.</w:t>
      </w:r>
    </w:p>
    <w:p w:rsidR="005D6124" w:rsidRDefault="005D6124"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judgment creditor’s opposition to the claimant’s claim is anchored on the following grounds;</w:t>
      </w:r>
    </w:p>
    <w:p w:rsidR="005D6124" w:rsidRDefault="005D6124" w:rsidP="00077D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claimant is not the owner of the goods because the Equipment Lease Agreement had long expired by the time that the goods in question were attached by the applicant.  Therefore, the legal basis of the judgment debtor’s possession of the goods concerned remains unexplained.</w:t>
      </w:r>
    </w:p>
    <w:p w:rsidR="005D6124" w:rsidRDefault="005D6124" w:rsidP="00077D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Although the claimant’s alleged that the goods in question are in the country on the basis of a Temporary Import Permit no such valid Temporary Import Permit ha</w:t>
      </w:r>
      <w:r w:rsidR="00BF5CCB">
        <w:rPr>
          <w:rFonts w:ascii="Times New Roman" w:hAnsi="Times New Roman" w:cs="Times New Roman"/>
          <w:sz w:val="24"/>
          <w:szCs w:val="24"/>
        </w:rPr>
        <w:t>s been produced by the Claimant</w:t>
      </w:r>
      <w:r>
        <w:rPr>
          <w:rFonts w:ascii="Times New Roman" w:hAnsi="Times New Roman" w:cs="Times New Roman"/>
          <w:sz w:val="24"/>
          <w:szCs w:val="24"/>
        </w:rPr>
        <w:t>.</w:t>
      </w:r>
    </w:p>
    <w:p w:rsidR="005D6124" w:rsidRDefault="005D6124" w:rsidP="00077D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judgment debtor is now the owner after exercising the option to purchase the</w:t>
      </w:r>
      <w:r w:rsidR="00251B61">
        <w:rPr>
          <w:rFonts w:ascii="Times New Roman" w:hAnsi="Times New Roman" w:cs="Times New Roman"/>
          <w:sz w:val="24"/>
          <w:szCs w:val="24"/>
        </w:rPr>
        <w:t xml:space="preserve"> goods in terms of the expired Equipment Lease A</w:t>
      </w:r>
      <w:r>
        <w:rPr>
          <w:rFonts w:ascii="Times New Roman" w:hAnsi="Times New Roman" w:cs="Times New Roman"/>
          <w:sz w:val="24"/>
          <w:szCs w:val="24"/>
        </w:rPr>
        <w:t>greement.</w:t>
      </w:r>
    </w:p>
    <w:p w:rsidR="005D6124" w:rsidRDefault="005D6124" w:rsidP="00077D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There is no documentary support for the allegation that the goods in question are temporarily in the country as alleged.</w:t>
      </w:r>
    </w:p>
    <w:p w:rsidR="005D6124" w:rsidRDefault="005D6124" w:rsidP="00077D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documents produced by the claimant to prove its ownership of the property that was attached are not authentic or genuine.</w:t>
      </w:r>
    </w:p>
    <w:p w:rsidR="005D6124" w:rsidRDefault="005D6124" w:rsidP="00077D5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claimant is colluding with the judgment debtor to defeat the execution process.</w:t>
      </w:r>
    </w:p>
    <w:p w:rsidR="005D6124" w:rsidRDefault="005D6124"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the judgment creditor prayed for the dismissal of the claimant’s claim with costs.</w:t>
      </w:r>
    </w:p>
    <w:p w:rsidR="005D6124" w:rsidRPr="00251B61" w:rsidRDefault="005D6124" w:rsidP="00077D57">
      <w:pPr>
        <w:spacing w:line="360" w:lineRule="auto"/>
        <w:ind w:firstLine="720"/>
        <w:jc w:val="both"/>
        <w:rPr>
          <w:rFonts w:ascii="Times New Roman" w:hAnsi="Times New Roman" w:cs="Times New Roman"/>
          <w:b/>
          <w:sz w:val="24"/>
          <w:szCs w:val="24"/>
        </w:rPr>
      </w:pPr>
      <w:r w:rsidRPr="00251B61">
        <w:rPr>
          <w:rFonts w:ascii="Times New Roman" w:hAnsi="Times New Roman" w:cs="Times New Roman"/>
          <w:b/>
          <w:sz w:val="24"/>
          <w:szCs w:val="24"/>
        </w:rPr>
        <w:t>THE LAW</w:t>
      </w:r>
    </w:p>
    <w:p w:rsidR="005D6124" w:rsidRDefault="005D6124"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interpleader proceedings, the claimant bears the burden of having to set out the facts and evidence which constitute proof of ownership of the contested property</w:t>
      </w:r>
      <w:r w:rsidR="0073166F">
        <w:rPr>
          <w:rFonts w:ascii="Times New Roman" w:hAnsi="Times New Roman" w:cs="Times New Roman"/>
          <w:sz w:val="24"/>
          <w:szCs w:val="24"/>
        </w:rPr>
        <w:t xml:space="preserve">.  See </w:t>
      </w:r>
      <w:r w:rsidR="0073166F" w:rsidRPr="00251B61">
        <w:rPr>
          <w:rFonts w:ascii="Times New Roman" w:hAnsi="Times New Roman" w:cs="Times New Roman"/>
          <w:i/>
          <w:sz w:val="24"/>
          <w:szCs w:val="24"/>
        </w:rPr>
        <w:t>Phillips N.O</w:t>
      </w:r>
      <w:r w:rsidR="0073166F">
        <w:rPr>
          <w:rFonts w:ascii="Times New Roman" w:hAnsi="Times New Roman" w:cs="Times New Roman"/>
          <w:sz w:val="24"/>
          <w:szCs w:val="24"/>
        </w:rPr>
        <w:t xml:space="preserve">. v </w:t>
      </w:r>
      <w:r w:rsidR="0073166F" w:rsidRPr="00251B61">
        <w:rPr>
          <w:rFonts w:ascii="Times New Roman" w:hAnsi="Times New Roman" w:cs="Times New Roman"/>
          <w:i/>
          <w:sz w:val="24"/>
          <w:szCs w:val="24"/>
        </w:rPr>
        <w:t>National Foods Ltd &amp; Anor</w:t>
      </w:r>
      <w:r w:rsidR="0073166F">
        <w:rPr>
          <w:rFonts w:ascii="Times New Roman" w:hAnsi="Times New Roman" w:cs="Times New Roman"/>
          <w:sz w:val="24"/>
          <w:szCs w:val="24"/>
        </w:rPr>
        <w:t xml:space="preserve"> 1996(2) ZLR 532, and </w:t>
      </w:r>
      <w:r w:rsidR="0073166F" w:rsidRPr="00251B61">
        <w:rPr>
          <w:rFonts w:ascii="Times New Roman" w:hAnsi="Times New Roman" w:cs="Times New Roman"/>
          <w:i/>
          <w:sz w:val="24"/>
          <w:szCs w:val="24"/>
        </w:rPr>
        <w:t>Bruce N.O</w:t>
      </w:r>
      <w:r w:rsidR="0073166F">
        <w:rPr>
          <w:rFonts w:ascii="Times New Roman" w:hAnsi="Times New Roman" w:cs="Times New Roman"/>
          <w:sz w:val="24"/>
          <w:szCs w:val="24"/>
        </w:rPr>
        <w:t xml:space="preserve"> v </w:t>
      </w:r>
      <w:r w:rsidR="0073166F" w:rsidRPr="00251B61">
        <w:rPr>
          <w:rFonts w:ascii="Times New Roman" w:hAnsi="Times New Roman" w:cs="Times New Roman"/>
          <w:i/>
          <w:sz w:val="24"/>
          <w:szCs w:val="24"/>
        </w:rPr>
        <w:t>Josiah Parkes &amp; Sons</w:t>
      </w:r>
      <w:r w:rsidR="0073166F">
        <w:rPr>
          <w:rFonts w:ascii="Times New Roman" w:hAnsi="Times New Roman" w:cs="Times New Roman"/>
          <w:sz w:val="24"/>
          <w:szCs w:val="24"/>
        </w:rPr>
        <w:t xml:space="preserve"> </w:t>
      </w:r>
      <w:r w:rsidR="0073166F" w:rsidRPr="00251B61">
        <w:rPr>
          <w:rFonts w:ascii="Times New Roman" w:hAnsi="Times New Roman" w:cs="Times New Roman"/>
          <w:i/>
          <w:sz w:val="24"/>
          <w:szCs w:val="24"/>
        </w:rPr>
        <w:t>(Rhodesia) (Pvt) Ltd &amp; Anor</w:t>
      </w:r>
      <w:r w:rsidR="0073166F">
        <w:rPr>
          <w:rFonts w:ascii="Times New Roman" w:hAnsi="Times New Roman" w:cs="Times New Roman"/>
          <w:sz w:val="24"/>
          <w:szCs w:val="24"/>
        </w:rPr>
        <w:t xml:space="preserve"> 1971 (1) RLR 154.</w:t>
      </w:r>
    </w:p>
    <w:p w:rsidR="0073166F" w:rsidRDefault="0073166F"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the standard of proof required to establish the claimant’s ownership is proof on a balance of probabilities – See </w:t>
      </w:r>
      <w:r w:rsidRPr="00251B61">
        <w:rPr>
          <w:rFonts w:ascii="Times New Roman" w:hAnsi="Times New Roman" w:cs="Times New Roman"/>
          <w:i/>
          <w:sz w:val="24"/>
          <w:szCs w:val="24"/>
        </w:rPr>
        <w:t>Deputy Sheriff, Harare</w:t>
      </w:r>
      <w:r>
        <w:rPr>
          <w:rFonts w:ascii="Times New Roman" w:hAnsi="Times New Roman" w:cs="Times New Roman"/>
          <w:sz w:val="24"/>
          <w:szCs w:val="24"/>
        </w:rPr>
        <w:t xml:space="preserve"> v </w:t>
      </w:r>
      <w:r w:rsidRPr="00251B61">
        <w:rPr>
          <w:rFonts w:ascii="Times New Roman" w:hAnsi="Times New Roman" w:cs="Times New Roman"/>
          <w:i/>
          <w:sz w:val="24"/>
          <w:szCs w:val="24"/>
        </w:rPr>
        <w:t xml:space="preserve">David </w:t>
      </w:r>
      <w:proofErr w:type="spellStart"/>
      <w:r w:rsidRPr="00251B61">
        <w:rPr>
          <w:rFonts w:ascii="Times New Roman" w:hAnsi="Times New Roman" w:cs="Times New Roman"/>
          <w:i/>
          <w:sz w:val="24"/>
          <w:szCs w:val="24"/>
        </w:rPr>
        <w:t>Moyo</w:t>
      </w:r>
      <w:proofErr w:type="spellEnd"/>
      <w:r>
        <w:rPr>
          <w:rFonts w:ascii="Times New Roman" w:hAnsi="Times New Roman" w:cs="Times New Roman"/>
          <w:sz w:val="24"/>
          <w:szCs w:val="24"/>
        </w:rPr>
        <w:t xml:space="preserve"> HH 640-15.</w:t>
      </w:r>
    </w:p>
    <w:p w:rsidR="0073166F" w:rsidRDefault="0073166F"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obligations with respect to the discharge of the evidential burden in such applications were discussed in </w:t>
      </w:r>
      <w:r w:rsidRPr="00251B61">
        <w:rPr>
          <w:rFonts w:ascii="Times New Roman" w:hAnsi="Times New Roman" w:cs="Times New Roman"/>
          <w:i/>
          <w:sz w:val="24"/>
          <w:szCs w:val="24"/>
        </w:rPr>
        <w:t>The Sheriff of Zimbabwe &amp; Anor</w:t>
      </w:r>
      <w:r>
        <w:rPr>
          <w:rFonts w:ascii="Times New Roman" w:hAnsi="Times New Roman" w:cs="Times New Roman"/>
          <w:sz w:val="24"/>
          <w:szCs w:val="24"/>
        </w:rPr>
        <w:t xml:space="preserve"> v </w:t>
      </w:r>
      <w:proofErr w:type="spellStart"/>
      <w:r w:rsidRPr="00251B61">
        <w:rPr>
          <w:rFonts w:ascii="Times New Roman" w:hAnsi="Times New Roman" w:cs="Times New Roman"/>
          <w:i/>
          <w:sz w:val="24"/>
          <w:szCs w:val="24"/>
        </w:rPr>
        <w:t>Manja</w:t>
      </w:r>
      <w:proofErr w:type="spellEnd"/>
      <w:r w:rsidRPr="00251B61">
        <w:rPr>
          <w:rFonts w:ascii="Times New Roman" w:hAnsi="Times New Roman" w:cs="Times New Roman"/>
          <w:i/>
          <w:sz w:val="24"/>
          <w:szCs w:val="24"/>
        </w:rPr>
        <w:t xml:space="preserve"> &amp; 98 </w:t>
      </w:r>
      <w:proofErr w:type="spellStart"/>
      <w:r w:rsidRPr="00251B61">
        <w:rPr>
          <w:rFonts w:ascii="Times New Roman" w:hAnsi="Times New Roman" w:cs="Times New Roman"/>
          <w:i/>
          <w:sz w:val="24"/>
          <w:szCs w:val="24"/>
        </w:rPr>
        <w:t>Ors</w:t>
      </w:r>
      <w:proofErr w:type="spellEnd"/>
      <w:r>
        <w:rPr>
          <w:rFonts w:ascii="Times New Roman" w:hAnsi="Times New Roman" w:cs="Times New Roman"/>
          <w:sz w:val="24"/>
          <w:szCs w:val="24"/>
        </w:rPr>
        <w:t xml:space="preserve"> (HH 351-</w:t>
      </w:r>
      <w:r>
        <w:rPr>
          <w:rFonts w:ascii="Times New Roman" w:hAnsi="Times New Roman" w:cs="Times New Roman"/>
          <w:sz w:val="24"/>
          <w:szCs w:val="24"/>
        </w:rPr>
        <w:lastRenderedPageBreak/>
        <w:t xml:space="preserve">20) and </w:t>
      </w:r>
      <w:r w:rsidRPr="00251B61">
        <w:rPr>
          <w:rFonts w:ascii="Times New Roman" w:hAnsi="Times New Roman" w:cs="Times New Roman"/>
          <w:i/>
          <w:sz w:val="24"/>
          <w:szCs w:val="24"/>
        </w:rPr>
        <w:t>Smit Investments Holdings SA (Proprietary) Ltd</w:t>
      </w:r>
      <w:r>
        <w:rPr>
          <w:rFonts w:ascii="Times New Roman" w:hAnsi="Times New Roman" w:cs="Times New Roman"/>
          <w:sz w:val="24"/>
          <w:szCs w:val="24"/>
        </w:rPr>
        <w:t xml:space="preserve"> v </w:t>
      </w:r>
      <w:r w:rsidRPr="00251B61">
        <w:rPr>
          <w:rFonts w:ascii="Times New Roman" w:hAnsi="Times New Roman" w:cs="Times New Roman"/>
          <w:i/>
          <w:sz w:val="24"/>
          <w:szCs w:val="24"/>
        </w:rPr>
        <w:t>Sheriff of Zimbabwe &amp; Anor</w:t>
      </w:r>
      <w:r>
        <w:rPr>
          <w:rFonts w:ascii="Times New Roman" w:hAnsi="Times New Roman" w:cs="Times New Roman"/>
          <w:sz w:val="24"/>
          <w:szCs w:val="24"/>
        </w:rPr>
        <w:t xml:space="preserve"> SC 33-18.</w:t>
      </w:r>
    </w:p>
    <w:p w:rsidR="0073166F" w:rsidRDefault="0073166F"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251B61">
        <w:rPr>
          <w:rFonts w:ascii="Times New Roman" w:hAnsi="Times New Roman" w:cs="Times New Roman"/>
          <w:i/>
          <w:sz w:val="24"/>
          <w:szCs w:val="24"/>
        </w:rPr>
        <w:t>Sheriff of Zimbabwe</w:t>
      </w:r>
      <w:r>
        <w:rPr>
          <w:rFonts w:ascii="Times New Roman" w:hAnsi="Times New Roman" w:cs="Times New Roman"/>
          <w:sz w:val="24"/>
          <w:szCs w:val="24"/>
        </w:rPr>
        <w:t xml:space="preserve"> v </w:t>
      </w:r>
      <w:proofErr w:type="spellStart"/>
      <w:r w:rsidRPr="00251B61">
        <w:rPr>
          <w:rFonts w:ascii="Times New Roman" w:hAnsi="Times New Roman" w:cs="Times New Roman"/>
          <w:i/>
          <w:sz w:val="24"/>
          <w:szCs w:val="24"/>
        </w:rPr>
        <w:t>Mahachi</w:t>
      </w:r>
      <w:proofErr w:type="spellEnd"/>
      <w:r w:rsidRPr="00251B61">
        <w:rPr>
          <w:rFonts w:ascii="Times New Roman" w:hAnsi="Times New Roman" w:cs="Times New Roman"/>
          <w:i/>
          <w:sz w:val="24"/>
          <w:szCs w:val="24"/>
        </w:rPr>
        <w:t xml:space="preserve"> and </w:t>
      </w:r>
      <w:proofErr w:type="spellStart"/>
      <w:r w:rsidRPr="00251B61">
        <w:rPr>
          <w:rFonts w:ascii="Times New Roman" w:hAnsi="Times New Roman" w:cs="Times New Roman"/>
          <w:i/>
          <w:sz w:val="24"/>
          <w:szCs w:val="24"/>
        </w:rPr>
        <w:t>Leomarch</w:t>
      </w:r>
      <w:proofErr w:type="spellEnd"/>
      <w:r w:rsidRPr="00251B61">
        <w:rPr>
          <w:rFonts w:ascii="Times New Roman" w:hAnsi="Times New Roman" w:cs="Times New Roman"/>
          <w:i/>
          <w:sz w:val="24"/>
          <w:szCs w:val="24"/>
        </w:rPr>
        <w:t xml:space="preserve"> Engineering</w:t>
      </w:r>
      <w:r>
        <w:rPr>
          <w:rFonts w:ascii="Times New Roman" w:hAnsi="Times New Roman" w:cs="Times New Roman"/>
          <w:sz w:val="24"/>
          <w:szCs w:val="24"/>
        </w:rPr>
        <w:t xml:space="preserve"> HMA 34-18 </w:t>
      </w:r>
      <w:r w:rsidR="00251B61">
        <w:rPr>
          <w:rFonts w:ascii="Times New Roman" w:hAnsi="Times New Roman" w:cs="Times New Roman"/>
          <w:sz w:val="24"/>
          <w:szCs w:val="24"/>
        </w:rPr>
        <w:t>M</w:t>
      </w:r>
      <w:r w:rsidR="00251B61" w:rsidRPr="00251B61">
        <w:rPr>
          <w:rFonts w:ascii="Times New Roman" w:hAnsi="Times New Roman" w:cs="Times New Roman"/>
          <w:sz w:val="20"/>
          <w:szCs w:val="20"/>
        </w:rPr>
        <w:t>AFUSIRE</w:t>
      </w:r>
      <w:r w:rsidRPr="00251B61">
        <w:rPr>
          <w:rFonts w:ascii="Times New Roman" w:hAnsi="Times New Roman" w:cs="Times New Roman"/>
          <w:sz w:val="20"/>
          <w:szCs w:val="20"/>
        </w:rPr>
        <w:t xml:space="preserve"> J</w:t>
      </w:r>
      <w:r>
        <w:rPr>
          <w:rFonts w:ascii="Times New Roman" w:hAnsi="Times New Roman" w:cs="Times New Roman"/>
          <w:sz w:val="24"/>
          <w:szCs w:val="24"/>
        </w:rPr>
        <w:t xml:space="preserve"> stated that;</w:t>
      </w:r>
    </w:p>
    <w:p w:rsidR="0073166F" w:rsidRDefault="0073166F" w:rsidP="0008332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“One common thread running through such cases and several others on the point is that there is a rebuttable presumption that where someone is found in possession of movable goods, they are presumed to be the owner of the property</w:t>
      </w:r>
      <w:r w:rsidR="00083325">
        <w:rPr>
          <w:rFonts w:ascii="Times New Roman" w:hAnsi="Times New Roman" w:cs="Times New Roman"/>
          <w:sz w:val="24"/>
          <w:szCs w:val="24"/>
        </w:rPr>
        <w:t>.  Where someone else other than</w:t>
      </w:r>
      <w:r>
        <w:rPr>
          <w:rFonts w:ascii="Times New Roman" w:hAnsi="Times New Roman" w:cs="Times New Roman"/>
          <w:sz w:val="24"/>
          <w:szCs w:val="24"/>
        </w:rPr>
        <w:t xml:space="preserve"> the possessor claims to be the owner of those goods, </w:t>
      </w:r>
      <w:r w:rsidRPr="00CC25EC">
        <w:rPr>
          <w:rFonts w:ascii="Times New Roman" w:hAnsi="Times New Roman" w:cs="Times New Roman"/>
          <w:sz w:val="24"/>
          <w:szCs w:val="24"/>
          <w:u w:val="single"/>
        </w:rPr>
        <w:t xml:space="preserve">they </w:t>
      </w:r>
      <w:r w:rsidR="00083325">
        <w:rPr>
          <w:rFonts w:ascii="Times New Roman" w:hAnsi="Times New Roman" w:cs="Times New Roman"/>
          <w:sz w:val="24"/>
          <w:szCs w:val="24"/>
          <w:u w:val="single"/>
        </w:rPr>
        <w:t xml:space="preserve">have </w:t>
      </w:r>
      <w:r w:rsidRPr="00CC25EC">
        <w:rPr>
          <w:rFonts w:ascii="Times New Roman" w:hAnsi="Times New Roman" w:cs="Times New Roman"/>
          <w:sz w:val="24"/>
          <w:szCs w:val="24"/>
          <w:u w:val="single"/>
        </w:rPr>
        <w:t>the onus to prove, on a balance of</w:t>
      </w:r>
      <w:r>
        <w:rPr>
          <w:rFonts w:ascii="Times New Roman" w:hAnsi="Times New Roman" w:cs="Times New Roman"/>
          <w:sz w:val="24"/>
          <w:szCs w:val="24"/>
        </w:rPr>
        <w:t xml:space="preserve"> </w:t>
      </w:r>
      <w:r w:rsidRPr="00CC25EC">
        <w:rPr>
          <w:rFonts w:ascii="Times New Roman" w:hAnsi="Times New Roman" w:cs="Times New Roman"/>
          <w:sz w:val="24"/>
          <w:szCs w:val="24"/>
          <w:u w:val="single"/>
        </w:rPr>
        <w:t>probabilities that they are the owner</w:t>
      </w:r>
      <w:r>
        <w:rPr>
          <w:rFonts w:ascii="Times New Roman" w:hAnsi="Times New Roman" w:cs="Times New Roman"/>
          <w:sz w:val="24"/>
          <w:szCs w:val="24"/>
        </w:rPr>
        <w:t xml:space="preserve">.  There are no hard and fast rules on how they may go about proving such ownership.  Every case depends on its own facts.  The </w:t>
      </w:r>
      <w:r w:rsidRPr="00CC25EC">
        <w:rPr>
          <w:rFonts w:ascii="Times New Roman" w:hAnsi="Times New Roman" w:cs="Times New Roman"/>
          <w:sz w:val="24"/>
          <w:szCs w:val="24"/>
          <w:u w:val="single"/>
        </w:rPr>
        <w:t xml:space="preserve">claimant may have to produce some evidence such as receipts or other documents if </w:t>
      </w:r>
      <w:r w:rsidR="00CC25EC" w:rsidRPr="00CC25EC">
        <w:rPr>
          <w:rFonts w:ascii="Times New Roman" w:hAnsi="Times New Roman" w:cs="Times New Roman"/>
          <w:sz w:val="24"/>
          <w:szCs w:val="24"/>
          <w:u w:val="single"/>
        </w:rPr>
        <w:t>available, to prove</w:t>
      </w:r>
      <w:r w:rsidR="00CC25EC">
        <w:rPr>
          <w:rFonts w:ascii="Times New Roman" w:hAnsi="Times New Roman" w:cs="Times New Roman"/>
          <w:sz w:val="24"/>
          <w:szCs w:val="24"/>
        </w:rPr>
        <w:t xml:space="preserve"> </w:t>
      </w:r>
      <w:r w:rsidR="00CC25EC" w:rsidRPr="00CC25EC">
        <w:rPr>
          <w:rFonts w:ascii="Times New Roman" w:hAnsi="Times New Roman" w:cs="Times New Roman"/>
          <w:sz w:val="24"/>
          <w:szCs w:val="24"/>
          <w:u w:val="single"/>
        </w:rPr>
        <w:t>ownership.  A bald assertion that they are the owner is not enough.”</w:t>
      </w:r>
      <w:r w:rsidR="00CC25EC">
        <w:rPr>
          <w:rFonts w:ascii="Times New Roman" w:hAnsi="Times New Roman" w:cs="Times New Roman"/>
          <w:sz w:val="24"/>
          <w:szCs w:val="24"/>
        </w:rPr>
        <w:t xml:space="preserve"> (</w:t>
      </w:r>
      <w:proofErr w:type="gramStart"/>
      <w:r w:rsidR="00CC25EC">
        <w:rPr>
          <w:rFonts w:ascii="Times New Roman" w:hAnsi="Times New Roman" w:cs="Times New Roman"/>
          <w:sz w:val="24"/>
          <w:szCs w:val="24"/>
        </w:rPr>
        <w:t>my</w:t>
      </w:r>
      <w:proofErr w:type="gramEnd"/>
      <w:r w:rsidR="00CC25EC">
        <w:rPr>
          <w:rFonts w:ascii="Times New Roman" w:hAnsi="Times New Roman" w:cs="Times New Roman"/>
          <w:sz w:val="24"/>
          <w:szCs w:val="24"/>
        </w:rPr>
        <w:t xml:space="preserve"> emphasis)</w:t>
      </w:r>
      <w:r>
        <w:rPr>
          <w:rFonts w:ascii="Times New Roman" w:hAnsi="Times New Roman" w:cs="Times New Roman"/>
          <w:sz w:val="24"/>
          <w:szCs w:val="24"/>
        </w:rPr>
        <w:t xml:space="preserve"> </w:t>
      </w:r>
    </w:p>
    <w:p w:rsidR="00CC25EC" w:rsidRDefault="00CC25EC"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fully associate myself with these views.  As regards a judgment creditor disputing the claimant’s claim, there is a duty to produce its own evidence to disprove the claimant’s </w:t>
      </w:r>
      <w:r w:rsidRPr="000E462F">
        <w:rPr>
          <w:rFonts w:ascii="Times New Roman" w:hAnsi="Times New Roman" w:cs="Times New Roman"/>
          <w:i/>
          <w:sz w:val="24"/>
          <w:szCs w:val="24"/>
        </w:rPr>
        <w:t xml:space="preserve">prima facie </w:t>
      </w:r>
      <w:r>
        <w:rPr>
          <w:rFonts w:ascii="Times New Roman" w:hAnsi="Times New Roman" w:cs="Times New Roman"/>
          <w:sz w:val="24"/>
          <w:szCs w:val="24"/>
        </w:rPr>
        <w:t>evidence of ownership of the attached property.  The judgment creditor cannot succeed in this regard by making unsubstantiated assertions in its opposing affidavit or through</w:t>
      </w:r>
      <w:r w:rsidR="000E462F">
        <w:rPr>
          <w:rFonts w:ascii="Times New Roman" w:hAnsi="Times New Roman" w:cs="Times New Roman"/>
          <w:sz w:val="24"/>
          <w:szCs w:val="24"/>
        </w:rPr>
        <w:t xml:space="preserve"> composing h</w:t>
      </w:r>
      <w:r>
        <w:rPr>
          <w:rFonts w:ascii="Times New Roman" w:hAnsi="Times New Roman" w:cs="Times New Roman"/>
          <w:sz w:val="24"/>
          <w:szCs w:val="24"/>
        </w:rPr>
        <w:t>eads of argument based on the bare assertions in the opposing affidavit.</w:t>
      </w:r>
    </w:p>
    <w:p w:rsidR="00CC25EC" w:rsidRDefault="00CC25EC"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position was re-emphasised by C</w:t>
      </w:r>
      <w:r w:rsidRPr="00A124C3">
        <w:rPr>
          <w:rFonts w:ascii="Times New Roman" w:hAnsi="Times New Roman" w:cs="Times New Roman"/>
          <w:sz w:val="20"/>
          <w:szCs w:val="20"/>
        </w:rPr>
        <w:t>HI</w:t>
      </w:r>
      <w:r w:rsidR="00A124C3" w:rsidRPr="00A124C3">
        <w:rPr>
          <w:rFonts w:ascii="Times New Roman" w:hAnsi="Times New Roman" w:cs="Times New Roman"/>
          <w:sz w:val="20"/>
          <w:szCs w:val="20"/>
        </w:rPr>
        <w:t>KO</w:t>
      </w:r>
      <w:r w:rsidRPr="00A124C3">
        <w:rPr>
          <w:rFonts w:ascii="Times New Roman" w:hAnsi="Times New Roman" w:cs="Times New Roman"/>
          <w:sz w:val="20"/>
          <w:szCs w:val="20"/>
        </w:rPr>
        <w:t>WERO J</w:t>
      </w:r>
      <w:r>
        <w:rPr>
          <w:rFonts w:ascii="Times New Roman" w:hAnsi="Times New Roman" w:cs="Times New Roman"/>
          <w:sz w:val="24"/>
          <w:szCs w:val="24"/>
        </w:rPr>
        <w:t xml:space="preserve"> in </w:t>
      </w:r>
      <w:r w:rsidRPr="000E462F">
        <w:rPr>
          <w:rFonts w:ascii="Times New Roman" w:hAnsi="Times New Roman" w:cs="Times New Roman"/>
          <w:i/>
          <w:sz w:val="24"/>
          <w:szCs w:val="24"/>
        </w:rPr>
        <w:t>The Sheriff of Zimbabwe &amp; Anor</w:t>
      </w:r>
      <w:r>
        <w:rPr>
          <w:rFonts w:ascii="Times New Roman" w:hAnsi="Times New Roman" w:cs="Times New Roman"/>
          <w:sz w:val="24"/>
          <w:szCs w:val="24"/>
        </w:rPr>
        <w:t xml:space="preserve"> v </w:t>
      </w:r>
      <w:proofErr w:type="spellStart"/>
      <w:r w:rsidRPr="000E462F">
        <w:rPr>
          <w:rFonts w:ascii="Times New Roman" w:hAnsi="Times New Roman" w:cs="Times New Roman"/>
          <w:i/>
          <w:sz w:val="24"/>
          <w:szCs w:val="24"/>
        </w:rPr>
        <w:t>Manja</w:t>
      </w:r>
      <w:proofErr w:type="spellEnd"/>
      <w:r w:rsidRPr="000E462F">
        <w:rPr>
          <w:rFonts w:ascii="Times New Roman" w:hAnsi="Times New Roman" w:cs="Times New Roman"/>
          <w:i/>
          <w:sz w:val="24"/>
          <w:szCs w:val="24"/>
        </w:rPr>
        <w:t xml:space="preserve"> &amp; </w:t>
      </w:r>
      <w:proofErr w:type="spellStart"/>
      <w:r w:rsidRPr="000E462F">
        <w:rPr>
          <w:rFonts w:ascii="Times New Roman" w:hAnsi="Times New Roman" w:cs="Times New Roman"/>
          <w:i/>
          <w:sz w:val="24"/>
          <w:szCs w:val="24"/>
        </w:rPr>
        <w:t>Ors</w:t>
      </w:r>
      <w:proofErr w:type="spellEnd"/>
      <w:r>
        <w:rPr>
          <w:rFonts w:ascii="Times New Roman" w:hAnsi="Times New Roman" w:cs="Times New Roman"/>
          <w:sz w:val="24"/>
          <w:szCs w:val="24"/>
        </w:rPr>
        <w:t xml:space="preserve"> s</w:t>
      </w:r>
      <w:r w:rsidRPr="000E462F">
        <w:rPr>
          <w:rFonts w:ascii="Times New Roman" w:hAnsi="Times New Roman" w:cs="Times New Roman"/>
          <w:i/>
          <w:sz w:val="24"/>
          <w:szCs w:val="24"/>
        </w:rPr>
        <w:t>upra</w:t>
      </w:r>
      <w:r>
        <w:rPr>
          <w:rFonts w:ascii="Times New Roman" w:hAnsi="Times New Roman" w:cs="Times New Roman"/>
          <w:sz w:val="24"/>
          <w:szCs w:val="24"/>
        </w:rPr>
        <w:t xml:space="preserve"> as follows;</w:t>
      </w:r>
    </w:p>
    <w:p w:rsidR="00CC25EC" w:rsidRDefault="00CC25EC" w:rsidP="000E462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argument</w:t>
      </w:r>
      <w:proofErr w:type="gramEnd"/>
      <w:r>
        <w:rPr>
          <w:rFonts w:ascii="Times New Roman" w:hAnsi="Times New Roman" w:cs="Times New Roman"/>
          <w:sz w:val="24"/>
          <w:szCs w:val="24"/>
        </w:rPr>
        <w:t xml:space="preserve"> at the hearing of the interpleader application is no substitute for a judgment creditor’s failure to produce contrary evidence to disprove the claimant’s </w:t>
      </w:r>
      <w:r w:rsidRPr="000E462F">
        <w:rPr>
          <w:rFonts w:ascii="Times New Roman" w:hAnsi="Times New Roman" w:cs="Times New Roman"/>
          <w:i/>
          <w:sz w:val="24"/>
          <w:szCs w:val="24"/>
        </w:rPr>
        <w:t>prima fac</w:t>
      </w:r>
      <w:r w:rsidR="00A84C08" w:rsidRPr="000E462F">
        <w:rPr>
          <w:rFonts w:ascii="Times New Roman" w:hAnsi="Times New Roman" w:cs="Times New Roman"/>
          <w:i/>
          <w:sz w:val="24"/>
          <w:szCs w:val="24"/>
        </w:rPr>
        <w:t>ie</w:t>
      </w:r>
      <w:r w:rsidR="00A84C08">
        <w:rPr>
          <w:rFonts w:ascii="Times New Roman" w:hAnsi="Times New Roman" w:cs="Times New Roman"/>
          <w:sz w:val="24"/>
          <w:szCs w:val="24"/>
        </w:rPr>
        <w:t xml:space="preserve"> evidence of ownership of attached goods …”</w:t>
      </w:r>
    </w:p>
    <w:p w:rsidR="000D0258" w:rsidRDefault="00A84C08"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the bald claim that there is collusion remains unsubstantiated in that it is common cause that the rental agreements and the Temporary Import Permits came into existence well before the attachment of the goods.  In the same vein I find that the mere fact that the rental agreements produced have expired does not on its own prove that the judgment debtor is now the owner of the attached goods.  There was a duty on the judgment creditor to lead such evidence to rebut the claimant’s claim.  It has not done so opting to rely solely on the fact that the lease/rental agreements expired.  On the totality of the evidence, it cannot be said that the attached goods belong to the judgment debtor.</w:t>
      </w:r>
      <w:r w:rsidR="000D0258">
        <w:rPr>
          <w:rFonts w:ascii="Times New Roman" w:hAnsi="Times New Roman" w:cs="Times New Roman"/>
          <w:sz w:val="24"/>
          <w:szCs w:val="24"/>
        </w:rPr>
        <w:t xml:space="preserve">  No evidence was led by the Judgment Creditor to prove on a balance of probabilities that the Judgment Debtor exercised the option to purchase the goods in terms of the expired Plant and Equipment Rental Agreements.  </w:t>
      </w:r>
    </w:p>
    <w:p w:rsidR="00A84C08" w:rsidRDefault="000D0258"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Judgment Creditor argued that it is more probable than not that the reason why the equipment has remained in the Judgment Debtor’s possession after the tenure of that agreement and without any valid temporary import permit is because the Judgment Debtor has already exercised the option to purchase them.  On the facts of this case, I find that this inference advocated by the Judgment Creditor is not the most readily apparent and acceptable inference from a number of possible inferences.  Put differently, it is not the most probable inference.</w:t>
      </w:r>
      <w:r w:rsidR="00A84C08">
        <w:rPr>
          <w:rFonts w:ascii="Times New Roman" w:hAnsi="Times New Roman" w:cs="Times New Roman"/>
          <w:sz w:val="24"/>
          <w:szCs w:val="24"/>
        </w:rPr>
        <w:t xml:space="preserve">  </w:t>
      </w:r>
    </w:p>
    <w:p w:rsidR="00A84C08" w:rsidRPr="000E462F" w:rsidRDefault="00A84C08" w:rsidP="00077D57">
      <w:pPr>
        <w:spacing w:line="360" w:lineRule="auto"/>
        <w:ind w:firstLine="720"/>
        <w:jc w:val="both"/>
        <w:rPr>
          <w:rFonts w:ascii="Times New Roman" w:hAnsi="Times New Roman" w:cs="Times New Roman"/>
          <w:b/>
          <w:sz w:val="24"/>
          <w:szCs w:val="24"/>
        </w:rPr>
      </w:pPr>
      <w:r w:rsidRPr="000E462F">
        <w:rPr>
          <w:rFonts w:ascii="Times New Roman" w:hAnsi="Times New Roman" w:cs="Times New Roman"/>
          <w:b/>
          <w:sz w:val="24"/>
          <w:szCs w:val="24"/>
        </w:rPr>
        <w:t>CONCLUSION</w:t>
      </w:r>
    </w:p>
    <w:p w:rsidR="00A84C08" w:rsidRDefault="00ED6E99"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w:t>
      </w:r>
      <w:r w:rsidR="00A84C08">
        <w:rPr>
          <w:rFonts w:ascii="Times New Roman" w:hAnsi="Times New Roman" w:cs="Times New Roman"/>
          <w:sz w:val="24"/>
          <w:szCs w:val="24"/>
        </w:rPr>
        <w:t xml:space="preserve">he claimant has established a </w:t>
      </w:r>
      <w:r w:rsidR="00A84C08" w:rsidRPr="000E462F">
        <w:rPr>
          <w:rFonts w:ascii="Times New Roman" w:hAnsi="Times New Roman" w:cs="Times New Roman"/>
          <w:i/>
          <w:sz w:val="24"/>
          <w:szCs w:val="24"/>
        </w:rPr>
        <w:t>prima facie</w:t>
      </w:r>
      <w:r w:rsidR="00A84C08">
        <w:rPr>
          <w:rFonts w:ascii="Times New Roman" w:hAnsi="Times New Roman" w:cs="Times New Roman"/>
          <w:sz w:val="24"/>
          <w:szCs w:val="24"/>
        </w:rPr>
        <w:t xml:space="preserve"> case which the judgment creditor has dismally failed to rebut.</w:t>
      </w:r>
    </w:p>
    <w:p w:rsidR="00A84C08" w:rsidRPr="000E462F" w:rsidRDefault="00A84C08" w:rsidP="00077D57">
      <w:pPr>
        <w:spacing w:line="360" w:lineRule="auto"/>
        <w:ind w:firstLine="720"/>
        <w:jc w:val="both"/>
        <w:rPr>
          <w:rFonts w:ascii="Times New Roman" w:hAnsi="Times New Roman" w:cs="Times New Roman"/>
          <w:b/>
          <w:sz w:val="24"/>
          <w:szCs w:val="24"/>
        </w:rPr>
      </w:pPr>
      <w:r w:rsidRPr="000E462F">
        <w:rPr>
          <w:rFonts w:ascii="Times New Roman" w:hAnsi="Times New Roman" w:cs="Times New Roman"/>
          <w:b/>
          <w:sz w:val="24"/>
          <w:szCs w:val="24"/>
        </w:rPr>
        <w:t>DISPOSITION</w:t>
      </w:r>
    </w:p>
    <w:p w:rsidR="00A84C08" w:rsidRDefault="00A84C08" w:rsidP="00077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as follows;</w:t>
      </w:r>
    </w:p>
    <w:p w:rsidR="00A84C08" w:rsidRPr="00A84C08" w:rsidRDefault="00A84C08" w:rsidP="00077D57">
      <w:pPr>
        <w:pStyle w:val="ListParagraph"/>
        <w:numPr>
          <w:ilvl w:val="0"/>
          <w:numId w:val="1"/>
        </w:numPr>
        <w:spacing w:line="360" w:lineRule="auto"/>
        <w:jc w:val="both"/>
        <w:rPr>
          <w:rFonts w:ascii="Times New Roman" w:hAnsi="Times New Roman" w:cs="Times New Roman"/>
          <w:sz w:val="24"/>
          <w:szCs w:val="24"/>
        </w:rPr>
      </w:pPr>
      <w:r w:rsidRPr="00A84C08">
        <w:rPr>
          <w:rFonts w:ascii="Times New Roman" w:hAnsi="Times New Roman" w:cs="Times New Roman"/>
          <w:sz w:val="24"/>
          <w:szCs w:val="24"/>
        </w:rPr>
        <w:t>The claimant’s claims to the goods placed under attachment in execution of judgment HC 10259/19 granted at the High Court in Harare are hereby granted.</w:t>
      </w:r>
    </w:p>
    <w:p w:rsidR="00A84C08" w:rsidRDefault="00A84C08" w:rsidP="00077D5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goods as set out in the Notice of Attachment dated 1</w:t>
      </w:r>
      <w:r w:rsidRPr="00A84C08">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2020 issued by applicant are declared not executable.</w:t>
      </w:r>
    </w:p>
    <w:p w:rsidR="00077D57" w:rsidRDefault="00A84C08" w:rsidP="00077D5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judgment creditor pays the costs of the claimant’s and the applicant.</w:t>
      </w:r>
    </w:p>
    <w:p w:rsidR="00077D57" w:rsidRDefault="00077D57" w:rsidP="00077D57">
      <w:pPr>
        <w:spacing w:line="360" w:lineRule="auto"/>
        <w:jc w:val="both"/>
        <w:rPr>
          <w:rFonts w:ascii="Times New Roman" w:hAnsi="Times New Roman" w:cs="Times New Roman"/>
          <w:sz w:val="24"/>
          <w:szCs w:val="24"/>
        </w:rPr>
      </w:pPr>
    </w:p>
    <w:p w:rsidR="00077D57" w:rsidRDefault="00077D57" w:rsidP="00077D57">
      <w:pPr>
        <w:pStyle w:val="NoSpacing"/>
        <w:jc w:val="both"/>
      </w:pPr>
      <w:proofErr w:type="spellStart"/>
      <w:r w:rsidRPr="00077D57">
        <w:rPr>
          <w:i/>
        </w:rPr>
        <w:t>Coghlan</w:t>
      </w:r>
      <w:proofErr w:type="spellEnd"/>
      <w:r w:rsidRPr="00077D57">
        <w:rPr>
          <w:i/>
        </w:rPr>
        <w:t xml:space="preserve"> &amp; Welsh</w:t>
      </w:r>
      <w:r>
        <w:t>, applicant’s legal practitioners</w:t>
      </w:r>
    </w:p>
    <w:p w:rsidR="00077D57" w:rsidRDefault="00077D57" w:rsidP="00077D57">
      <w:pPr>
        <w:pStyle w:val="NoSpacing"/>
        <w:jc w:val="both"/>
      </w:pPr>
      <w:r w:rsidRPr="00077D57">
        <w:rPr>
          <w:i/>
        </w:rPr>
        <w:t xml:space="preserve">Gill, </w:t>
      </w:r>
      <w:proofErr w:type="spellStart"/>
      <w:r w:rsidRPr="00077D57">
        <w:rPr>
          <w:i/>
        </w:rPr>
        <w:t>Godlonton</w:t>
      </w:r>
      <w:proofErr w:type="spellEnd"/>
      <w:r w:rsidRPr="00077D57">
        <w:rPr>
          <w:i/>
        </w:rPr>
        <w:t xml:space="preserve"> &amp; </w:t>
      </w:r>
      <w:proofErr w:type="spellStart"/>
      <w:r w:rsidRPr="00077D57">
        <w:rPr>
          <w:i/>
        </w:rPr>
        <w:t>Gerrans</w:t>
      </w:r>
      <w:proofErr w:type="spellEnd"/>
      <w:r w:rsidRPr="00077D57">
        <w:rPr>
          <w:i/>
        </w:rPr>
        <w:t xml:space="preserve"> c/o Calderwood Bryce Hendrie &amp; Partners,</w:t>
      </w:r>
      <w:r>
        <w:t xml:space="preserve"> judgment creditor’s legal practitioners</w:t>
      </w:r>
    </w:p>
    <w:p w:rsidR="00A84C08" w:rsidRPr="00077D57" w:rsidRDefault="00077D57" w:rsidP="00077D57">
      <w:pPr>
        <w:pStyle w:val="NoSpacing"/>
        <w:jc w:val="both"/>
      </w:pPr>
      <w:r w:rsidRPr="00077D57">
        <w:rPr>
          <w:i/>
        </w:rPr>
        <w:t xml:space="preserve">Costa &amp; </w:t>
      </w:r>
      <w:proofErr w:type="spellStart"/>
      <w:r w:rsidRPr="00077D57">
        <w:rPr>
          <w:i/>
        </w:rPr>
        <w:t>Madzonga</w:t>
      </w:r>
      <w:proofErr w:type="spellEnd"/>
      <w:r w:rsidRPr="00077D57">
        <w:rPr>
          <w:i/>
        </w:rPr>
        <w:t xml:space="preserve"> c/o Messrs </w:t>
      </w:r>
      <w:proofErr w:type="spellStart"/>
      <w:r w:rsidRPr="00077D57">
        <w:rPr>
          <w:i/>
        </w:rPr>
        <w:t>Danziger</w:t>
      </w:r>
      <w:proofErr w:type="spellEnd"/>
      <w:r w:rsidRPr="00077D57">
        <w:rPr>
          <w:i/>
        </w:rPr>
        <w:t xml:space="preserve"> &amp; Partners</w:t>
      </w:r>
      <w:r>
        <w:t>, claimant’s legal practitioners</w:t>
      </w:r>
      <w:r w:rsidR="00A84C08" w:rsidRPr="00077D57">
        <w:t xml:space="preserve"> </w:t>
      </w:r>
    </w:p>
    <w:p w:rsidR="0073166F" w:rsidRPr="00DE3696" w:rsidRDefault="0073166F" w:rsidP="005D6124">
      <w:pPr>
        <w:spacing w:line="360" w:lineRule="auto"/>
        <w:ind w:firstLine="720"/>
        <w:rPr>
          <w:rFonts w:ascii="Times New Roman" w:hAnsi="Times New Roman" w:cs="Times New Roman"/>
          <w:sz w:val="24"/>
          <w:szCs w:val="24"/>
          <w:lang w:val="en-US"/>
        </w:rPr>
      </w:pPr>
    </w:p>
    <w:sectPr w:rsidR="0073166F" w:rsidRPr="00DE369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BB5" w:rsidRDefault="00210BB5" w:rsidP="00077D57">
      <w:pPr>
        <w:spacing w:after="0" w:line="240" w:lineRule="auto"/>
      </w:pPr>
      <w:r>
        <w:separator/>
      </w:r>
    </w:p>
  </w:endnote>
  <w:endnote w:type="continuationSeparator" w:id="0">
    <w:p w:rsidR="00210BB5" w:rsidRDefault="00210BB5" w:rsidP="0007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BB5" w:rsidRDefault="00210BB5" w:rsidP="00077D57">
      <w:pPr>
        <w:spacing w:after="0" w:line="240" w:lineRule="auto"/>
      </w:pPr>
      <w:r>
        <w:separator/>
      </w:r>
    </w:p>
  </w:footnote>
  <w:footnote w:type="continuationSeparator" w:id="0">
    <w:p w:rsidR="00210BB5" w:rsidRDefault="00210BB5" w:rsidP="00077D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178988"/>
      <w:docPartObj>
        <w:docPartGallery w:val="Page Numbers (Top of Page)"/>
        <w:docPartUnique/>
      </w:docPartObj>
    </w:sdtPr>
    <w:sdtEndPr>
      <w:rPr>
        <w:rFonts w:ascii="Times New Roman" w:hAnsi="Times New Roman" w:cs="Times New Roman"/>
        <w:noProof/>
        <w:sz w:val="24"/>
        <w:szCs w:val="24"/>
      </w:rPr>
    </w:sdtEndPr>
    <w:sdtContent>
      <w:p w:rsidR="00077D57" w:rsidRPr="0075195D" w:rsidRDefault="00077D57">
        <w:pPr>
          <w:pStyle w:val="Header"/>
          <w:jc w:val="right"/>
          <w:rPr>
            <w:rFonts w:ascii="Times New Roman" w:hAnsi="Times New Roman" w:cs="Times New Roman"/>
            <w:noProof/>
            <w:sz w:val="24"/>
            <w:szCs w:val="24"/>
          </w:rPr>
        </w:pPr>
        <w:r w:rsidRPr="0075195D">
          <w:rPr>
            <w:rFonts w:ascii="Times New Roman" w:hAnsi="Times New Roman" w:cs="Times New Roman"/>
            <w:sz w:val="24"/>
            <w:szCs w:val="24"/>
          </w:rPr>
          <w:fldChar w:fldCharType="begin"/>
        </w:r>
        <w:r w:rsidRPr="0075195D">
          <w:rPr>
            <w:rFonts w:ascii="Times New Roman" w:hAnsi="Times New Roman" w:cs="Times New Roman"/>
            <w:sz w:val="24"/>
            <w:szCs w:val="24"/>
          </w:rPr>
          <w:instrText xml:space="preserve"> PAGE   \* MERGEFORMAT </w:instrText>
        </w:r>
        <w:r w:rsidRPr="0075195D">
          <w:rPr>
            <w:rFonts w:ascii="Times New Roman" w:hAnsi="Times New Roman" w:cs="Times New Roman"/>
            <w:sz w:val="24"/>
            <w:szCs w:val="24"/>
          </w:rPr>
          <w:fldChar w:fldCharType="separate"/>
        </w:r>
        <w:r w:rsidR="005663E1">
          <w:rPr>
            <w:rFonts w:ascii="Times New Roman" w:hAnsi="Times New Roman" w:cs="Times New Roman"/>
            <w:noProof/>
            <w:sz w:val="24"/>
            <w:szCs w:val="24"/>
          </w:rPr>
          <w:t>5</w:t>
        </w:r>
        <w:r w:rsidRPr="0075195D">
          <w:rPr>
            <w:rFonts w:ascii="Times New Roman" w:hAnsi="Times New Roman" w:cs="Times New Roman"/>
            <w:noProof/>
            <w:sz w:val="24"/>
            <w:szCs w:val="24"/>
          </w:rPr>
          <w:fldChar w:fldCharType="end"/>
        </w:r>
      </w:p>
      <w:p w:rsidR="00077D57" w:rsidRPr="0075195D" w:rsidRDefault="00077D57">
        <w:pPr>
          <w:pStyle w:val="Header"/>
          <w:jc w:val="right"/>
          <w:rPr>
            <w:rFonts w:ascii="Times New Roman" w:hAnsi="Times New Roman" w:cs="Times New Roman"/>
            <w:noProof/>
            <w:sz w:val="24"/>
            <w:szCs w:val="24"/>
          </w:rPr>
        </w:pPr>
        <w:r w:rsidRPr="0075195D">
          <w:rPr>
            <w:rFonts w:ascii="Times New Roman" w:hAnsi="Times New Roman" w:cs="Times New Roman"/>
            <w:noProof/>
            <w:sz w:val="24"/>
            <w:szCs w:val="24"/>
          </w:rPr>
          <w:t>HB</w:t>
        </w:r>
        <w:r w:rsidR="00E70F1F">
          <w:rPr>
            <w:rFonts w:ascii="Times New Roman" w:hAnsi="Times New Roman" w:cs="Times New Roman"/>
            <w:noProof/>
            <w:sz w:val="24"/>
            <w:szCs w:val="24"/>
          </w:rPr>
          <w:t xml:space="preserve"> 161/21</w:t>
        </w:r>
      </w:p>
      <w:p w:rsidR="00077D57" w:rsidRPr="0075195D" w:rsidRDefault="00077D57">
        <w:pPr>
          <w:pStyle w:val="Header"/>
          <w:jc w:val="right"/>
          <w:rPr>
            <w:rFonts w:ascii="Times New Roman" w:hAnsi="Times New Roman" w:cs="Times New Roman"/>
            <w:noProof/>
            <w:sz w:val="24"/>
            <w:szCs w:val="24"/>
          </w:rPr>
        </w:pPr>
        <w:r w:rsidRPr="0075195D">
          <w:rPr>
            <w:rFonts w:ascii="Times New Roman" w:hAnsi="Times New Roman" w:cs="Times New Roman"/>
            <w:noProof/>
            <w:sz w:val="24"/>
            <w:szCs w:val="24"/>
          </w:rPr>
          <w:t>HC 2121/20</w:t>
        </w:r>
      </w:p>
      <w:p w:rsidR="00077D57" w:rsidRPr="0075195D" w:rsidRDefault="00077D57">
        <w:pPr>
          <w:pStyle w:val="Header"/>
          <w:jc w:val="right"/>
          <w:rPr>
            <w:rFonts w:ascii="Times New Roman" w:hAnsi="Times New Roman" w:cs="Times New Roman"/>
            <w:sz w:val="24"/>
            <w:szCs w:val="24"/>
          </w:rPr>
        </w:pPr>
        <w:r w:rsidRPr="0075195D">
          <w:rPr>
            <w:rFonts w:ascii="Times New Roman" w:hAnsi="Times New Roman" w:cs="Times New Roman"/>
            <w:noProof/>
            <w:sz w:val="24"/>
            <w:szCs w:val="24"/>
          </w:rPr>
          <w:t>XREF HC 10259/19</w:t>
        </w:r>
      </w:p>
    </w:sdtContent>
  </w:sdt>
  <w:p w:rsidR="00077D57" w:rsidRDefault="00077D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E45802"/>
    <w:multiLevelType w:val="hybridMultilevel"/>
    <w:tmpl w:val="9FE24E28"/>
    <w:lvl w:ilvl="0" w:tplc="688C3A86">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96"/>
    <w:rsid w:val="00077D57"/>
    <w:rsid w:val="00083325"/>
    <w:rsid w:val="000D0258"/>
    <w:rsid w:val="000E462F"/>
    <w:rsid w:val="00210BB5"/>
    <w:rsid w:val="00251B61"/>
    <w:rsid w:val="00285443"/>
    <w:rsid w:val="00350272"/>
    <w:rsid w:val="004319FA"/>
    <w:rsid w:val="005663E1"/>
    <w:rsid w:val="005D6124"/>
    <w:rsid w:val="0073166F"/>
    <w:rsid w:val="0075195D"/>
    <w:rsid w:val="00A124C3"/>
    <w:rsid w:val="00A83807"/>
    <w:rsid w:val="00A83FCA"/>
    <w:rsid w:val="00A84C08"/>
    <w:rsid w:val="00AA5393"/>
    <w:rsid w:val="00B644CA"/>
    <w:rsid w:val="00BF1C85"/>
    <w:rsid w:val="00BF5CCB"/>
    <w:rsid w:val="00CC25EC"/>
    <w:rsid w:val="00D72E4C"/>
    <w:rsid w:val="00DE3696"/>
    <w:rsid w:val="00E1383A"/>
    <w:rsid w:val="00E70F1F"/>
    <w:rsid w:val="00ED6E9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CFD89-27D4-43C9-93A1-D2B98406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3696"/>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50272"/>
    <w:pPr>
      <w:ind w:left="720"/>
      <w:contextualSpacing/>
    </w:pPr>
  </w:style>
  <w:style w:type="paragraph" w:styleId="Header">
    <w:name w:val="header"/>
    <w:basedOn w:val="Normal"/>
    <w:link w:val="HeaderChar"/>
    <w:uiPriority w:val="99"/>
    <w:unhideWhenUsed/>
    <w:rsid w:val="00077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D57"/>
  </w:style>
  <w:style w:type="paragraph" w:styleId="Footer">
    <w:name w:val="footer"/>
    <w:basedOn w:val="Normal"/>
    <w:link w:val="FooterChar"/>
    <w:uiPriority w:val="99"/>
    <w:unhideWhenUsed/>
    <w:rsid w:val="00077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14</cp:revision>
  <dcterms:created xsi:type="dcterms:W3CDTF">2021-08-23T10:27:00Z</dcterms:created>
  <dcterms:modified xsi:type="dcterms:W3CDTF">2021-08-31T10:07:00Z</dcterms:modified>
</cp:coreProperties>
</file>