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IN THE LA</w:t>
      </w:r>
      <w:bookmarkStart w:id="0" w:name="_GoBack"/>
      <w:bookmarkEnd w:id="0"/>
      <w:r w:rsidRPr="004708FE">
        <w:rPr>
          <w:rFonts w:ascii="Tahoma" w:hAnsi="Tahoma" w:cs="Tahoma"/>
          <w:b/>
          <w:sz w:val="24"/>
          <w:szCs w:val="24"/>
        </w:rPr>
        <w:t xml:space="preserve">BOUR COURT OF </w:t>
      </w:r>
      <w:r w:rsidR="002F10D6">
        <w:rPr>
          <w:rFonts w:ascii="Tahoma" w:hAnsi="Tahoma" w:cs="Tahoma"/>
          <w:b/>
          <w:sz w:val="24"/>
          <w:szCs w:val="24"/>
        </w:rPr>
        <w:t xml:space="preserve">ZIMBABWE      </w:t>
      </w:r>
      <w:r w:rsidR="00267014">
        <w:rPr>
          <w:rFonts w:ascii="Tahoma" w:hAnsi="Tahoma" w:cs="Tahoma"/>
          <w:b/>
          <w:sz w:val="24"/>
          <w:szCs w:val="24"/>
        </w:rPr>
        <w:t>J</w:t>
      </w:r>
      <w:r w:rsidR="002F10D6">
        <w:rPr>
          <w:rFonts w:ascii="Tahoma" w:hAnsi="Tahoma" w:cs="Tahoma"/>
          <w:b/>
          <w:sz w:val="24"/>
          <w:szCs w:val="24"/>
        </w:rPr>
        <w:t>UDGMENT NO.</w:t>
      </w:r>
      <w:proofErr w:type="gramEnd"/>
      <w:r w:rsidR="002F10D6">
        <w:rPr>
          <w:rFonts w:ascii="Tahoma" w:hAnsi="Tahoma" w:cs="Tahoma"/>
          <w:b/>
          <w:sz w:val="24"/>
          <w:szCs w:val="24"/>
        </w:rPr>
        <w:t xml:space="preserve"> LC/H/</w:t>
      </w:r>
      <w:r w:rsidR="00267014">
        <w:rPr>
          <w:rFonts w:ascii="Tahoma" w:hAnsi="Tahoma" w:cs="Tahoma"/>
          <w:b/>
          <w:sz w:val="24"/>
          <w:szCs w:val="24"/>
        </w:rPr>
        <w:t>131</w:t>
      </w:r>
      <w:r w:rsidR="001004AC">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E82F40">
        <w:rPr>
          <w:rFonts w:ascii="Tahoma" w:hAnsi="Tahoma" w:cs="Tahoma"/>
          <w:b/>
          <w:sz w:val="24"/>
          <w:szCs w:val="24"/>
        </w:rPr>
        <w:t>9 JULY</w:t>
      </w:r>
      <w:r w:rsidR="00041E71">
        <w:rPr>
          <w:rFonts w:ascii="Tahoma" w:hAnsi="Tahoma" w:cs="Tahoma"/>
          <w:b/>
          <w:sz w:val="24"/>
          <w:szCs w:val="24"/>
        </w:rPr>
        <w:t xml:space="preserve"> </w:t>
      </w:r>
      <w:r w:rsidR="00467D1F">
        <w:rPr>
          <w:rFonts w:ascii="Tahoma" w:hAnsi="Tahoma" w:cs="Tahoma"/>
          <w:b/>
          <w:sz w:val="24"/>
          <w:szCs w:val="24"/>
        </w:rPr>
        <w:t>2021</w:t>
      </w:r>
      <w:r w:rsidR="00467D1F">
        <w:rPr>
          <w:rFonts w:ascii="Tahoma" w:hAnsi="Tahoma" w:cs="Tahoma"/>
          <w:b/>
          <w:sz w:val="24"/>
          <w:szCs w:val="24"/>
        </w:rPr>
        <w:tab/>
      </w:r>
      <w:r w:rsidR="00BA1F25">
        <w:rPr>
          <w:rFonts w:ascii="Tahoma" w:hAnsi="Tahoma" w:cs="Tahoma"/>
          <w:b/>
          <w:sz w:val="24"/>
          <w:szCs w:val="24"/>
        </w:rPr>
        <w:t xml:space="preserve">                                   </w:t>
      </w:r>
      <w:r w:rsidR="00525115">
        <w:rPr>
          <w:rFonts w:ascii="Tahoma" w:hAnsi="Tahoma" w:cs="Tahoma"/>
          <w:b/>
          <w:sz w:val="24"/>
          <w:szCs w:val="24"/>
        </w:rPr>
        <w:t xml:space="preserve">   </w:t>
      </w:r>
      <w:r w:rsidRPr="004708FE">
        <w:rPr>
          <w:rFonts w:ascii="Tahoma" w:hAnsi="Tahoma" w:cs="Tahoma"/>
          <w:b/>
          <w:sz w:val="24"/>
          <w:szCs w:val="24"/>
        </w:rPr>
        <w:t>CASE NO. LC/H/</w:t>
      </w:r>
      <w:r w:rsidR="00E82F40">
        <w:rPr>
          <w:rFonts w:ascii="Tahoma" w:hAnsi="Tahoma" w:cs="Tahoma"/>
          <w:b/>
          <w:sz w:val="24"/>
          <w:szCs w:val="24"/>
        </w:rPr>
        <w:t>APP/21/21</w:t>
      </w:r>
      <w:r w:rsidR="005B56E6">
        <w:rPr>
          <w:rFonts w:ascii="Tahoma" w:hAnsi="Tahoma" w:cs="Tahoma"/>
          <w:b/>
          <w:sz w:val="24"/>
          <w:szCs w:val="24"/>
        </w:rPr>
        <w:t xml:space="preserve"> </w:t>
      </w:r>
    </w:p>
    <w:p w:rsidR="00446DC5" w:rsidRPr="004708FE" w:rsidRDefault="001004AC" w:rsidP="00037D40">
      <w:pPr>
        <w:spacing w:line="240" w:lineRule="auto"/>
        <w:jc w:val="both"/>
        <w:rPr>
          <w:rFonts w:ascii="Tahoma" w:hAnsi="Tahoma" w:cs="Tahoma"/>
          <w:b/>
          <w:sz w:val="24"/>
          <w:szCs w:val="24"/>
        </w:rPr>
      </w:pPr>
      <w:r>
        <w:rPr>
          <w:rFonts w:ascii="Tahoma" w:hAnsi="Tahoma" w:cs="Tahoma"/>
          <w:b/>
          <w:sz w:val="24"/>
          <w:szCs w:val="24"/>
        </w:rPr>
        <w:t>AND</w:t>
      </w:r>
      <w:r w:rsidR="002F10D6">
        <w:rPr>
          <w:rFonts w:ascii="Tahoma" w:hAnsi="Tahoma" w:cs="Tahoma"/>
          <w:b/>
          <w:sz w:val="24"/>
          <w:szCs w:val="24"/>
        </w:rPr>
        <w:t xml:space="preserve"> </w:t>
      </w:r>
      <w:r w:rsidR="00267014">
        <w:rPr>
          <w:rFonts w:ascii="Tahoma" w:hAnsi="Tahoma" w:cs="Tahoma"/>
          <w:b/>
          <w:sz w:val="24"/>
          <w:szCs w:val="24"/>
        </w:rPr>
        <w:t>10 SEPTEMBER 2021</w:t>
      </w:r>
    </w:p>
    <w:p w:rsidR="00BA1F25" w:rsidRDefault="00BA1F25" w:rsidP="00446DC5">
      <w:pPr>
        <w:jc w:val="both"/>
        <w:rPr>
          <w:rFonts w:ascii="Tahoma" w:hAnsi="Tahoma" w:cs="Tahoma"/>
          <w:sz w:val="24"/>
          <w:szCs w:val="24"/>
        </w:rPr>
      </w:pPr>
    </w:p>
    <w:p w:rsidR="00446DC5" w:rsidRDefault="00E82F40" w:rsidP="00037D40">
      <w:pPr>
        <w:spacing w:line="240" w:lineRule="auto"/>
        <w:jc w:val="both"/>
        <w:rPr>
          <w:rFonts w:ascii="Tahoma" w:hAnsi="Tahoma" w:cs="Tahoma"/>
          <w:b/>
          <w:sz w:val="24"/>
          <w:szCs w:val="24"/>
        </w:rPr>
      </w:pPr>
      <w:r>
        <w:rPr>
          <w:rFonts w:ascii="Tahoma" w:hAnsi="Tahoma" w:cs="Tahoma"/>
          <w:b/>
          <w:sz w:val="24"/>
          <w:szCs w:val="24"/>
        </w:rPr>
        <w:t>SHEPHERD CHIPUNZA</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sidR="00B57477">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b/>
      </w:r>
    </w:p>
    <w:p w:rsidR="00446DC5" w:rsidRDefault="00E82F40" w:rsidP="00906CB1">
      <w:pPr>
        <w:spacing w:line="240" w:lineRule="auto"/>
        <w:jc w:val="both"/>
        <w:rPr>
          <w:rFonts w:ascii="Tahoma" w:hAnsi="Tahoma" w:cs="Tahoma"/>
          <w:b/>
          <w:sz w:val="24"/>
          <w:szCs w:val="24"/>
        </w:rPr>
      </w:pPr>
      <w:r>
        <w:rPr>
          <w:rFonts w:ascii="Tahoma" w:hAnsi="Tahoma" w:cs="Tahoma"/>
          <w:b/>
          <w:sz w:val="24"/>
          <w:szCs w:val="24"/>
        </w:rPr>
        <w:t>HAMMER &amp; TONGUES AUCTIONEERS (PVT) LTD</w:t>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r>
      <w:r w:rsidR="00E82F40">
        <w:rPr>
          <w:rFonts w:ascii="Tahoma" w:hAnsi="Tahoma" w:cs="Tahoma"/>
          <w:b/>
          <w:sz w:val="24"/>
          <w:szCs w:val="24"/>
        </w:rPr>
        <w:t xml:space="preserve">Mr A. </w:t>
      </w:r>
      <w:proofErr w:type="spellStart"/>
      <w:r w:rsidR="00E82F40">
        <w:rPr>
          <w:rFonts w:ascii="Tahoma" w:hAnsi="Tahoma" w:cs="Tahoma"/>
          <w:b/>
          <w:sz w:val="24"/>
          <w:szCs w:val="24"/>
        </w:rPr>
        <w:t>Chambati</w:t>
      </w:r>
      <w:proofErr w:type="spellEnd"/>
      <w:r w:rsidR="00E82F40">
        <w:rPr>
          <w:rFonts w:ascii="Tahoma" w:hAnsi="Tahoma" w:cs="Tahoma"/>
          <w:b/>
          <w:sz w:val="24"/>
          <w:szCs w:val="24"/>
        </w:rPr>
        <w:t>, Attorney</w:t>
      </w:r>
      <w:r w:rsidR="00906CB1">
        <w:rPr>
          <w:rFonts w:ascii="Tahoma" w:hAnsi="Tahoma" w:cs="Tahoma"/>
          <w:b/>
          <w:sz w:val="24"/>
          <w:szCs w:val="24"/>
        </w:rPr>
        <w:tab/>
      </w: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r>
      <w:r w:rsidR="00E82F40">
        <w:rPr>
          <w:rFonts w:ascii="Tahoma" w:hAnsi="Tahoma" w:cs="Tahoma"/>
          <w:b/>
          <w:sz w:val="24"/>
          <w:szCs w:val="24"/>
        </w:rPr>
        <w:t xml:space="preserve">Mr G. M. </w:t>
      </w:r>
      <w:proofErr w:type="spellStart"/>
      <w:r w:rsidR="00E82F40">
        <w:rPr>
          <w:rFonts w:ascii="Tahoma" w:hAnsi="Tahoma" w:cs="Tahoma"/>
          <w:b/>
          <w:sz w:val="24"/>
          <w:szCs w:val="24"/>
        </w:rPr>
        <w:t>Nyangwa</w:t>
      </w:r>
      <w:proofErr w:type="spellEnd"/>
      <w:r w:rsidR="00E82F40">
        <w:rPr>
          <w:rFonts w:ascii="Tahoma" w:hAnsi="Tahoma" w:cs="Tahoma"/>
          <w:b/>
          <w:sz w:val="24"/>
          <w:szCs w:val="24"/>
        </w:rPr>
        <w:t>, Attorney</w:t>
      </w:r>
      <w:r w:rsidR="00987FE3">
        <w:rPr>
          <w:rFonts w:ascii="Tahoma" w:hAnsi="Tahoma" w:cs="Tahoma"/>
          <w:b/>
          <w:sz w:val="24"/>
          <w:szCs w:val="24"/>
        </w:rPr>
        <w:tab/>
      </w:r>
    </w:p>
    <w:p w:rsidR="003047D5" w:rsidRDefault="003047D5" w:rsidP="00446DC5">
      <w:pPr>
        <w:pStyle w:val="NoSpacing"/>
        <w:spacing w:line="360" w:lineRule="auto"/>
        <w:rPr>
          <w:rFonts w:ascii="Tahoma" w:hAnsi="Tahoma" w:cs="Tahoma"/>
          <w:b/>
          <w:sz w:val="24"/>
          <w:szCs w:val="24"/>
        </w:rPr>
      </w:pPr>
    </w:p>
    <w:p w:rsidR="003047D5" w:rsidRPr="008C4120" w:rsidRDefault="003047D5" w:rsidP="00446DC5">
      <w:pPr>
        <w:pStyle w:val="NoSpacing"/>
        <w:spacing w:line="360" w:lineRule="auto"/>
        <w:rPr>
          <w:rFonts w:ascii="Tahoma" w:hAnsi="Tahoma" w:cs="Tahoma"/>
          <w:b/>
          <w:sz w:val="24"/>
          <w:szCs w:val="24"/>
        </w:rPr>
      </w:pPr>
      <w:r>
        <w:rPr>
          <w:rFonts w:ascii="Tahoma" w:hAnsi="Tahoma" w:cs="Tahoma"/>
          <w:b/>
          <w:sz w:val="24"/>
          <w:szCs w:val="24"/>
        </w:rPr>
        <w:t>REPORTABLE JUDGMENT</w:t>
      </w:r>
    </w:p>
    <w:p w:rsidR="00446DC5" w:rsidRPr="004708FE" w:rsidRDefault="00446DC5" w:rsidP="00037D40">
      <w:pPr>
        <w:spacing w:line="240" w:lineRule="auto"/>
        <w:jc w:val="both"/>
        <w:rPr>
          <w:rFonts w:ascii="Tahoma" w:hAnsi="Tahoma" w:cs="Tahoma"/>
          <w:b/>
          <w:sz w:val="24"/>
          <w:szCs w:val="24"/>
        </w:rPr>
      </w:pPr>
    </w:p>
    <w:p w:rsidR="00446DC5"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742E06" w:rsidRDefault="00742E06" w:rsidP="00446DC5">
      <w:pPr>
        <w:spacing w:line="360" w:lineRule="auto"/>
        <w:jc w:val="both"/>
        <w:rPr>
          <w:rFonts w:ascii="Tahoma" w:hAnsi="Tahoma" w:cs="Tahoma"/>
          <w:sz w:val="24"/>
          <w:szCs w:val="24"/>
        </w:rPr>
      </w:pPr>
      <w:r>
        <w:rPr>
          <w:rFonts w:ascii="Tahoma" w:hAnsi="Tahoma" w:cs="Tahoma"/>
          <w:sz w:val="24"/>
          <w:szCs w:val="24"/>
        </w:rPr>
        <w:tab/>
        <w:t>Applicant applied to this court for the condonation of his delay in filing a review application. Respondent opposed the application for condonation I shall deal with the matter under sub – title</w:t>
      </w:r>
      <w:r w:rsidR="0029084A">
        <w:rPr>
          <w:rFonts w:ascii="Tahoma" w:hAnsi="Tahoma" w:cs="Tahoma"/>
          <w:sz w:val="24"/>
          <w:szCs w:val="24"/>
        </w:rPr>
        <w:t>s</w:t>
      </w:r>
      <w:r>
        <w:rPr>
          <w:rFonts w:ascii="Tahoma" w:hAnsi="Tahoma" w:cs="Tahoma"/>
          <w:sz w:val="24"/>
          <w:szCs w:val="24"/>
        </w:rPr>
        <w:t xml:space="preserve"> “Delay” and “Prospects.”</w:t>
      </w:r>
    </w:p>
    <w:p w:rsidR="00742E06" w:rsidRPr="000F08CA" w:rsidRDefault="00742E06" w:rsidP="00446DC5">
      <w:pPr>
        <w:spacing w:line="360" w:lineRule="auto"/>
        <w:jc w:val="both"/>
        <w:rPr>
          <w:rFonts w:ascii="Tahoma" w:hAnsi="Tahoma" w:cs="Tahoma"/>
          <w:b/>
          <w:sz w:val="24"/>
          <w:szCs w:val="24"/>
          <w:u w:val="single"/>
        </w:rPr>
      </w:pPr>
      <w:r w:rsidRPr="000F08CA">
        <w:rPr>
          <w:rFonts w:ascii="Tahoma" w:hAnsi="Tahoma" w:cs="Tahoma"/>
          <w:b/>
          <w:sz w:val="24"/>
          <w:szCs w:val="24"/>
          <w:u w:val="single"/>
        </w:rPr>
        <w:t>Delay</w:t>
      </w:r>
    </w:p>
    <w:p w:rsidR="00742E06" w:rsidRDefault="00742E06" w:rsidP="00446DC5">
      <w:pPr>
        <w:spacing w:line="360" w:lineRule="auto"/>
        <w:jc w:val="both"/>
        <w:rPr>
          <w:rFonts w:ascii="Tahoma" w:hAnsi="Tahoma" w:cs="Tahoma"/>
          <w:sz w:val="24"/>
          <w:szCs w:val="24"/>
        </w:rPr>
      </w:pPr>
      <w:r>
        <w:rPr>
          <w:rFonts w:ascii="Tahoma" w:hAnsi="Tahoma" w:cs="Tahoma"/>
          <w:sz w:val="24"/>
          <w:szCs w:val="24"/>
        </w:rPr>
        <w:tab/>
        <w:t>Applicant stated that his employment was terminated by Respondent through a letter dated the 18</w:t>
      </w:r>
      <w:r w:rsidRPr="00742E06">
        <w:rPr>
          <w:rFonts w:ascii="Tahoma" w:hAnsi="Tahoma" w:cs="Tahoma"/>
          <w:sz w:val="24"/>
          <w:szCs w:val="24"/>
          <w:vertAlign w:val="superscript"/>
        </w:rPr>
        <w:t>th</w:t>
      </w:r>
      <w:r>
        <w:rPr>
          <w:rFonts w:ascii="Tahoma" w:hAnsi="Tahoma" w:cs="Tahoma"/>
          <w:sz w:val="24"/>
          <w:szCs w:val="24"/>
        </w:rPr>
        <w:t xml:space="preserve"> February 2015. It is that termination which he wishes to take on review. The present application was filed on the 19</w:t>
      </w:r>
      <w:r w:rsidRPr="00742E06">
        <w:rPr>
          <w:rFonts w:ascii="Tahoma" w:hAnsi="Tahoma" w:cs="Tahoma"/>
          <w:sz w:val="24"/>
          <w:szCs w:val="24"/>
          <w:vertAlign w:val="superscript"/>
        </w:rPr>
        <w:t>th</w:t>
      </w:r>
      <w:r>
        <w:rPr>
          <w:rFonts w:ascii="Tahoma" w:hAnsi="Tahoma" w:cs="Tahoma"/>
          <w:sz w:val="24"/>
          <w:szCs w:val="24"/>
        </w:rPr>
        <w:t xml:space="preserve"> March 2021. That means that the delay extends over six (6) years. Applicant himself admitted that the extent of the delay is inordinate. However, he argued that the reasons for the delay are plausible.</w:t>
      </w:r>
    </w:p>
    <w:p w:rsidR="0029084A" w:rsidRDefault="00742E06" w:rsidP="00446DC5">
      <w:pPr>
        <w:spacing w:line="360" w:lineRule="auto"/>
        <w:jc w:val="both"/>
        <w:rPr>
          <w:rFonts w:ascii="Tahoma" w:hAnsi="Tahoma" w:cs="Tahoma"/>
          <w:sz w:val="24"/>
          <w:szCs w:val="24"/>
        </w:rPr>
      </w:pPr>
      <w:r>
        <w:rPr>
          <w:rFonts w:ascii="Tahoma" w:hAnsi="Tahoma" w:cs="Tahoma"/>
          <w:sz w:val="24"/>
          <w:szCs w:val="24"/>
        </w:rPr>
        <w:tab/>
        <w:t>The record shows that Applicant was not sitting on his hands. He challenged his termination by complaint to an Arbitrator</w:t>
      </w:r>
      <w:r w:rsidR="0029084A">
        <w:rPr>
          <w:rFonts w:ascii="Tahoma" w:hAnsi="Tahoma" w:cs="Tahoma"/>
          <w:sz w:val="24"/>
          <w:szCs w:val="24"/>
        </w:rPr>
        <w:t>/</w:t>
      </w:r>
      <w:r>
        <w:rPr>
          <w:rFonts w:ascii="Tahoma" w:hAnsi="Tahoma" w:cs="Tahoma"/>
          <w:sz w:val="24"/>
          <w:szCs w:val="24"/>
        </w:rPr>
        <w:t xml:space="preserve">Labour Officer. The matter was </w:t>
      </w:r>
      <w:r>
        <w:rPr>
          <w:rFonts w:ascii="Tahoma" w:hAnsi="Tahoma" w:cs="Tahoma"/>
          <w:sz w:val="24"/>
          <w:szCs w:val="24"/>
        </w:rPr>
        <w:lastRenderedPageBreak/>
        <w:t xml:space="preserve">determined in his favour. The matter </w:t>
      </w:r>
      <w:r w:rsidR="0029084A">
        <w:rPr>
          <w:rFonts w:ascii="Tahoma" w:hAnsi="Tahoma" w:cs="Tahoma"/>
          <w:sz w:val="24"/>
          <w:szCs w:val="24"/>
        </w:rPr>
        <w:t>then wound its way r</w:t>
      </w:r>
      <w:r>
        <w:rPr>
          <w:rFonts w:ascii="Tahoma" w:hAnsi="Tahoma" w:cs="Tahoma"/>
          <w:sz w:val="24"/>
          <w:szCs w:val="24"/>
        </w:rPr>
        <w:t>ight up to the Supreme Court. Filed of record is a Supreme Court order reference 0020714 date – stamped the 19</w:t>
      </w:r>
      <w:r w:rsidRPr="00742E06">
        <w:rPr>
          <w:rFonts w:ascii="Tahoma" w:hAnsi="Tahoma" w:cs="Tahoma"/>
          <w:sz w:val="24"/>
          <w:szCs w:val="24"/>
          <w:vertAlign w:val="superscript"/>
        </w:rPr>
        <w:t>th</w:t>
      </w:r>
      <w:r>
        <w:rPr>
          <w:rFonts w:ascii="Tahoma" w:hAnsi="Tahoma" w:cs="Tahoma"/>
          <w:sz w:val="24"/>
          <w:szCs w:val="24"/>
        </w:rPr>
        <w:t xml:space="preserve"> March 2021. That</w:t>
      </w:r>
      <w:r w:rsidR="00EE5830">
        <w:rPr>
          <w:rFonts w:ascii="Tahoma" w:hAnsi="Tahoma" w:cs="Tahoma"/>
          <w:sz w:val="24"/>
          <w:szCs w:val="24"/>
        </w:rPr>
        <w:t xml:space="preserve"> order nullified all proceedings </w:t>
      </w:r>
      <w:r w:rsidR="00EE5830" w:rsidRPr="00EE5830">
        <w:rPr>
          <w:rFonts w:ascii="Tahoma" w:hAnsi="Tahoma" w:cs="Tahoma"/>
          <w:sz w:val="24"/>
          <w:szCs w:val="24"/>
          <w:u w:val="single"/>
        </w:rPr>
        <w:t>post</w:t>
      </w:r>
      <w:r w:rsidR="00EE5830">
        <w:rPr>
          <w:rFonts w:ascii="Tahoma" w:hAnsi="Tahoma" w:cs="Tahoma"/>
          <w:sz w:val="24"/>
          <w:szCs w:val="24"/>
        </w:rPr>
        <w:t xml:space="preserve"> his earlier termination. The nullification was based upon the analysis in the matter of </w:t>
      </w:r>
    </w:p>
    <w:p w:rsidR="0029084A" w:rsidRDefault="00EE5830" w:rsidP="0029084A">
      <w:pPr>
        <w:spacing w:after="0" w:line="360" w:lineRule="auto"/>
        <w:jc w:val="both"/>
        <w:rPr>
          <w:rFonts w:ascii="Tahoma" w:hAnsi="Tahoma" w:cs="Tahoma"/>
          <w:sz w:val="24"/>
          <w:szCs w:val="24"/>
        </w:rPr>
      </w:pPr>
      <w:proofErr w:type="spellStart"/>
      <w:r w:rsidRPr="00EE5830">
        <w:rPr>
          <w:rFonts w:ascii="Tahoma" w:hAnsi="Tahoma" w:cs="Tahoma"/>
          <w:i/>
          <w:sz w:val="24"/>
          <w:szCs w:val="24"/>
        </w:rPr>
        <w:t>Sakarombe</w:t>
      </w:r>
      <w:proofErr w:type="spellEnd"/>
      <w:r w:rsidRPr="00EE5830">
        <w:rPr>
          <w:rFonts w:ascii="Tahoma" w:hAnsi="Tahoma" w:cs="Tahoma"/>
          <w:i/>
          <w:sz w:val="24"/>
          <w:szCs w:val="24"/>
        </w:rPr>
        <w:t xml:space="preserve"> </w:t>
      </w:r>
      <w:r w:rsidRPr="00EE5830">
        <w:rPr>
          <w:rFonts w:ascii="Tahoma" w:hAnsi="Tahoma" w:cs="Tahoma"/>
          <w:sz w:val="24"/>
          <w:szCs w:val="24"/>
        </w:rPr>
        <w:t xml:space="preserve">v </w:t>
      </w:r>
      <w:r w:rsidRPr="00EE5830">
        <w:rPr>
          <w:rFonts w:ascii="Tahoma" w:hAnsi="Tahoma" w:cs="Tahoma"/>
          <w:i/>
          <w:sz w:val="24"/>
          <w:szCs w:val="24"/>
        </w:rPr>
        <w:t>Montana</w:t>
      </w:r>
      <w:r>
        <w:rPr>
          <w:rFonts w:ascii="Tahoma" w:hAnsi="Tahoma" w:cs="Tahoma"/>
          <w:sz w:val="24"/>
          <w:szCs w:val="24"/>
        </w:rPr>
        <w:t xml:space="preserve">    </w:t>
      </w:r>
    </w:p>
    <w:p w:rsidR="00742E06" w:rsidRDefault="00EE5830" w:rsidP="0029084A">
      <w:pPr>
        <w:spacing w:after="0" w:line="360" w:lineRule="auto"/>
        <w:jc w:val="both"/>
        <w:rPr>
          <w:rFonts w:ascii="Tahoma" w:hAnsi="Tahoma" w:cs="Tahoma"/>
          <w:sz w:val="24"/>
          <w:szCs w:val="24"/>
        </w:rPr>
      </w:pPr>
      <w:r>
        <w:rPr>
          <w:rFonts w:ascii="Tahoma" w:hAnsi="Tahoma" w:cs="Tahoma"/>
          <w:sz w:val="24"/>
          <w:szCs w:val="24"/>
        </w:rPr>
        <w:t>SC 44/20</w:t>
      </w:r>
    </w:p>
    <w:p w:rsidR="0029084A" w:rsidRDefault="0029084A" w:rsidP="0029084A">
      <w:pPr>
        <w:spacing w:after="0" w:line="360" w:lineRule="auto"/>
        <w:jc w:val="both"/>
        <w:rPr>
          <w:rFonts w:ascii="Tahoma" w:hAnsi="Tahoma" w:cs="Tahoma"/>
          <w:sz w:val="24"/>
          <w:szCs w:val="24"/>
        </w:rPr>
      </w:pPr>
    </w:p>
    <w:p w:rsidR="00EE5830" w:rsidRDefault="0029084A" w:rsidP="00446DC5">
      <w:pPr>
        <w:spacing w:line="360" w:lineRule="auto"/>
        <w:jc w:val="both"/>
        <w:rPr>
          <w:rFonts w:ascii="Tahoma" w:hAnsi="Tahoma" w:cs="Tahoma"/>
          <w:sz w:val="24"/>
          <w:szCs w:val="24"/>
        </w:rPr>
      </w:pPr>
      <w:r>
        <w:rPr>
          <w:rFonts w:ascii="Tahoma" w:hAnsi="Tahoma" w:cs="Tahoma"/>
          <w:sz w:val="24"/>
          <w:szCs w:val="24"/>
        </w:rPr>
        <w:tab/>
        <w:t>w</w:t>
      </w:r>
      <w:r w:rsidR="00EE5830">
        <w:rPr>
          <w:rFonts w:ascii="Tahoma" w:hAnsi="Tahoma" w:cs="Tahoma"/>
          <w:sz w:val="24"/>
          <w:szCs w:val="24"/>
        </w:rPr>
        <w:t xml:space="preserve">here </w:t>
      </w:r>
      <w:proofErr w:type="spellStart"/>
      <w:r w:rsidR="00EE5830">
        <w:rPr>
          <w:rFonts w:ascii="Tahoma" w:hAnsi="Tahoma" w:cs="Tahoma"/>
          <w:sz w:val="24"/>
          <w:szCs w:val="24"/>
        </w:rPr>
        <w:t>Gowora</w:t>
      </w:r>
      <w:proofErr w:type="spellEnd"/>
      <w:r w:rsidR="00EE5830">
        <w:rPr>
          <w:rFonts w:ascii="Tahoma" w:hAnsi="Tahoma" w:cs="Tahoma"/>
          <w:sz w:val="24"/>
          <w:szCs w:val="24"/>
        </w:rPr>
        <w:t xml:space="preserve"> JA opined</w:t>
      </w:r>
      <w:r w:rsidR="00BA573B">
        <w:rPr>
          <w:rFonts w:ascii="Tahoma" w:hAnsi="Tahoma" w:cs="Tahoma"/>
          <w:sz w:val="24"/>
          <w:szCs w:val="24"/>
        </w:rPr>
        <w:t xml:space="preserve"> </w:t>
      </w:r>
      <w:r w:rsidR="00EE5830">
        <w:rPr>
          <w:rFonts w:ascii="Tahoma" w:hAnsi="Tahoma" w:cs="Tahoma"/>
          <w:sz w:val="24"/>
          <w:szCs w:val="24"/>
        </w:rPr>
        <w:t>that</w:t>
      </w:r>
      <w:r w:rsidR="00A91C6D">
        <w:rPr>
          <w:rFonts w:ascii="Tahoma" w:hAnsi="Tahoma" w:cs="Tahoma"/>
          <w:sz w:val="24"/>
          <w:szCs w:val="24"/>
        </w:rPr>
        <w:t>,</w:t>
      </w:r>
      <w:r w:rsidR="00EE5830">
        <w:rPr>
          <w:rFonts w:ascii="Tahoma" w:hAnsi="Tahoma" w:cs="Tahoma"/>
          <w:sz w:val="24"/>
          <w:szCs w:val="24"/>
        </w:rPr>
        <w:t xml:space="preserve"> at p 21;</w:t>
      </w:r>
    </w:p>
    <w:p w:rsidR="00EE5830" w:rsidRPr="00BA573B" w:rsidRDefault="00EE5830" w:rsidP="00BA573B">
      <w:pPr>
        <w:spacing w:line="360" w:lineRule="auto"/>
        <w:ind w:left="720" w:hanging="720"/>
        <w:jc w:val="both"/>
        <w:rPr>
          <w:rFonts w:ascii="Tahoma" w:hAnsi="Tahoma" w:cs="Tahoma"/>
        </w:rPr>
      </w:pPr>
      <w:r>
        <w:rPr>
          <w:rFonts w:ascii="Tahoma" w:hAnsi="Tahoma" w:cs="Tahoma"/>
          <w:sz w:val="24"/>
          <w:szCs w:val="24"/>
        </w:rPr>
        <w:tab/>
      </w:r>
      <w:r w:rsidRPr="00BA573B">
        <w:rPr>
          <w:rFonts w:ascii="Tahoma" w:hAnsi="Tahoma" w:cs="Tahoma"/>
        </w:rPr>
        <w:t>“(49)</w:t>
      </w:r>
      <w:r w:rsidRPr="00BA573B">
        <w:rPr>
          <w:rFonts w:ascii="Tahoma" w:hAnsi="Tahoma" w:cs="Tahoma"/>
        </w:rPr>
        <w:tab/>
        <w:t xml:space="preserve">In my view the principle emerging from all authorities referred to above can be summarized by the statement, to the effect that a labour officer </w:t>
      </w:r>
      <w:r w:rsidRPr="0029084A">
        <w:rPr>
          <w:rFonts w:ascii="Tahoma" w:hAnsi="Tahoma" w:cs="Tahoma"/>
          <w:u w:val="single"/>
        </w:rPr>
        <w:t>does not have any jurisdiction under s 93 to entertain a matter once a determination on the merits has been made through a disciplinary process</w:t>
      </w:r>
      <w:r w:rsidRPr="00BA573B">
        <w:rPr>
          <w:rFonts w:ascii="Tahoma" w:hAnsi="Tahoma" w:cs="Tahoma"/>
        </w:rPr>
        <w:t xml:space="preserve"> </w:t>
      </w:r>
      <w:r w:rsidR="00BA573B" w:rsidRPr="00BA573B">
        <w:rPr>
          <w:rFonts w:ascii="Tahoma" w:hAnsi="Tahoma" w:cs="Tahoma"/>
        </w:rPr>
        <w:t>under a registered code of conduct.”</w:t>
      </w:r>
    </w:p>
    <w:p w:rsidR="00742E06" w:rsidRDefault="00BA573B" w:rsidP="00446DC5">
      <w:pPr>
        <w:spacing w:line="360" w:lineRule="auto"/>
        <w:jc w:val="both"/>
        <w:rPr>
          <w:rFonts w:ascii="Tahoma" w:hAnsi="Tahoma" w:cs="Tahoma"/>
          <w:sz w:val="24"/>
          <w:szCs w:val="24"/>
        </w:rPr>
      </w:pPr>
      <w:r>
        <w:rPr>
          <w:rFonts w:ascii="Tahoma" w:hAnsi="Tahoma" w:cs="Tahoma"/>
          <w:sz w:val="24"/>
          <w:szCs w:val="24"/>
        </w:rPr>
        <w:tab/>
        <w:t>Applicant’s attorney stated he did not become of this precedent on time. He only became a</w:t>
      </w:r>
      <w:r w:rsidR="0029084A">
        <w:rPr>
          <w:rFonts w:ascii="Tahoma" w:hAnsi="Tahoma" w:cs="Tahoma"/>
          <w:sz w:val="24"/>
          <w:szCs w:val="24"/>
        </w:rPr>
        <w:t>ware of it belatedly whereupon h</w:t>
      </w:r>
      <w:r>
        <w:rPr>
          <w:rFonts w:ascii="Tahoma" w:hAnsi="Tahoma" w:cs="Tahoma"/>
          <w:sz w:val="24"/>
          <w:szCs w:val="24"/>
        </w:rPr>
        <w:t>e mounted the present application. Respondent submitted that Applicant should have learnt of the precedent on time. However I am prepared to give Appellant the benefit of doubt on his explanation for his delay.</w:t>
      </w:r>
    </w:p>
    <w:p w:rsidR="00BA573B" w:rsidRPr="000F08CA" w:rsidRDefault="00BA573B" w:rsidP="00446DC5">
      <w:pPr>
        <w:spacing w:line="360" w:lineRule="auto"/>
        <w:jc w:val="both"/>
        <w:rPr>
          <w:rFonts w:ascii="Tahoma" w:hAnsi="Tahoma" w:cs="Tahoma"/>
          <w:b/>
          <w:sz w:val="24"/>
          <w:szCs w:val="24"/>
          <w:u w:val="single"/>
        </w:rPr>
      </w:pPr>
      <w:r w:rsidRPr="000F08CA">
        <w:rPr>
          <w:rFonts w:ascii="Tahoma" w:hAnsi="Tahoma" w:cs="Tahoma"/>
          <w:b/>
          <w:sz w:val="24"/>
          <w:szCs w:val="24"/>
          <w:u w:val="single"/>
        </w:rPr>
        <w:t>Prospects</w:t>
      </w:r>
    </w:p>
    <w:p w:rsidR="0029084A" w:rsidRDefault="00BA573B" w:rsidP="00446DC5">
      <w:pPr>
        <w:spacing w:line="360" w:lineRule="auto"/>
        <w:jc w:val="both"/>
        <w:rPr>
          <w:rFonts w:ascii="Tahoma" w:hAnsi="Tahoma" w:cs="Tahoma"/>
          <w:sz w:val="24"/>
          <w:szCs w:val="24"/>
        </w:rPr>
      </w:pPr>
      <w:r>
        <w:rPr>
          <w:rFonts w:ascii="Tahoma" w:hAnsi="Tahoma" w:cs="Tahoma"/>
          <w:sz w:val="24"/>
          <w:szCs w:val="24"/>
        </w:rPr>
        <w:tab/>
        <w:t xml:space="preserve">Respondent submitted that Applicant does not have reasonable prospects of success. The appeal he wishes to bring is overdue by six (6) years. It has therefore prescribed in terms of the </w:t>
      </w:r>
      <w:r w:rsidRPr="0029084A">
        <w:rPr>
          <w:rFonts w:ascii="Tahoma" w:hAnsi="Tahoma" w:cs="Tahoma"/>
          <w:i/>
          <w:sz w:val="24"/>
          <w:szCs w:val="24"/>
        </w:rPr>
        <w:t>Prescription Act</w:t>
      </w:r>
      <w:r>
        <w:rPr>
          <w:rFonts w:ascii="Tahoma" w:hAnsi="Tahoma" w:cs="Tahoma"/>
          <w:sz w:val="24"/>
          <w:szCs w:val="24"/>
        </w:rPr>
        <w:t xml:space="preserve"> [</w:t>
      </w:r>
      <w:r w:rsidRPr="00BA573B">
        <w:rPr>
          <w:rFonts w:ascii="Tahoma" w:hAnsi="Tahoma" w:cs="Tahoma"/>
          <w:i/>
          <w:sz w:val="24"/>
          <w:szCs w:val="24"/>
        </w:rPr>
        <w:t>Chapter 8:11</w:t>
      </w:r>
      <w:r>
        <w:rPr>
          <w:rFonts w:ascii="Tahoma" w:hAnsi="Tahoma" w:cs="Tahoma"/>
          <w:sz w:val="24"/>
          <w:szCs w:val="24"/>
        </w:rPr>
        <w:t xml:space="preserve">] Respondent specifically relied on the following dicta in the case of </w:t>
      </w:r>
    </w:p>
    <w:p w:rsidR="00BA573B" w:rsidRDefault="00BA573B" w:rsidP="0029084A">
      <w:pPr>
        <w:spacing w:line="360" w:lineRule="auto"/>
        <w:ind w:firstLine="720"/>
        <w:jc w:val="both"/>
        <w:rPr>
          <w:rFonts w:ascii="Tahoma" w:hAnsi="Tahoma" w:cs="Tahoma"/>
          <w:sz w:val="24"/>
          <w:szCs w:val="24"/>
        </w:rPr>
      </w:pPr>
      <w:proofErr w:type="spellStart"/>
      <w:r w:rsidRPr="00BA573B">
        <w:rPr>
          <w:rFonts w:ascii="Tahoma" w:hAnsi="Tahoma" w:cs="Tahoma"/>
          <w:i/>
          <w:sz w:val="24"/>
          <w:szCs w:val="24"/>
        </w:rPr>
        <w:t>Manjovha</w:t>
      </w:r>
      <w:proofErr w:type="spellEnd"/>
      <w:r w:rsidRPr="00BA573B">
        <w:rPr>
          <w:rFonts w:ascii="Tahoma" w:hAnsi="Tahoma" w:cs="Tahoma"/>
          <w:i/>
          <w:sz w:val="24"/>
          <w:szCs w:val="24"/>
        </w:rPr>
        <w:t xml:space="preserve"> </w:t>
      </w:r>
      <w:r w:rsidRPr="00BA573B">
        <w:rPr>
          <w:rFonts w:ascii="Tahoma" w:hAnsi="Tahoma" w:cs="Tahoma"/>
          <w:sz w:val="24"/>
          <w:szCs w:val="24"/>
        </w:rPr>
        <w:t>v</w:t>
      </w:r>
      <w:r w:rsidRPr="00BA573B">
        <w:rPr>
          <w:rFonts w:ascii="Tahoma" w:hAnsi="Tahoma" w:cs="Tahoma"/>
          <w:i/>
          <w:sz w:val="24"/>
          <w:szCs w:val="24"/>
        </w:rPr>
        <w:t xml:space="preserve"> Delta</w:t>
      </w:r>
      <w:r>
        <w:rPr>
          <w:rFonts w:ascii="Tahoma" w:hAnsi="Tahoma" w:cs="Tahoma"/>
          <w:sz w:val="24"/>
          <w:szCs w:val="24"/>
        </w:rPr>
        <w:t xml:space="preserve"> SC 64/21 wherein </w:t>
      </w:r>
      <w:proofErr w:type="spellStart"/>
      <w:r w:rsidRPr="00BA573B">
        <w:rPr>
          <w:rFonts w:ascii="Tahoma" w:hAnsi="Tahoma" w:cs="Tahoma"/>
          <w:smallCaps/>
          <w:sz w:val="24"/>
          <w:szCs w:val="24"/>
        </w:rPr>
        <w:t>Bhunu</w:t>
      </w:r>
      <w:proofErr w:type="spellEnd"/>
      <w:r w:rsidRPr="00BA573B">
        <w:rPr>
          <w:rFonts w:ascii="Tahoma" w:hAnsi="Tahoma" w:cs="Tahoma"/>
          <w:smallCaps/>
          <w:sz w:val="24"/>
          <w:szCs w:val="24"/>
        </w:rPr>
        <w:t xml:space="preserve"> JA</w:t>
      </w:r>
      <w:r>
        <w:rPr>
          <w:rFonts w:ascii="Tahoma" w:hAnsi="Tahoma" w:cs="Tahoma"/>
          <w:sz w:val="24"/>
          <w:szCs w:val="24"/>
        </w:rPr>
        <w:t xml:space="preserve"> at p 5</w:t>
      </w:r>
      <w:r w:rsidR="00C31C91">
        <w:rPr>
          <w:rFonts w:ascii="Tahoma" w:hAnsi="Tahoma" w:cs="Tahoma"/>
          <w:sz w:val="24"/>
          <w:szCs w:val="24"/>
        </w:rPr>
        <w:t xml:space="preserve"> stated that:</w:t>
      </w:r>
    </w:p>
    <w:p w:rsidR="00C31C91" w:rsidRDefault="00C31C91" w:rsidP="00C31C91">
      <w:pPr>
        <w:spacing w:after="0" w:line="360" w:lineRule="auto"/>
        <w:ind w:left="720"/>
        <w:jc w:val="both"/>
        <w:rPr>
          <w:rFonts w:ascii="Tahoma" w:hAnsi="Tahoma" w:cs="Tahoma"/>
          <w:u w:val="single"/>
        </w:rPr>
      </w:pPr>
      <w:r w:rsidRPr="00C31C91">
        <w:rPr>
          <w:rFonts w:ascii="Tahoma" w:hAnsi="Tahoma" w:cs="Tahoma"/>
        </w:rPr>
        <w:t>“I</w:t>
      </w:r>
      <w:r>
        <w:rPr>
          <w:rFonts w:ascii="Tahoma" w:hAnsi="Tahoma" w:cs="Tahoma"/>
        </w:rPr>
        <w:t xml:space="preserve">t is trite that ordinary debts are irrevocably extinguished by prescription after    </w:t>
      </w:r>
      <w:r w:rsidRPr="00C31C91">
        <w:rPr>
          <w:rFonts w:ascii="Tahoma" w:hAnsi="Tahoma" w:cs="Tahoma"/>
          <w:u w:val="single"/>
        </w:rPr>
        <w:t>3</w:t>
      </w:r>
      <w:r>
        <w:rPr>
          <w:rFonts w:ascii="Tahoma" w:hAnsi="Tahoma" w:cs="Tahoma"/>
          <w:u w:val="single"/>
        </w:rPr>
        <w:t xml:space="preserve"> </w:t>
      </w:r>
      <w:r w:rsidRPr="00C31C91">
        <w:rPr>
          <w:rFonts w:ascii="Tahoma" w:hAnsi="Tahoma" w:cs="Tahoma"/>
          <w:u w:val="single"/>
        </w:rPr>
        <w:t>years</w:t>
      </w:r>
      <w:r>
        <w:rPr>
          <w:rFonts w:ascii="Tahoma" w:hAnsi="Tahoma" w:cs="Tahoma"/>
        </w:rPr>
        <w:t xml:space="preserve"> in terms of s 15 (d) of the Prescription Act. Section 2 defines a debt as including anything that may be sued for. That definition squarely brings an appeal within the ambit of the definition of a debt. </w:t>
      </w:r>
      <w:r w:rsidRPr="00C31C91">
        <w:rPr>
          <w:rFonts w:ascii="Tahoma" w:hAnsi="Tahoma" w:cs="Tahoma"/>
          <w:u w:val="single"/>
        </w:rPr>
        <w:t>The definition therefore renders an appeal subject to the Prescription Act.</w:t>
      </w:r>
      <w:r w:rsidRPr="00C31C91">
        <w:rPr>
          <w:rFonts w:ascii="Tahoma" w:hAnsi="Tahoma" w:cs="Tahoma"/>
        </w:rPr>
        <w:t xml:space="preserve">” </w:t>
      </w:r>
      <w:r w:rsidRPr="00C31C91">
        <w:rPr>
          <w:rFonts w:ascii="Tahoma" w:hAnsi="Tahoma" w:cs="Tahoma"/>
          <w:u w:val="single"/>
        </w:rPr>
        <w:t xml:space="preserve"> </w:t>
      </w:r>
    </w:p>
    <w:p w:rsidR="00C31C91" w:rsidRDefault="00C31C91" w:rsidP="00C31C91">
      <w:pPr>
        <w:spacing w:after="0" w:line="360" w:lineRule="auto"/>
        <w:jc w:val="both"/>
        <w:rPr>
          <w:rFonts w:ascii="Tahoma" w:hAnsi="Tahoma" w:cs="Tahoma"/>
          <w:u w:val="single"/>
        </w:rPr>
      </w:pPr>
    </w:p>
    <w:p w:rsidR="00C31C91" w:rsidRDefault="00C31C91" w:rsidP="00C31C91">
      <w:pPr>
        <w:spacing w:after="0" w:line="360" w:lineRule="auto"/>
        <w:jc w:val="both"/>
        <w:rPr>
          <w:rFonts w:ascii="Tahoma" w:hAnsi="Tahoma" w:cs="Tahoma"/>
          <w:sz w:val="24"/>
          <w:szCs w:val="24"/>
        </w:rPr>
      </w:pPr>
      <w:r>
        <w:rPr>
          <w:rFonts w:ascii="Tahoma" w:hAnsi="Tahoma" w:cs="Tahoma"/>
        </w:rPr>
        <w:lastRenderedPageBreak/>
        <w:tab/>
      </w:r>
      <w:r>
        <w:rPr>
          <w:rFonts w:ascii="Tahoma" w:hAnsi="Tahoma" w:cs="Tahoma"/>
          <w:sz w:val="24"/>
          <w:szCs w:val="24"/>
        </w:rPr>
        <w:t xml:space="preserve">By parity of reasoning the right to appeal in the present case lapsed three (3) years after the termination in question. </w:t>
      </w:r>
      <w:r w:rsidR="000F08CA">
        <w:rPr>
          <w:rFonts w:ascii="Tahoma" w:hAnsi="Tahoma" w:cs="Tahoma"/>
          <w:sz w:val="24"/>
          <w:szCs w:val="24"/>
        </w:rPr>
        <w:t>Applicant</w:t>
      </w:r>
      <w:r>
        <w:rPr>
          <w:rFonts w:ascii="Tahoma" w:hAnsi="Tahoma" w:cs="Tahoma"/>
          <w:sz w:val="24"/>
          <w:szCs w:val="24"/>
        </w:rPr>
        <w:t xml:space="preserve"> sought to argue that the Rules of this court do not set a limit to the period of delay which may be condoned. I consider that argument as unpersuasive. The Rules of this court should be read together with the </w:t>
      </w:r>
      <w:r w:rsidRPr="0029084A">
        <w:rPr>
          <w:rFonts w:ascii="Tahoma" w:hAnsi="Tahoma" w:cs="Tahoma"/>
          <w:i/>
          <w:sz w:val="24"/>
          <w:szCs w:val="24"/>
        </w:rPr>
        <w:t>Prescription Act.</w:t>
      </w:r>
      <w:r>
        <w:rPr>
          <w:rFonts w:ascii="Tahoma" w:hAnsi="Tahoma" w:cs="Tahoma"/>
          <w:sz w:val="24"/>
          <w:szCs w:val="24"/>
        </w:rPr>
        <w:t xml:space="preserve"> Where there is inconsistency or </w:t>
      </w:r>
      <w:r w:rsidR="000F08CA">
        <w:rPr>
          <w:rFonts w:ascii="Tahoma" w:hAnsi="Tahoma" w:cs="Tahoma"/>
          <w:sz w:val="24"/>
          <w:szCs w:val="24"/>
        </w:rPr>
        <w:t>ambiguity that</w:t>
      </w:r>
      <w:r>
        <w:rPr>
          <w:rFonts w:ascii="Tahoma" w:hAnsi="Tahoma" w:cs="Tahoma"/>
          <w:sz w:val="24"/>
          <w:szCs w:val="24"/>
        </w:rPr>
        <w:t xml:space="preserve"> Act prevails over the Court’s Rules. I therefore consider that Applicant lacks reasonable prospects of success on appeal.</w:t>
      </w:r>
    </w:p>
    <w:p w:rsidR="00C31C91" w:rsidRDefault="00C31C91" w:rsidP="00C31C91">
      <w:pPr>
        <w:spacing w:after="0" w:line="360" w:lineRule="auto"/>
        <w:jc w:val="both"/>
        <w:rPr>
          <w:rFonts w:ascii="Tahoma" w:hAnsi="Tahoma" w:cs="Tahoma"/>
          <w:sz w:val="24"/>
          <w:szCs w:val="24"/>
        </w:rPr>
      </w:pPr>
    </w:p>
    <w:p w:rsidR="00C31C91" w:rsidRDefault="00C31C91" w:rsidP="00C31C91">
      <w:pPr>
        <w:spacing w:after="0" w:line="360" w:lineRule="auto"/>
        <w:jc w:val="both"/>
        <w:rPr>
          <w:rFonts w:ascii="Tahoma" w:hAnsi="Tahoma" w:cs="Tahoma"/>
          <w:sz w:val="24"/>
          <w:szCs w:val="24"/>
        </w:rPr>
      </w:pPr>
      <w:r>
        <w:rPr>
          <w:rFonts w:ascii="Tahoma" w:hAnsi="Tahoma" w:cs="Tahoma"/>
          <w:sz w:val="24"/>
          <w:szCs w:val="24"/>
        </w:rPr>
        <w:tab/>
        <w:t>Though I have found Applicant’s explanation for his delay as plausible, he came short on the question of prospects of success on the merits. For that reason the application for condonation failed.</w:t>
      </w:r>
    </w:p>
    <w:p w:rsidR="00C31C91" w:rsidRDefault="00C31C91" w:rsidP="00C31C91">
      <w:pPr>
        <w:spacing w:after="0" w:line="360" w:lineRule="auto"/>
        <w:jc w:val="both"/>
        <w:rPr>
          <w:rFonts w:ascii="Tahoma" w:hAnsi="Tahoma" w:cs="Tahoma"/>
          <w:sz w:val="24"/>
          <w:szCs w:val="24"/>
        </w:rPr>
      </w:pPr>
    </w:p>
    <w:p w:rsidR="00C31C91" w:rsidRPr="00C31C91" w:rsidRDefault="00C31C91" w:rsidP="00C31C91">
      <w:pPr>
        <w:spacing w:after="0" w:line="360" w:lineRule="auto"/>
        <w:jc w:val="both"/>
        <w:rPr>
          <w:rFonts w:ascii="Tahoma" w:hAnsi="Tahoma" w:cs="Tahoma"/>
          <w:b/>
          <w:sz w:val="24"/>
          <w:szCs w:val="24"/>
        </w:rPr>
      </w:pPr>
      <w:r>
        <w:rPr>
          <w:rFonts w:ascii="Tahoma" w:hAnsi="Tahoma" w:cs="Tahoma"/>
          <w:sz w:val="24"/>
          <w:szCs w:val="24"/>
        </w:rPr>
        <w:tab/>
      </w:r>
      <w:r w:rsidRPr="00C31C91">
        <w:rPr>
          <w:rFonts w:ascii="Tahoma" w:hAnsi="Tahoma" w:cs="Tahoma"/>
          <w:b/>
          <w:sz w:val="24"/>
          <w:szCs w:val="24"/>
        </w:rPr>
        <w:t>Wherefore it is ordered that:</w:t>
      </w:r>
    </w:p>
    <w:p w:rsidR="00C31C91" w:rsidRPr="00C31C91" w:rsidRDefault="00C31C91" w:rsidP="00C31C91">
      <w:pPr>
        <w:spacing w:after="0" w:line="360" w:lineRule="auto"/>
        <w:jc w:val="both"/>
        <w:rPr>
          <w:rFonts w:ascii="Tahoma" w:hAnsi="Tahoma" w:cs="Tahoma"/>
          <w:b/>
          <w:sz w:val="24"/>
          <w:szCs w:val="24"/>
        </w:rPr>
      </w:pPr>
    </w:p>
    <w:p w:rsidR="00C31C91" w:rsidRPr="00C31C91" w:rsidRDefault="00C31C91" w:rsidP="00C31C91">
      <w:pPr>
        <w:spacing w:after="0" w:line="360" w:lineRule="auto"/>
        <w:ind w:left="1440" w:hanging="720"/>
        <w:jc w:val="both"/>
        <w:rPr>
          <w:rFonts w:ascii="Tahoma" w:hAnsi="Tahoma" w:cs="Tahoma"/>
          <w:b/>
          <w:sz w:val="24"/>
          <w:szCs w:val="24"/>
        </w:rPr>
      </w:pPr>
      <w:r w:rsidRPr="00C31C91">
        <w:rPr>
          <w:rFonts w:ascii="Tahoma" w:hAnsi="Tahoma" w:cs="Tahoma"/>
          <w:b/>
          <w:sz w:val="24"/>
          <w:szCs w:val="24"/>
        </w:rPr>
        <w:t>1.</w:t>
      </w:r>
      <w:r w:rsidRPr="00C31C91">
        <w:rPr>
          <w:rFonts w:ascii="Tahoma" w:hAnsi="Tahoma" w:cs="Tahoma"/>
          <w:b/>
          <w:sz w:val="24"/>
          <w:szCs w:val="24"/>
        </w:rPr>
        <w:tab/>
        <w:t>The application for condonation be and is hereby dismissed; and</w:t>
      </w:r>
    </w:p>
    <w:p w:rsidR="00C31C91" w:rsidRPr="00C31C91" w:rsidRDefault="00C31C91" w:rsidP="00C31C91">
      <w:pPr>
        <w:spacing w:after="0" w:line="360" w:lineRule="auto"/>
        <w:jc w:val="both"/>
        <w:rPr>
          <w:rFonts w:ascii="Tahoma" w:hAnsi="Tahoma" w:cs="Tahoma"/>
          <w:b/>
          <w:sz w:val="24"/>
          <w:szCs w:val="24"/>
        </w:rPr>
      </w:pPr>
      <w:r w:rsidRPr="00C31C91">
        <w:rPr>
          <w:rFonts w:ascii="Tahoma" w:hAnsi="Tahoma" w:cs="Tahoma"/>
          <w:b/>
          <w:sz w:val="24"/>
          <w:szCs w:val="24"/>
        </w:rPr>
        <w:tab/>
        <w:t>2.</w:t>
      </w:r>
      <w:r w:rsidRPr="00C31C91">
        <w:rPr>
          <w:rFonts w:ascii="Tahoma" w:hAnsi="Tahoma" w:cs="Tahoma"/>
          <w:b/>
          <w:sz w:val="24"/>
          <w:szCs w:val="24"/>
        </w:rPr>
        <w:tab/>
        <w:t>Each party shall bear its own costs.</w:t>
      </w:r>
    </w:p>
    <w:p w:rsidR="00FA66AB" w:rsidRDefault="00F12B2D" w:rsidP="00E82F40">
      <w:pPr>
        <w:spacing w:after="0" w:line="360" w:lineRule="auto"/>
        <w:jc w:val="both"/>
        <w:rPr>
          <w:rFonts w:ascii="Tahoma" w:hAnsi="Tahoma" w:cs="Tahoma"/>
          <w:sz w:val="24"/>
          <w:szCs w:val="24"/>
        </w:rPr>
      </w:pPr>
      <w:r>
        <w:rPr>
          <w:rFonts w:ascii="Tahoma" w:hAnsi="Tahoma" w:cs="Tahoma"/>
          <w:sz w:val="24"/>
          <w:szCs w:val="24"/>
        </w:rPr>
        <w:tab/>
      </w:r>
    </w:p>
    <w:p w:rsidR="00742E06" w:rsidRDefault="00742E06" w:rsidP="00E82F40">
      <w:pPr>
        <w:spacing w:after="0" w:line="360" w:lineRule="auto"/>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FA66AB"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G. MUSARIRI</w:t>
      </w:r>
    </w:p>
    <w:p w:rsidR="00C31C91"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J-U-D-G-E</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460" w:rsidRDefault="00962460" w:rsidP="00CB145F">
      <w:pPr>
        <w:spacing w:after="0" w:line="240" w:lineRule="auto"/>
      </w:pPr>
      <w:r>
        <w:separator/>
      </w:r>
    </w:p>
  </w:endnote>
  <w:endnote w:type="continuationSeparator" w:id="0">
    <w:p w:rsidR="00962460" w:rsidRDefault="00962460"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FC717C">
          <w:rPr>
            <w:noProof/>
          </w:rPr>
          <w:t>3</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460" w:rsidRDefault="00962460" w:rsidP="00CB145F">
      <w:pPr>
        <w:spacing w:after="0" w:line="240" w:lineRule="auto"/>
      </w:pPr>
      <w:r>
        <w:separator/>
      </w:r>
    </w:p>
  </w:footnote>
  <w:footnote w:type="continuationSeparator" w:id="0">
    <w:p w:rsidR="00962460" w:rsidRDefault="00962460"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FC717C">
      <w:rPr>
        <w:rFonts w:ascii="Tahoma" w:hAnsi="Tahoma" w:cs="Tahoma"/>
        <w:sz w:val="24"/>
        <w:szCs w:val="24"/>
      </w:rPr>
      <w:t>131</w:t>
    </w:r>
    <w:r w:rsidR="00C754FC">
      <w:rPr>
        <w:rFonts w:ascii="Tahoma" w:hAnsi="Tahoma" w:cs="Tahoma"/>
        <w:sz w:val="24"/>
        <w:szCs w:val="24"/>
      </w:rPr>
      <w:t>/2021</w:t>
    </w:r>
  </w:p>
  <w:p w:rsidR="00525115" w:rsidRPr="00CB145F" w:rsidRDefault="00525115">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LC/H/27/20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7D40"/>
    <w:rsid w:val="00041E71"/>
    <w:rsid w:val="00063264"/>
    <w:rsid w:val="00065D2D"/>
    <w:rsid w:val="00097A81"/>
    <w:rsid w:val="000A096C"/>
    <w:rsid w:val="000A2A9E"/>
    <w:rsid w:val="000C2C87"/>
    <w:rsid w:val="000F08CA"/>
    <w:rsid w:val="001004AC"/>
    <w:rsid w:val="0010711F"/>
    <w:rsid w:val="00151A29"/>
    <w:rsid w:val="00173D10"/>
    <w:rsid w:val="001830E8"/>
    <w:rsid w:val="001929EF"/>
    <w:rsid w:val="001A45C3"/>
    <w:rsid w:val="002019F4"/>
    <w:rsid w:val="002223F9"/>
    <w:rsid w:val="002411DC"/>
    <w:rsid w:val="00244498"/>
    <w:rsid w:val="00267014"/>
    <w:rsid w:val="00274B7B"/>
    <w:rsid w:val="00275981"/>
    <w:rsid w:val="00277C76"/>
    <w:rsid w:val="00286A0B"/>
    <w:rsid w:val="0029084A"/>
    <w:rsid w:val="002A36A9"/>
    <w:rsid w:val="002A4BC6"/>
    <w:rsid w:val="002F10D6"/>
    <w:rsid w:val="003047D5"/>
    <w:rsid w:val="00332591"/>
    <w:rsid w:val="00367162"/>
    <w:rsid w:val="00375B5D"/>
    <w:rsid w:val="003765C1"/>
    <w:rsid w:val="003A5D5F"/>
    <w:rsid w:val="00413059"/>
    <w:rsid w:val="00414B04"/>
    <w:rsid w:val="00446DC5"/>
    <w:rsid w:val="00452ACF"/>
    <w:rsid w:val="00467D1F"/>
    <w:rsid w:val="00471935"/>
    <w:rsid w:val="00473215"/>
    <w:rsid w:val="00473EF5"/>
    <w:rsid w:val="00480FF0"/>
    <w:rsid w:val="00485AE7"/>
    <w:rsid w:val="004A6633"/>
    <w:rsid w:val="004B632E"/>
    <w:rsid w:val="004D7C05"/>
    <w:rsid w:val="004E4AF9"/>
    <w:rsid w:val="004E63FC"/>
    <w:rsid w:val="004F3805"/>
    <w:rsid w:val="00525115"/>
    <w:rsid w:val="005A74B7"/>
    <w:rsid w:val="005B56E6"/>
    <w:rsid w:val="005C6174"/>
    <w:rsid w:val="005D002D"/>
    <w:rsid w:val="005E6E86"/>
    <w:rsid w:val="005F502F"/>
    <w:rsid w:val="006034E3"/>
    <w:rsid w:val="0060430A"/>
    <w:rsid w:val="00612355"/>
    <w:rsid w:val="00670EB4"/>
    <w:rsid w:val="00694247"/>
    <w:rsid w:val="00695F58"/>
    <w:rsid w:val="006E705B"/>
    <w:rsid w:val="00702132"/>
    <w:rsid w:val="00704139"/>
    <w:rsid w:val="00742E06"/>
    <w:rsid w:val="0074307F"/>
    <w:rsid w:val="007509A0"/>
    <w:rsid w:val="00761FA3"/>
    <w:rsid w:val="00763A12"/>
    <w:rsid w:val="00765392"/>
    <w:rsid w:val="00770B2B"/>
    <w:rsid w:val="0077793E"/>
    <w:rsid w:val="007809E1"/>
    <w:rsid w:val="007B068D"/>
    <w:rsid w:val="007C4535"/>
    <w:rsid w:val="007F1CE3"/>
    <w:rsid w:val="00812686"/>
    <w:rsid w:val="00812F76"/>
    <w:rsid w:val="00854C01"/>
    <w:rsid w:val="008627D8"/>
    <w:rsid w:val="00875054"/>
    <w:rsid w:val="00896729"/>
    <w:rsid w:val="008C3229"/>
    <w:rsid w:val="008C474B"/>
    <w:rsid w:val="008E4A44"/>
    <w:rsid w:val="00906CB1"/>
    <w:rsid w:val="009335BC"/>
    <w:rsid w:val="00951A42"/>
    <w:rsid w:val="0095437A"/>
    <w:rsid w:val="00962460"/>
    <w:rsid w:val="00965CF6"/>
    <w:rsid w:val="00987FE3"/>
    <w:rsid w:val="00995B68"/>
    <w:rsid w:val="009A2932"/>
    <w:rsid w:val="009C2BF9"/>
    <w:rsid w:val="009F0B2D"/>
    <w:rsid w:val="00A0161F"/>
    <w:rsid w:val="00A25045"/>
    <w:rsid w:val="00A55384"/>
    <w:rsid w:val="00A9014D"/>
    <w:rsid w:val="00A91C6D"/>
    <w:rsid w:val="00A96C8A"/>
    <w:rsid w:val="00AB0179"/>
    <w:rsid w:val="00AC045F"/>
    <w:rsid w:val="00AD2800"/>
    <w:rsid w:val="00AD4092"/>
    <w:rsid w:val="00AF53A9"/>
    <w:rsid w:val="00B01B53"/>
    <w:rsid w:val="00B02893"/>
    <w:rsid w:val="00B56AFC"/>
    <w:rsid w:val="00B57477"/>
    <w:rsid w:val="00B71FD0"/>
    <w:rsid w:val="00BA1F25"/>
    <w:rsid w:val="00BA573B"/>
    <w:rsid w:val="00BA76FA"/>
    <w:rsid w:val="00BB7F81"/>
    <w:rsid w:val="00BC46F6"/>
    <w:rsid w:val="00BF022F"/>
    <w:rsid w:val="00BF76D5"/>
    <w:rsid w:val="00C175B6"/>
    <w:rsid w:val="00C31C91"/>
    <w:rsid w:val="00C43D12"/>
    <w:rsid w:val="00C4529C"/>
    <w:rsid w:val="00C754FC"/>
    <w:rsid w:val="00C919B2"/>
    <w:rsid w:val="00C964EE"/>
    <w:rsid w:val="00CA52B4"/>
    <w:rsid w:val="00CB145F"/>
    <w:rsid w:val="00CB1766"/>
    <w:rsid w:val="00CC4853"/>
    <w:rsid w:val="00CE0983"/>
    <w:rsid w:val="00CE200B"/>
    <w:rsid w:val="00D214A2"/>
    <w:rsid w:val="00D32166"/>
    <w:rsid w:val="00D61550"/>
    <w:rsid w:val="00D83928"/>
    <w:rsid w:val="00D86C8A"/>
    <w:rsid w:val="00DF7301"/>
    <w:rsid w:val="00E25EA0"/>
    <w:rsid w:val="00E427CE"/>
    <w:rsid w:val="00E50F67"/>
    <w:rsid w:val="00E712D3"/>
    <w:rsid w:val="00E82F40"/>
    <w:rsid w:val="00EB40ED"/>
    <w:rsid w:val="00EE5830"/>
    <w:rsid w:val="00EF1C31"/>
    <w:rsid w:val="00EF30DD"/>
    <w:rsid w:val="00F02F2E"/>
    <w:rsid w:val="00F03814"/>
    <w:rsid w:val="00F12B2D"/>
    <w:rsid w:val="00F35F0F"/>
    <w:rsid w:val="00F3741E"/>
    <w:rsid w:val="00F50555"/>
    <w:rsid w:val="00F55310"/>
    <w:rsid w:val="00F63036"/>
    <w:rsid w:val="00F71F3E"/>
    <w:rsid w:val="00F76AC1"/>
    <w:rsid w:val="00FA66AB"/>
    <w:rsid w:val="00FB7C78"/>
    <w:rsid w:val="00FC6DB6"/>
    <w:rsid w:val="00FC717C"/>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cp:revision>
  <cp:lastPrinted>2021-09-01T10:40:00Z</cp:lastPrinted>
  <dcterms:created xsi:type="dcterms:W3CDTF">2021-09-01T10:43:00Z</dcterms:created>
  <dcterms:modified xsi:type="dcterms:W3CDTF">2021-09-01T10:43:00Z</dcterms:modified>
</cp:coreProperties>
</file>