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411F2E">
        <w:rPr>
          <w:rFonts w:ascii="Times New Roman" w:hAnsi="Times New Roman" w:cs="Times New Roman"/>
          <w:b/>
          <w:sz w:val="24"/>
          <w:szCs w:val="24"/>
        </w:rPr>
        <w:t>108</w:t>
      </w:r>
      <w:r w:rsidRPr="004D1132">
        <w:rPr>
          <w:rFonts w:ascii="Times New Roman" w:hAnsi="Times New Roman" w:cs="Times New Roman"/>
          <w:b/>
          <w:sz w:val="24"/>
          <w:szCs w:val="24"/>
        </w:rPr>
        <w:t>/20</w:t>
      </w:r>
      <w:r w:rsidR="007F6674">
        <w:rPr>
          <w:rFonts w:ascii="Times New Roman" w:hAnsi="Times New Roman" w:cs="Times New Roman"/>
          <w:b/>
          <w:sz w:val="24"/>
          <w:szCs w:val="24"/>
        </w:rPr>
        <w:t>21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E22DC6">
        <w:rPr>
          <w:rFonts w:ascii="Times New Roman" w:hAnsi="Times New Roman" w:cs="Times New Roman"/>
          <w:b/>
          <w:sz w:val="24"/>
          <w:szCs w:val="24"/>
        </w:rPr>
        <w:t>22 JUNE</w:t>
      </w:r>
      <w:r w:rsidR="00EC13BF">
        <w:rPr>
          <w:rFonts w:ascii="Times New Roman" w:hAnsi="Times New Roman" w:cs="Times New Roman"/>
          <w:b/>
          <w:sz w:val="24"/>
          <w:szCs w:val="24"/>
        </w:rPr>
        <w:t xml:space="preserve"> 2021</w:t>
      </w:r>
      <w:r w:rsidR="00EC13BF">
        <w:rPr>
          <w:rFonts w:ascii="Times New Roman" w:hAnsi="Times New Roman" w:cs="Times New Roman"/>
          <w:b/>
          <w:sz w:val="24"/>
          <w:szCs w:val="24"/>
        </w:rPr>
        <w:tab/>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7F6674">
        <w:rPr>
          <w:rFonts w:ascii="Times New Roman" w:hAnsi="Times New Roman" w:cs="Times New Roman"/>
          <w:b/>
          <w:sz w:val="24"/>
          <w:szCs w:val="24"/>
        </w:rPr>
        <w:t>H</w:t>
      </w:r>
      <w:r w:rsidR="001D293D">
        <w:rPr>
          <w:rFonts w:ascii="Times New Roman" w:hAnsi="Times New Roman" w:cs="Times New Roman"/>
          <w:b/>
          <w:sz w:val="24"/>
          <w:szCs w:val="24"/>
        </w:rPr>
        <w:t>/</w:t>
      </w:r>
      <w:r w:rsidR="00411F2E">
        <w:rPr>
          <w:rFonts w:ascii="Times New Roman" w:hAnsi="Times New Roman" w:cs="Times New Roman"/>
          <w:b/>
          <w:sz w:val="24"/>
          <w:szCs w:val="24"/>
        </w:rPr>
        <w:t>APP/363/20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4557A1">
        <w:rPr>
          <w:rFonts w:ascii="Times New Roman" w:hAnsi="Times New Roman" w:cs="Times New Roman"/>
          <w:b/>
          <w:sz w:val="24"/>
          <w:szCs w:val="24"/>
        </w:rPr>
        <w:t xml:space="preserve"> 27 AUGUST</w:t>
      </w:r>
      <w:r w:rsidR="007F6674">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411F2E">
        <w:rPr>
          <w:rFonts w:ascii="Times New Roman" w:hAnsi="Times New Roman" w:cs="Times New Roman"/>
          <w:b/>
          <w:sz w:val="24"/>
          <w:szCs w:val="24"/>
        </w:rPr>
        <w:tab/>
      </w:r>
      <w:r w:rsidR="00411F2E">
        <w:rPr>
          <w:rFonts w:ascii="Times New Roman" w:hAnsi="Times New Roman" w:cs="Times New Roman"/>
          <w:b/>
          <w:sz w:val="24"/>
          <w:szCs w:val="24"/>
        </w:rPr>
        <w:tab/>
      </w:r>
      <w:r w:rsidR="00411F2E">
        <w:rPr>
          <w:rFonts w:ascii="Times New Roman" w:hAnsi="Times New Roman" w:cs="Times New Roman"/>
          <w:b/>
          <w:sz w:val="24"/>
          <w:szCs w:val="24"/>
        </w:rPr>
        <w:tab/>
      </w:r>
      <w:r w:rsidR="00411F2E">
        <w:rPr>
          <w:rFonts w:ascii="Times New Roman" w:hAnsi="Times New Roman" w:cs="Times New Roman"/>
          <w:b/>
          <w:sz w:val="24"/>
          <w:szCs w:val="24"/>
        </w:rPr>
        <w:tab/>
      </w:r>
      <w:r w:rsidR="00411F2E">
        <w:rPr>
          <w:rFonts w:ascii="Times New Roman" w:hAnsi="Times New Roman" w:cs="Times New Roman"/>
          <w:b/>
          <w:sz w:val="24"/>
          <w:szCs w:val="24"/>
        </w:rPr>
        <w:tab/>
        <w:t xml:space="preserve"> </w:t>
      </w:r>
      <w:bookmarkStart w:id="0" w:name="_GoBack"/>
      <w:bookmarkEnd w:id="0"/>
      <w:r w:rsidR="00411F2E">
        <w:rPr>
          <w:rFonts w:ascii="Times New Roman" w:hAnsi="Times New Roman" w:cs="Times New Roman"/>
          <w:b/>
          <w:sz w:val="24"/>
          <w:szCs w:val="24"/>
        </w:rPr>
        <w:t>XREF LC/H/APP/167/20</w:t>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176BA6"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SHELTER KACHIRIKA</w:t>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EC13BF">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557A1">
      <w:pPr>
        <w:spacing w:after="0" w:line="360" w:lineRule="auto"/>
        <w:jc w:val="center"/>
        <w:rPr>
          <w:rFonts w:ascii="Times New Roman" w:hAnsi="Times New Roman" w:cs="Times New Roman"/>
          <w:sz w:val="24"/>
          <w:szCs w:val="24"/>
        </w:rPr>
      </w:pPr>
    </w:p>
    <w:p w:rsidR="004D1132" w:rsidRDefault="00176BA6"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JUDICIAL SERVICE COMMISSION</w:t>
      </w:r>
      <w:r>
        <w:rPr>
          <w:rFonts w:ascii="Times New Roman" w:hAnsi="Times New Roman" w:cs="Times New Roman"/>
          <w:b/>
          <w:sz w:val="24"/>
          <w:szCs w:val="24"/>
        </w:rPr>
        <w:tab/>
      </w:r>
      <w:r>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t xml:space="preserve">RESPONDENT </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BA2806" w:rsidRDefault="00BA2806"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w:t>
      </w:r>
      <w:r w:rsidR="008F1EAE">
        <w:rPr>
          <w:rFonts w:ascii="Times New Roman" w:hAnsi="Times New Roman" w:cs="Times New Roman"/>
          <w:b/>
          <w:sz w:val="24"/>
          <w:szCs w:val="24"/>
        </w:rPr>
        <w:t>nyangadze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sidR="00D74EE4">
        <w:rPr>
          <w:rFonts w:ascii="Times New Roman" w:hAnsi="Times New Roman" w:cs="Times New Roman"/>
          <w:sz w:val="24"/>
          <w:szCs w:val="24"/>
        </w:rPr>
        <w:t>:</w:t>
      </w:r>
      <w:r w:rsidR="00EC13BF">
        <w:rPr>
          <w:rFonts w:ascii="Times New Roman" w:hAnsi="Times New Roman" w:cs="Times New Roman"/>
          <w:sz w:val="24"/>
          <w:szCs w:val="24"/>
        </w:rPr>
        <w:tab/>
      </w:r>
      <w:r w:rsidR="00D74EE4">
        <w:rPr>
          <w:rFonts w:ascii="Times New Roman" w:hAnsi="Times New Roman" w:cs="Times New Roman"/>
          <w:sz w:val="24"/>
          <w:szCs w:val="24"/>
        </w:rPr>
        <w:t xml:space="preserve"> </w:t>
      </w:r>
      <w:proofErr w:type="spellStart"/>
      <w:r w:rsidR="00E22DC6">
        <w:rPr>
          <w:rFonts w:ascii="Times New Roman" w:hAnsi="Times New Roman" w:cs="Times New Roman"/>
          <w:sz w:val="24"/>
          <w:szCs w:val="24"/>
        </w:rPr>
        <w:t>Mr</w:t>
      </w:r>
      <w:proofErr w:type="spellEnd"/>
      <w:r w:rsidR="00E22DC6">
        <w:rPr>
          <w:rFonts w:ascii="Times New Roman" w:hAnsi="Times New Roman" w:cs="Times New Roman"/>
          <w:sz w:val="24"/>
          <w:szCs w:val="24"/>
        </w:rPr>
        <w:t xml:space="preserve"> O</w:t>
      </w:r>
      <w:r w:rsidR="00176BA6">
        <w:rPr>
          <w:rFonts w:ascii="Times New Roman" w:hAnsi="Times New Roman" w:cs="Times New Roman"/>
          <w:sz w:val="24"/>
          <w:szCs w:val="24"/>
        </w:rPr>
        <w:t xml:space="preserve">. </w:t>
      </w:r>
      <w:proofErr w:type="spellStart"/>
      <w:proofErr w:type="gramStart"/>
      <w:r w:rsidR="00176BA6">
        <w:rPr>
          <w:rFonts w:ascii="Times New Roman" w:hAnsi="Times New Roman" w:cs="Times New Roman"/>
          <w:sz w:val="24"/>
          <w:szCs w:val="24"/>
        </w:rPr>
        <w:t>Kondongwe</w:t>
      </w:r>
      <w:proofErr w:type="spellEnd"/>
      <w:r w:rsidR="00EC13B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176BA6">
        <w:rPr>
          <w:rFonts w:ascii="Times New Roman" w:hAnsi="Times New Roman" w:cs="Times New Roman"/>
          <w:sz w:val="24"/>
          <w:szCs w:val="24"/>
        </w:rPr>
        <w:t>Legal Practitioner</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EC13BF">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D74EE4">
        <w:rPr>
          <w:rFonts w:ascii="Times New Roman" w:hAnsi="Times New Roman" w:cs="Times New Roman"/>
          <w:sz w:val="24"/>
          <w:szCs w:val="24"/>
        </w:rPr>
        <w:t>:</w:t>
      </w:r>
      <w:r w:rsidR="00EC13BF">
        <w:rPr>
          <w:rFonts w:ascii="Times New Roman" w:hAnsi="Times New Roman" w:cs="Times New Roman"/>
          <w:sz w:val="24"/>
          <w:szCs w:val="24"/>
        </w:rPr>
        <w:tab/>
      </w:r>
      <w:r w:rsidR="00D74EE4">
        <w:rPr>
          <w:rFonts w:ascii="Times New Roman" w:hAnsi="Times New Roman" w:cs="Times New Roman"/>
          <w:sz w:val="24"/>
          <w:szCs w:val="24"/>
        </w:rPr>
        <w:t xml:space="preserve"> </w:t>
      </w:r>
      <w:proofErr w:type="spellStart"/>
      <w:r w:rsidR="00EC13BF">
        <w:rPr>
          <w:rFonts w:ascii="Times New Roman" w:hAnsi="Times New Roman" w:cs="Times New Roman"/>
          <w:sz w:val="24"/>
          <w:szCs w:val="24"/>
        </w:rPr>
        <w:t>Mr</w:t>
      </w:r>
      <w:proofErr w:type="spellEnd"/>
      <w:r w:rsidR="00EC13BF">
        <w:rPr>
          <w:rFonts w:ascii="Times New Roman" w:hAnsi="Times New Roman" w:cs="Times New Roman"/>
          <w:sz w:val="24"/>
          <w:szCs w:val="24"/>
        </w:rPr>
        <w:t xml:space="preserve"> </w:t>
      </w:r>
      <w:r w:rsidR="00176BA6">
        <w:rPr>
          <w:rFonts w:ascii="Times New Roman" w:hAnsi="Times New Roman" w:cs="Times New Roman"/>
          <w:sz w:val="24"/>
          <w:szCs w:val="24"/>
        </w:rPr>
        <w:t xml:space="preserve">R. </w:t>
      </w:r>
      <w:proofErr w:type="spellStart"/>
      <w:r w:rsidR="00176BA6">
        <w:rPr>
          <w:rFonts w:ascii="Times New Roman" w:hAnsi="Times New Roman" w:cs="Times New Roman"/>
          <w:sz w:val="24"/>
          <w:szCs w:val="24"/>
        </w:rPr>
        <w:t>Matsikidze</w:t>
      </w:r>
      <w:proofErr w:type="spellEnd"/>
      <w:r w:rsidR="00EC13BF">
        <w:rPr>
          <w:rFonts w:ascii="Times New Roman" w:hAnsi="Times New Roman" w:cs="Times New Roman"/>
          <w:sz w:val="24"/>
          <w:szCs w:val="24"/>
        </w:rPr>
        <w:t xml:space="preserve"> (Legal Practitioner)</w:t>
      </w:r>
    </w:p>
    <w:p w:rsidR="00D74EE4" w:rsidRDefault="00D74EE4" w:rsidP="004D1132">
      <w:pPr>
        <w:spacing w:after="0" w:line="240" w:lineRule="auto"/>
        <w:jc w:val="both"/>
        <w:rPr>
          <w:rFonts w:ascii="Times New Roman" w:hAnsi="Times New Roman" w:cs="Times New Roman"/>
          <w:sz w:val="24"/>
          <w:szCs w:val="24"/>
        </w:rPr>
      </w:pPr>
    </w:p>
    <w:p w:rsidR="005B5298" w:rsidRDefault="005B5298"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8F1EAE">
        <w:rPr>
          <w:rFonts w:ascii="Times New Roman" w:hAnsi="Times New Roman" w:cs="Times New Roman"/>
          <w:b/>
          <w:sz w:val="24"/>
          <w:szCs w:val="24"/>
        </w:rPr>
        <w:t>NYANGADZE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4D2E34" w:rsidRDefault="004B3888" w:rsidP="00176B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43EB5">
        <w:rPr>
          <w:rFonts w:ascii="Times New Roman" w:hAnsi="Times New Roman" w:cs="Times New Roman"/>
          <w:sz w:val="24"/>
          <w:szCs w:val="24"/>
        </w:rPr>
        <w:t xml:space="preserve">This is an application for condonation of late filing of an appeal. The application arises out of a determination handed down by the </w:t>
      </w:r>
      <w:r w:rsidR="002C37C8">
        <w:rPr>
          <w:rFonts w:ascii="Times New Roman" w:hAnsi="Times New Roman" w:cs="Times New Roman"/>
          <w:sz w:val="24"/>
          <w:szCs w:val="24"/>
        </w:rPr>
        <w:t>respondent’s</w:t>
      </w:r>
      <w:r w:rsidR="00543EB5">
        <w:rPr>
          <w:rFonts w:ascii="Times New Roman" w:hAnsi="Times New Roman" w:cs="Times New Roman"/>
          <w:sz w:val="24"/>
          <w:szCs w:val="24"/>
        </w:rPr>
        <w:t xml:space="preserve"> Disciplinary Authority on 6 August 2019.</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factual </w:t>
      </w:r>
      <w:r w:rsidR="002C37C8">
        <w:rPr>
          <w:rFonts w:ascii="Times New Roman" w:hAnsi="Times New Roman" w:cs="Times New Roman"/>
          <w:sz w:val="24"/>
          <w:szCs w:val="24"/>
        </w:rPr>
        <w:t>background</w:t>
      </w:r>
      <w:r>
        <w:rPr>
          <w:rFonts w:ascii="Times New Roman" w:hAnsi="Times New Roman" w:cs="Times New Roman"/>
          <w:sz w:val="24"/>
          <w:szCs w:val="24"/>
        </w:rPr>
        <w:t xml:space="preserve"> to the matter, briefly stated, is that the applicant was employed by the respondent as a Clerk of Court, and wa</w:t>
      </w:r>
      <w:r w:rsidR="00E22DC6">
        <w:rPr>
          <w:rFonts w:ascii="Times New Roman" w:hAnsi="Times New Roman" w:cs="Times New Roman"/>
          <w:sz w:val="24"/>
          <w:szCs w:val="24"/>
        </w:rPr>
        <w:t xml:space="preserve">s based at the </w:t>
      </w:r>
      <w:proofErr w:type="spellStart"/>
      <w:r w:rsidR="00E22DC6">
        <w:rPr>
          <w:rFonts w:ascii="Times New Roman" w:hAnsi="Times New Roman" w:cs="Times New Roman"/>
          <w:sz w:val="24"/>
          <w:szCs w:val="24"/>
        </w:rPr>
        <w:t>Karoi</w:t>
      </w:r>
      <w:proofErr w:type="spellEnd"/>
      <w:r w:rsidR="00E22DC6">
        <w:rPr>
          <w:rFonts w:ascii="Times New Roman" w:hAnsi="Times New Roman" w:cs="Times New Roman"/>
          <w:sz w:val="24"/>
          <w:szCs w:val="24"/>
        </w:rPr>
        <w:t xml:space="preserve"> Magistrate</w:t>
      </w:r>
      <w:r>
        <w:rPr>
          <w:rFonts w:ascii="Times New Roman" w:hAnsi="Times New Roman" w:cs="Times New Roman"/>
          <w:sz w:val="24"/>
          <w:szCs w:val="24"/>
        </w:rPr>
        <w:t>s</w:t>
      </w:r>
      <w:r w:rsidR="00E22DC6">
        <w:rPr>
          <w:rFonts w:ascii="Times New Roman" w:hAnsi="Times New Roman" w:cs="Times New Roman"/>
          <w:sz w:val="24"/>
          <w:szCs w:val="24"/>
        </w:rPr>
        <w:t xml:space="preserve">’ </w:t>
      </w:r>
      <w:r>
        <w:rPr>
          <w:rFonts w:ascii="Times New Roman" w:hAnsi="Times New Roman" w:cs="Times New Roman"/>
          <w:sz w:val="24"/>
          <w:szCs w:val="24"/>
        </w:rPr>
        <w:t>Court</w:t>
      </w:r>
      <w:r w:rsidR="00E22DC6">
        <w:rPr>
          <w:rFonts w:ascii="Times New Roman" w:hAnsi="Times New Roman" w:cs="Times New Roman"/>
          <w:sz w:val="24"/>
          <w:szCs w:val="24"/>
        </w:rPr>
        <w:t>,</w:t>
      </w:r>
      <w:r>
        <w:rPr>
          <w:rFonts w:ascii="Times New Roman" w:hAnsi="Times New Roman" w:cs="Times New Roman"/>
          <w:sz w:val="24"/>
          <w:szCs w:val="24"/>
        </w:rPr>
        <w:t xml:space="preserve"> Mashonaland West Province. On 17 June 2019, the applicant was charged with misconduct in terms of s 47 (2) (b) of the Judicial Service Regulations, Statutory Instrument 30 of 2015, the charge being;</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act involving corruption or dishonesty”</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factual particulars of the charge are that the applicant received a bribe from a litigant in a maintenance variation case, for onward tr</w:t>
      </w:r>
      <w:r w:rsidR="002C37C8">
        <w:rPr>
          <w:rFonts w:ascii="Times New Roman" w:hAnsi="Times New Roman" w:cs="Times New Roman"/>
          <w:sz w:val="24"/>
          <w:szCs w:val="24"/>
        </w:rPr>
        <w:t xml:space="preserve">ansmission </w:t>
      </w:r>
      <w:r w:rsidR="00E22DC6">
        <w:rPr>
          <w:rFonts w:ascii="Times New Roman" w:hAnsi="Times New Roman" w:cs="Times New Roman"/>
          <w:sz w:val="24"/>
          <w:szCs w:val="24"/>
        </w:rPr>
        <w:t xml:space="preserve">to </w:t>
      </w:r>
      <w:r>
        <w:rPr>
          <w:rFonts w:ascii="Times New Roman" w:hAnsi="Times New Roman" w:cs="Times New Roman"/>
          <w:sz w:val="24"/>
          <w:szCs w:val="24"/>
        </w:rPr>
        <w:t>the trial magistrate.</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 August 2019, the Disciplinary Committee which heard the matter in the first instance found the applicant guilty as charged, and recommenced a penalty of dismissal. In a decision dated 6 August 2019, the Disciplinary Authority confirmed the determination of the Disciplinary Authority. The applicant wishes to appeal the Disciplinary Authority’s determination. The noting of the appeal has gone outside the </w:t>
      </w:r>
      <w:r w:rsidRPr="00543EB5">
        <w:rPr>
          <w:rFonts w:ascii="Times New Roman" w:hAnsi="Times New Roman" w:cs="Times New Roman"/>
          <w:i/>
          <w:sz w:val="24"/>
          <w:szCs w:val="24"/>
        </w:rPr>
        <w:t xml:space="preserve">dies </w:t>
      </w:r>
      <w:proofErr w:type="spellStart"/>
      <w:r w:rsidRPr="00543EB5">
        <w:rPr>
          <w:rFonts w:ascii="Times New Roman" w:hAnsi="Times New Roman" w:cs="Times New Roman"/>
          <w:i/>
          <w:sz w:val="24"/>
          <w:szCs w:val="24"/>
        </w:rPr>
        <w:t>induciae</w:t>
      </w:r>
      <w:proofErr w:type="spellEnd"/>
      <w:r w:rsidRPr="00543EB5">
        <w:rPr>
          <w:rFonts w:ascii="Times New Roman" w:hAnsi="Times New Roman" w:cs="Times New Roman"/>
          <w:i/>
          <w:sz w:val="24"/>
          <w:szCs w:val="24"/>
        </w:rPr>
        <w:t>,</w:t>
      </w:r>
      <w:r>
        <w:rPr>
          <w:rFonts w:ascii="Times New Roman" w:hAnsi="Times New Roman" w:cs="Times New Roman"/>
          <w:sz w:val="24"/>
          <w:szCs w:val="24"/>
        </w:rPr>
        <w:t xml:space="preserve"> hence the application for condonation.</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factors considered in an application for condonation for non – compliance with the court’s rules are well </w:t>
      </w:r>
      <w:r w:rsidR="002C37C8">
        <w:rPr>
          <w:rFonts w:ascii="Times New Roman" w:hAnsi="Times New Roman" w:cs="Times New Roman"/>
          <w:sz w:val="24"/>
          <w:szCs w:val="24"/>
        </w:rPr>
        <w:t>established</w:t>
      </w:r>
      <w:r>
        <w:rPr>
          <w:rFonts w:ascii="Times New Roman" w:hAnsi="Times New Roman" w:cs="Times New Roman"/>
          <w:sz w:val="24"/>
          <w:szCs w:val="24"/>
        </w:rPr>
        <w:t>. They include;</w:t>
      </w: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degree of non-compliance</w:t>
      </w: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explanation for the non-compliance.</w:t>
      </w: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r>
      <w:proofErr w:type="gramStart"/>
      <w:r>
        <w:rPr>
          <w:rFonts w:ascii="Times New Roman" w:hAnsi="Times New Roman" w:cs="Times New Roman"/>
          <w:sz w:val="24"/>
          <w:szCs w:val="24"/>
        </w:rPr>
        <w:t>prospects</w:t>
      </w:r>
      <w:proofErr w:type="gramEnd"/>
      <w:r>
        <w:rPr>
          <w:rFonts w:ascii="Times New Roman" w:hAnsi="Times New Roman" w:cs="Times New Roman"/>
          <w:sz w:val="24"/>
          <w:szCs w:val="24"/>
        </w:rPr>
        <w:t xml:space="preserve"> of success on the main matter.</w:t>
      </w: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r>
      <w:proofErr w:type="gramStart"/>
      <w:r>
        <w:rPr>
          <w:rFonts w:ascii="Times New Roman" w:hAnsi="Times New Roman" w:cs="Times New Roman"/>
          <w:sz w:val="24"/>
          <w:szCs w:val="24"/>
        </w:rPr>
        <w:t>importance</w:t>
      </w:r>
      <w:proofErr w:type="gramEnd"/>
      <w:r>
        <w:rPr>
          <w:rFonts w:ascii="Times New Roman" w:hAnsi="Times New Roman" w:cs="Times New Roman"/>
          <w:sz w:val="24"/>
          <w:szCs w:val="24"/>
        </w:rPr>
        <w:t xml:space="preserve"> of the case.</w:t>
      </w: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proofErr w:type="gramStart"/>
      <w:r>
        <w:rPr>
          <w:rFonts w:ascii="Times New Roman" w:hAnsi="Times New Roman" w:cs="Times New Roman"/>
          <w:sz w:val="24"/>
          <w:szCs w:val="24"/>
        </w:rPr>
        <w:t>avoidance</w:t>
      </w:r>
      <w:proofErr w:type="gramEnd"/>
      <w:r>
        <w:rPr>
          <w:rFonts w:ascii="Times New Roman" w:hAnsi="Times New Roman" w:cs="Times New Roman"/>
          <w:sz w:val="24"/>
          <w:szCs w:val="24"/>
        </w:rPr>
        <w:t xml:space="preserve"> of unnecessary delay in the administration of justice. </w:t>
      </w:r>
    </w:p>
    <w:p w:rsidR="00543EB5" w:rsidRDefault="00543EB5" w:rsidP="00176BA6">
      <w:pPr>
        <w:spacing w:after="0" w:line="360" w:lineRule="auto"/>
        <w:jc w:val="both"/>
        <w:rPr>
          <w:rFonts w:ascii="Times New Roman" w:hAnsi="Times New Roman" w:cs="Times New Roman"/>
          <w:sz w:val="24"/>
          <w:szCs w:val="24"/>
        </w:rPr>
      </w:pPr>
    </w:p>
    <w:p w:rsidR="00543EB5" w:rsidRDefault="00543EB5" w:rsidP="0017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See:</w:t>
      </w:r>
    </w:p>
    <w:p w:rsidR="00543EB5" w:rsidRPr="0050619C" w:rsidRDefault="0050619C" w:rsidP="0050619C">
      <w:pPr>
        <w:spacing w:after="0" w:line="360" w:lineRule="auto"/>
        <w:ind w:left="360"/>
        <w:jc w:val="both"/>
        <w:rPr>
          <w:rFonts w:ascii="Times New Roman" w:hAnsi="Times New Roman" w:cs="Times New Roman"/>
          <w:sz w:val="24"/>
          <w:szCs w:val="24"/>
        </w:rPr>
      </w:pPr>
      <w:r w:rsidRPr="0050619C">
        <w:rPr>
          <w:rFonts w:ascii="Times New Roman" w:hAnsi="Times New Roman" w:cs="Times New Roman"/>
          <w:sz w:val="24"/>
          <w:szCs w:val="24"/>
        </w:rPr>
        <w:t>(</w:t>
      </w:r>
      <w:proofErr w:type="spellStart"/>
      <w:r w:rsidRPr="0050619C">
        <w:rPr>
          <w:rFonts w:ascii="Times New Roman" w:hAnsi="Times New Roman" w:cs="Times New Roman"/>
          <w:sz w:val="24"/>
          <w:szCs w:val="24"/>
        </w:rPr>
        <w:t>i</w:t>
      </w:r>
      <w:proofErr w:type="spellEnd"/>
      <w:r w:rsidRPr="0050619C">
        <w:rPr>
          <w:rFonts w:ascii="Times New Roman" w:hAnsi="Times New Roman" w:cs="Times New Roman"/>
          <w:sz w:val="24"/>
          <w:szCs w:val="24"/>
        </w:rPr>
        <w:t>)</w:t>
      </w:r>
      <w:r w:rsidRPr="0050619C">
        <w:rPr>
          <w:rFonts w:ascii="Times New Roman" w:hAnsi="Times New Roman" w:cs="Times New Roman"/>
          <w:sz w:val="24"/>
          <w:szCs w:val="24"/>
        </w:rPr>
        <w:tab/>
      </w:r>
      <w:proofErr w:type="spellStart"/>
      <w:r w:rsidR="00543EB5" w:rsidRPr="0050619C">
        <w:rPr>
          <w:rFonts w:ascii="Times New Roman" w:hAnsi="Times New Roman" w:cs="Times New Roman"/>
          <w:i/>
          <w:sz w:val="24"/>
          <w:szCs w:val="24"/>
        </w:rPr>
        <w:t>Kumbirayi</w:t>
      </w:r>
      <w:proofErr w:type="spellEnd"/>
      <w:r w:rsidR="00543EB5" w:rsidRPr="0050619C">
        <w:rPr>
          <w:rFonts w:ascii="Times New Roman" w:hAnsi="Times New Roman" w:cs="Times New Roman"/>
          <w:i/>
          <w:sz w:val="24"/>
          <w:szCs w:val="24"/>
        </w:rPr>
        <w:t xml:space="preserve"> </w:t>
      </w:r>
      <w:r w:rsidR="00543EB5" w:rsidRPr="0050619C">
        <w:rPr>
          <w:rFonts w:ascii="Times New Roman" w:hAnsi="Times New Roman" w:cs="Times New Roman"/>
          <w:sz w:val="24"/>
          <w:szCs w:val="24"/>
        </w:rPr>
        <w:t>v</w:t>
      </w:r>
      <w:r w:rsidR="00543EB5" w:rsidRPr="0050619C">
        <w:rPr>
          <w:rFonts w:ascii="Times New Roman" w:hAnsi="Times New Roman" w:cs="Times New Roman"/>
          <w:i/>
          <w:sz w:val="24"/>
          <w:szCs w:val="24"/>
        </w:rPr>
        <w:t xml:space="preserve"> </w:t>
      </w:r>
      <w:proofErr w:type="spellStart"/>
      <w:r w:rsidR="00543EB5" w:rsidRPr="0050619C">
        <w:rPr>
          <w:rFonts w:ascii="Times New Roman" w:hAnsi="Times New Roman" w:cs="Times New Roman"/>
          <w:i/>
          <w:sz w:val="24"/>
          <w:szCs w:val="24"/>
        </w:rPr>
        <w:t>Berkhout</w:t>
      </w:r>
      <w:proofErr w:type="spellEnd"/>
      <w:r w:rsidR="00543EB5" w:rsidRPr="0050619C">
        <w:rPr>
          <w:rFonts w:ascii="Times New Roman" w:hAnsi="Times New Roman" w:cs="Times New Roman"/>
          <w:sz w:val="24"/>
          <w:szCs w:val="24"/>
        </w:rPr>
        <w:t xml:space="preserve"> 1988 (1) ZLR 53</w:t>
      </w:r>
    </w:p>
    <w:p w:rsidR="00543EB5" w:rsidRPr="0050619C" w:rsidRDefault="0050619C" w:rsidP="0050619C">
      <w:pPr>
        <w:spacing w:after="0" w:line="360" w:lineRule="auto"/>
        <w:ind w:firstLine="360"/>
        <w:jc w:val="both"/>
        <w:rPr>
          <w:rFonts w:ascii="Times New Roman" w:hAnsi="Times New Roman" w:cs="Times New Roman"/>
          <w:sz w:val="24"/>
          <w:szCs w:val="24"/>
        </w:rPr>
      </w:pPr>
      <w:r w:rsidRPr="0050619C">
        <w:rPr>
          <w:rFonts w:ascii="Times New Roman" w:hAnsi="Times New Roman" w:cs="Times New Roman"/>
          <w:sz w:val="24"/>
          <w:szCs w:val="24"/>
        </w:rPr>
        <w:t>(ii)</w:t>
      </w:r>
      <w:r>
        <w:rPr>
          <w:rFonts w:ascii="Times New Roman" w:hAnsi="Times New Roman" w:cs="Times New Roman"/>
          <w:i/>
          <w:sz w:val="24"/>
          <w:szCs w:val="24"/>
        </w:rPr>
        <w:t xml:space="preserve"> </w:t>
      </w:r>
      <w:proofErr w:type="spellStart"/>
      <w:r w:rsidR="00543EB5" w:rsidRPr="0050619C">
        <w:rPr>
          <w:rFonts w:ascii="Times New Roman" w:hAnsi="Times New Roman" w:cs="Times New Roman"/>
          <w:i/>
          <w:sz w:val="24"/>
          <w:szCs w:val="24"/>
        </w:rPr>
        <w:t>Bishi</w:t>
      </w:r>
      <w:proofErr w:type="spellEnd"/>
      <w:r w:rsidR="00543EB5" w:rsidRPr="0050619C">
        <w:rPr>
          <w:rFonts w:ascii="Times New Roman" w:hAnsi="Times New Roman" w:cs="Times New Roman"/>
          <w:i/>
          <w:sz w:val="24"/>
          <w:szCs w:val="24"/>
        </w:rPr>
        <w:t xml:space="preserve"> </w:t>
      </w:r>
      <w:r w:rsidR="00543EB5" w:rsidRPr="0050619C">
        <w:rPr>
          <w:rFonts w:ascii="Times New Roman" w:hAnsi="Times New Roman" w:cs="Times New Roman"/>
          <w:sz w:val="24"/>
          <w:szCs w:val="24"/>
        </w:rPr>
        <w:t>v</w:t>
      </w:r>
      <w:r w:rsidR="00543EB5" w:rsidRPr="0050619C">
        <w:rPr>
          <w:rFonts w:ascii="Times New Roman" w:hAnsi="Times New Roman" w:cs="Times New Roman"/>
          <w:i/>
          <w:sz w:val="24"/>
          <w:szCs w:val="24"/>
        </w:rPr>
        <w:t xml:space="preserve"> Secretary for Education</w:t>
      </w:r>
      <w:r w:rsidR="00E22DC6">
        <w:rPr>
          <w:rFonts w:ascii="Times New Roman" w:hAnsi="Times New Roman" w:cs="Times New Roman"/>
          <w:sz w:val="24"/>
          <w:szCs w:val="24"/>
        </w:rPr>
        <w:t xml:space="preserve"> 1989 (2)</w:t>
      </w:r>
      <w:r w:rsidR="00543EB5" w:rsidRPr="0050619C">
        <w:rPr>
          <w:rFonts w:ascii="Times New Roman" w:hAnsi="Times New Roman" w:cs="Times New Roman"/>
          <w:sz w:val="24"/>
          <w:szCs w:val="24"/>
        </w:rPr>
        <w:t xml:space="preserve"> ZLR 242</w:t>
      </w:r>
    </w:p>
    <w:p w:rsidR="00543EB5" w:rsidRPr="0050619C" w:rsidRDefault="0050619C" w:rsidP="0050619C">
      <w:pPr>
        <w:spacing w:after="0" w:line="360" w:lineRule="auto"/>
        <w:ind w:firstLine="360"/>
        <w:jc w:val="both"/>
        <w:rPr>
          <w:rFonts w:ascii="Times New Roman" w:hAnsi="Times New Roman" w:cs="Times New Roman"/>
          <w:sz w:val="24"/>
          <w:szCs w:val="24"/>
        </w:rPr>
      </w:pPr>
      <w:r w:rsidRPr="0050619C">
        <w:rPr>
          <w:rFonts w:ascii="Times New Roman" w:hAnsi="Times New Roman" w:cs="Times New Roman"/>
          <w:sz w:val="24"/>
          <w:szCs w:val="24"/>
        </w:rPr>
        <w:t>(iii)</w:t>
      </w:r>
      <w:r>
        <w:rPr>
          <w:rFonts w:ascii="Times New Roman" w:hAnsi="Times New Roman" w:cs="Times New Roman"/>
          <w:i/>
          <w:sz w:val="24"/>
          <w:szCs w:val="24"/>
        </w:rPr>
        <w:t xml:space="preserve"> </w:t>
      </w:r>
      <w:proofErr w:type="spellStart"/>
      <w:r w:rsidR="00543EB5" w:rsidRPr="0050619C">
        <w:rPr>
          <w:rFonts w:ascii="Times New Roman" w:hAnsi="Times New Roman" w:cs="Times New Roman"/>
          <w:i/>
          <w:sz w:val="24"/>
          <w:szCs w:val="24"/>
        </w:rPr>
        <w:t>Kodzwa</w:t>
      </w:r>
      <w:proofErr w:type="spellEnd"/>
      <w:r w:rsidR="00543EB5" w:rsidRPr="0050619C">
        <w:rPr>
          <w:rFonts w:ascii="Times New Roman" w:hAnsi="Times New Roman" w:cs="Times New Roman"/>
          <w:i/>
          <w:sz w:val="24"/>
          <w:szCs w:val="24"/>
        </w:rPr>
        <w:t xml:space="preserve"> </w:t>
      </w:r>
      <w:r w:rsidR="00543EB5" w:rsidRPr="0050619C">
        <w:rPr>
          <w:rFonts w:ascii="Times New Roman" w:hAnsi="Times New Roman" w:cs="Times New Roman"/>
          <w:sz w:val="24"/>
          <w:szCs w:val="24"/>
        </w:rPr>
        <w:t>v</w:t>
      </w:r>
      <w:r w:rsidR="00543EB5" w:rsidRPr="0050619C">
        <w:rPr>
          <w:rFonts w:ascii="Times New Roman" w:hAnsi="Times New Roman" w:cs="Times New Roman"/>
          <w:i/>
          <w:sz w:val="24"/>
          <w:szCs w:val="24"/>
        </w:rPr>
        <w:t xml:space="preserve"> Secretary for Health</w:t>
      </w:r>
      <w:r w:rsidR="00543EB5" w:rsidRPr="0050619C">
        <w:rPr>
          <w:rFonts w:ascii="Times New Roman" w:hAnsi="Times New Roman" w:cs="Times New Roman"/>
          <w:sz w:val="24"/>
          <w:szCs w:val="24"/>
        </w:rPr>
        <w:t xml:space="preserve"> 1999 (1) ZLR 313</w:t>
      </w:r>
    </w:p>
    <w:p w:rsidR="00543EB5" w:rsidRDefault="0050619C" w:rsidP="0050619C">
      <w:pPr>
        <w:spacing w:after="0" w:line="360" w:lineRule="auto"/>
        <w:ind w:firstLine="360"/>
        <w:jc w:val="both"/>
        <w:rPr>
          <w:rFonts w:ascii="Times New Roman" w:hAnsi="Times New Roman" w:cs="Times New Roman"/>
          <w:sz w:val="24"/>
          <w:szCs w:val="24"/>
        </w:rPr>
      </w:pPr>
      <w:proofErr w:type="gramStart"/>
      <w:r w:rsidRPr="0050619C">
        <w:rPr>
          <w:rFonts w:ascii="Times New Roman" w:hAnsi="Times New Roman" w:cs="Times New Roman"/>
          <w:sz w:val="24"/>
          <w:szCs w:val="24"/>
        </w:rPr>
        <w:t>(iv)</w:t>
      </w:r>
      <w:r>
        <w:rPr>
          <w:rFonts w:ascii="Times New Roman" w:hAnsi="Times New Roman" w:cs="Times New Roman"/>
          <w:i/>
          <w:sz w:val="24"/>
          <w:szCs w:val="24"/>
        </w:rPr>
        <w:t xml:space="preserve"> </w:t>
      </w:r>
      <w:r w:rsidR="00543EB5" w:rsidRPr="0050619C">
        <w:rPr>
          <w:rFonts w:ascii="Times New Roman" w:hAnsi="Times New Roman" w:cs="Times New Roman"/>
          <w:i/>
          <w:sz w:val="24"/>
          <w:szCs w:val="24"/>
        </w:rPr>
        <w:t>United</w:t>
      </w:r>
      <w:proofErr w:type="gramEnd"/>
      <w:r w:rsidR="00543EB5" w:rsidRPr="0050619C">
        <w:rPr>
          <w:rFonts w:ascii="Times New Roman" w:hAnsi="Times New Roman" w:cs="Times New Roman"/>
          <w:i/>
          <w:sz w:val="24"/>
          <w:szCs w:val="24"/>
        </w:rPr>
        <w:t xml:space="preserve"> Plant Hire (</w:t>
      </w:r>
      <w:proofErr w:type="spellStart"/>
      <w:r w:rsidR="00543EB5" w:rsidRPr="0050619C">
        <w:rPr>
          <w:rFonts w:ascii="Times New Roman" w:hAnsi="Times New Roman" w:cs="Times New Roman"/>
          <w:i/>
          <w:sz w:val="24"/>
          <w:szCs w:val="24"/>
        </w:rPr>
        <w:t>Pvt</w:t>
      </w:r>
      <w:proofErr w:type="spellEnd"/>
      <w:r w:rsidR="00543EB5" w:rsidRPr="0050619C">
        <w:rPr>
          <w:rFonts w:ascii="Times New Roman" w:hAnsi="Times New Roman" w:cs="Times New Roman"/>
          <w:i/>
          <w:sz w:val="24"/>
          <w:szCs w:val="24"/>
        </w:rPr>
        <w:t xml:space="preserve">) Ltd </w:t>
      </w:r>
      <w:r w:rsidR="00543EB5" w:rsidRPr="0050619C">
        <w:rPr>
          <w:rFonts w:ascii="Times New Roman" w:hAnsi="Times New Roman" w:cs="Times New Roman"/>
          <w:sz w:val="24"/>
          <w:szCs w:val="24"/>
        </w:rPr>
        <w:t>v</w:t>
      </w:r>
      <w:r w:rsidR="00543EB5" w:rsidRPr="0050619C">
        <w:rPr>
          <w:rFonts w:ascii="Times New Roman" w:hAnsi="Times New Roman" w:cs="Times New Roman"/>
          <w:i/>
          <w:sz w:val="24"/>
          <w:szCs w:val="24"/>
        </w:rPr>
        <w:t xml:space="preserve"> Hills &amp; </w:t>
      </w:r>
      <w:proofErr w:type="spellStart"/>
      <w:r w:rsidR="00543EB5" w:rsidRPr="0050619C">
        <w:rPr>
          <w:rFonts w:ascii="Times New Roman" w:hAnsi="Times New Roman" w:cs="Times New Roman"/>
          <w:i/>
          <w:sz w:val="24"/>
          <w:szCs w:val="24"/>
        </w:rPr>
        <w:t>Ors</w:t>
      </w:r>
      <w:proofErr w:type="spellEnd"/>
      <w:r w:rsidR="00543EB5" w:rsidRPr="0050619C">
        <w:rPr>
          <w:rFonts w:ascii="Times New Roman" w:hAnsi="Times New Roman" w:cs="Times New Roman"/>
          <w:sz w:val="24"/>
          <w:szCs w:val="24"/>
        </w:rPr>
        <w:t xml:space="preserve"> 1976 (1) SA 717</w:t>
      </w:r>
    </w:p>
    <w:p w:rsidR="0050619C" w:rsidRDefault="0050619C" w:rsidP="0050619C">
      <w:pPr>
        <w:spacing w:after="0" w:line="360" w:lineRule="auto"/>
        <w:jc w:val="both"/>
        <w:rPr>
          <w:rFonts w:ascii="Times New Roman" w:hAnsi="Times New Roman" w:cs="Times New Roman"/>
          <w:sz w:val="24"/>
          <w:szCs w:val="24"/>
        </w:rPr>
      </w:pPr>
    </w:p>
    <w:p w:rsidR="0050619C" w:rsidRDefault="0050619C" w:rsidP="005061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most cases, the success or failure of the application turns on the first 3 factors i.e. degree of non-compliance, explanation for it, and prospects of success. The court weighs </w:t>
      </w:r>
      <w:r w:rsidR="00E22DC6">
        <w:rPr>
          <w:rFonts w:ascii="Times New Roman" w:hAnsi="Times New Roman" w:cs="Times New Roman"/>
          <w:sz w:val="24"/>
          <w:szCs w:val="24"/>
        </w:rPr>
        <w:t>each</w:t>
      </w:r>
      <w:r>
        <w:rPr>
          <w:rFonts w:ascii="Times New Roman" w:hAnsi="Times New Roman" w:cs="Times New Roman"/>
          <w:sz w:val="24"/>
          <w:szCs w:val="24"/>
        </w:rPr>
        <w:t xml:space="preserve"> factor against the others, and normally the cumulative effect of all the factors resolves the case.</w:t>
      </w:r>
    </w:p>
    <w:p w:rsidR="0050619C" w:rsidRDefault="0050619C" w:rsidP="005061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instant case, the date of </w:t>
      </w:r>
      <w:r w:rsidR="00E22DC6">
        <w:rPr>
          <w:rFonts w:ascii="Times New Roman" w:hAnsi="Times New Roman" w:cs="Times New Roman"/>
          <w:sz w:val="24"/>
          <w:szCs w:val="24"/>
        </w:rPr>
        <w:t xml:space="preserve">the </w:t>
      </w:r>
      <w:r>
        <w:rPr>
          <w:rFonts w:ascii="Times New Roman" w:hAnsi="Times New Roman" w:cs="Times New Roman"/>
          <w:sz w:val="24"/>
          <w:szCs w:val="24"/>
        </w:rPr>
        <w:t xml:space="preserve">determination in </w:t>
      </w:r>
      <w:r w:rsidR="00E22DC6">
        <w:rPr>
          <w:rFonts w:ascii="Times New Roman" w:hAnsi="Times New Roman" w:cs="Times New Roman"/>
          <w:sz w:val="24"/>
          <w:szCs w:val="24"/>
        </w:rPr>
        <w:t>question</w:t>
      </w:r>
      <w:r>
        <w:rPr>
          <w:rFonts w:ascii="Times New Roman" w:hAnsi="Times New Roman" w:cs="Times New Roman"/>
          <w:sz w:val="24"/>
          <w:szCs w:val="24"/>
        </w:rPr>
        <w:t xml:space="preserve"> is 6 August 2019. It was received by the applicant on 19 August 2019. The present application was filed on 7 Dece</w:t>
      </w:r>
      <w:r w:rsidR="00E22DC6">
        <w:rPr>
          <w:rFonts w:ascii="Times New Roman" w:hAnsi="Times New Roman" w:cs="Times New Roman"/>
          <w:sz w:val="24"/>
          <w:szCs w:val="24"/>
        </w:rPr>
        <w:t>mber 2020. That constitutes</w:t>
      </w:r>
      <w:r>
        <w:rPr>
          <w:rFonts w:ascii="Times New Roman" w:hAnsi="Times New Roman" w:cs="Times New Roman"/>
          <w:sz w:val="24"/>
          <w:szCs w:val="24"/>
        </w:rPr>
        <w:t xml:space="preserve"> </w:t>
      </w:r>
      <w:r w:rsidR="00E273D1">
        <w:rPr>
          <w:rFonts w:ascii="Times New Roman" w:hAnsi="Times New Roman" w:cs="Times New Roman"/>
          <w:sz w:val="24"/>
          <w:szCs w:val="24"/>
        </w:rPr>
        <w:t xml:space="preserve">a 16 </w:t>
      </w:r>
      <w:r>
        <w:rPr>
          <w:rFonts w:ascii="Times New Roman" w:hAnsi="Times New Roman" w:cs="Times New Roman"/>
          <w:sz w:val="24"/>
          <w:szCs w:val="24"/>
        </w:rPr>
        <w:t>month delay.</w:t>
      </w:r>
    </w:p>
    <w:p w:rsidR="0050619C" w:rsidRDefault="0050619C" w:rsidP="0050619C">
      <w:pPr>
        <w:spacing w:after="0" w:line="360" w:lineRule="auto"/>
        <w:jc w:val="both"/>
        <w:rPr>
          <w:rFonts w:ascii="Times New Roman" w:hAnsi="Times New Roman" w:cs="Times New Roman"/>
          <w:sz w:val="24"/>
          <w:szCs w:val="24"/>
        </w:rPr>
      </w:pPr>
    </w:p>
    <w:p w:rsidR="0050619C" w:rsidRDefault="0050619C" w:rsidP="005061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explanation for the delay, the app</w:t>
      </w:r>
      <w:r w:rsidR="00E22DC6">
        <w:rPr>
          <w:rFonts w:ascii="Times New Roman" w:hAnsi="Times New Roman" w:cs="Times New Roman"/>
          <w:sz w:val="24"/>
          <w:szCs w:val="24"/>
        </w:rPr>
        <w:t>licant</w:t>
      </w:r>
      <w:r>
        <w:rPr>
          <w:rFonts w:ascii="Times New Roman" w:hAnsi="Times New Roman" w:cs="Times New Roman"/>
          <w:sz w:val="24"/>
          <w:szCs w:val="24"/>
        </w:rPr>
        <w:t xml:space="preserve"> has decided to break down the periods of delay, instead of looking at it as one long stretch. Her paper</w:t>
      </w:r>
      <w:r w:rsidR="009E28D5">
        <w:rPr>
          <w:rFonts w:ascii="Times New Roman" w:hAnsi="Times New Roman" w:cs="Times New Roman"/>
          <w:sz w:val="24"/>
          <w:szCs w:val="24"/>
        </w:rPr>
        <w:t>s</w:t>
      </w:r>
      <w:r>
        <w:rPr>
          <w:rFonts w:ascii="Times New Roman" w:hAnsi="Times New Roman" w:cs="Times New Roman"/>
          <w:sz w:val="24"/>
          <w:szCs w:val="24"/>
        </w:rPr>
        <w:t xml:space="preserve"> show the following chronology of events:</w:t>
      </w:r>
    </w:p>
    <w:p w:rsidR="0050619C" w:rsidRDefault="0050619C" w:rsidP="0050619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The initial application for </w:t>
      </w:r>
      <w:r w:rsidR="002C37C8">
        <w:rPr>
          <w:rFonts w:ascii="Times New Roman" w:hAnsi="Times New Roman" w:cs="Times New Roman"/>
          <w:sz w:val="24"/>
          <w:szCs w:val="24"/>
        </w:rPr>
        <w:t>condonation</w:t>
      </w:r>
      <w:r>
        <w:rPr>
          <w:rFonts w:ascii="Times New Roman" w:hAnsi="Times New Roman" w:cs="Times New Roman"/>
          <w:sz w:val="24"/>
          <w:szCs w:val="24"/>
        </w:rPr>
        <w:t xml:space="preserve"> was filed under Case No. LC/H/APP/590/19 on 17 October 2019. </w:t>
      </w:r>
      <w:r w:rsidR="00E22DC6">
        <w:rPr>
          <w:rFonts w:ascii="Times New Roman" w:hAnsi="Times New Roman" w:cs="Times New Roman"/>
          <w:sz w:val="24"/>
          <w:szCs w:val="24"/>
        </w:rPr>
        <w:t>The applicant wants to down play</w:t>
      </w:r>
      <w:r>
        <w:rPr>
          <w:rFonts w:ascii="Times New Roman" w:hAnsi="Times New Roman" w:cs="Times New Roman"/>
          <w:sz w:val="24"/>
          <w:szCs w:val="24"/>
        </w:rPr>
        <w:t xml:space="preserve"> this period by saying it was less than a month. It is puzzling how the period 19 August 2019 to 17 October 2019 can be said to be less than a month.</w:t>
      </w:r>
    </w:p>
    <w:p w:rsidR="0050619C" w:rsidRDefault="0050619C" w:rsidP="0050619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This application was struck off the roll on 5 June 2020 for being fatally defective, in that a wrong form had been used.</w:t>
      </w:r>
    </w:p>
    <w:p w:rsidR="0050619C" w:rsidRDefault="0050619C" w:rsidP="0050619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E22DC6">
        <w:rPr>
          <w:rFonts w:ascii="Times New Roman" w:hAnsi="Times New Roman" w:cs="Times New Roman"/>
          <w:sz w:val="24"/>
          <w:szCs w:val="24"/>
        </w:rPr>
        <w:t>A s</w:t>
      </w:r>
      <w:r>
        <w:rPr>
          <w:rFonts w:ascii="Times New Roman" w:hAnsi="Times New Roman" w:cs="Times New Roman"/>
          <w:sz w:val="24"/>
          <w:szCs w:val="24"/>
        </w:rPr>
        <w:t>econd application was filed on 16 June 2020 under LC/H/APP/167/20. This was again struck off the roll on 18 November 2020</w:t>
      </w:r>
      <w:r w:rsidR="00E22DC6">
        <w:rPr>
          <w:rFonts w:ascii="Times New Roman" w:hAnsi="Times New Roman" w:cs="Times New Roman"/>
          <w:sz w:val="24"/>
          <w:szCs w:val="24"/>
        </w:rPr>
        <w:t>,</w:t>
      </w:r>
      <w:r>
        <w:rPr>
          <w:rFonts w:ascii="Times New Roman" w:hAnsi="Times New Roman" w:cs="Times New Roman"/>
          <w:sz w:val="24"/>
          <w:szCs w:val="24"/>
        </w:rPr>
        <w:t xml:space="preserve"> as there was no supporting affidavit. The founding affidavit was deposed to by the applicant’s legal practitioner.</w:t>
      </w:r>
    </w:p>
    <w:p w:rsidR="0050619C" w:rsidRDefault="0050619C" w:rsidP="0050619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instant application is a third attempt at</w:t>
      </w:r>
      <w:r w:rsidR="00E22DC6">
        <w:rPr>
          <w:rFonts w:ascii="Times New Roman" w:hAnsi="Times New Roman" w:cs="Times New Roman"/>
          <w:sz w:val="24"/>
          <w:szCs w:val="24"/>
        </w:rPr>
        <w:t xml:space="preserve"> seeking condonation. It has a founding a</w:t>
      </w:r>
      <w:r>
        <w:rPr>
          <w:rFonts w:ascii="Times New Roman" w:hAnsi="Times New Roman" w:cs="Times New Roman"/>
          <w:sz w:val="24"/>
          <w:szCs w:val="24"/>
        </w:rPr>
        <w:t xml:space="preserve">ffidavit by the applicant. It has no supporting </w:t>
      </w:r>
      <w:r w:rsidR="00E22DC6">
        <w:rPr>
          <w:rFonts w:ascii="Times New Roman" w:hAnsi="Times New Roman" w:cs="Times New Roman"/>
          <w:sz w:val="24"/>
          <w:szCs w:val="24"/>
        </w:rPr>
        <w:t>a</w:t>
      </w:r>
      <w:r>
        <w:rPr>
          <w:rFonts w:ascii="Times New Roman" w:hAnsi="Times New Roman" w:cs="Times New Roman"/>
          <w:sz w:val="24"/>
          <w:szCs w:val="24"/>
        </w:rPr>
        <w:t>ffidavit from the legal practitioner on whom much of the blame is laid for the delays</w:t>
      </w:r>
      <w:r w:rsidR="00324B00">
        <w:rPr>
          <w:rFonts w:ascii="Times New Roman" w:hAnsi="Times New Roman" w:cs="Times New Roman"/>
          <w:sz w:val="24"/>
          <w:szCs w:val="24"/>
        </w:rPr>
        <w:t>.</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this background, what emerges as the gist or main thrust of the explanation for the delay is that it was caused by the applicant’s legal practitioner. There is particular emphasis on this point in paragraph 7 of applicant’s heads of argument, wherein is stated:</w:t>
      </w:r>
    </w:p>
    <w:p w:rsidR="00324B00" w:rsidRDefault="00324B00" w:rsidP="00324B00">
      <w:pPr>
        <w:spacing w:after="0" w:line="360" w:lineRule="auto"/>
        <w:jc w:val="both"/>
        <w:rPr>
          <w:rFonts w:ascii="Times New Roman" w:hAnsi="Times New Roman" w:cs="Times New Roman"/>
          <w:sz w:val="24"/>
          <w:szCs w:val="24"/>
        </w:rPr>
      </w:pPr>
    </w:p>
    <w:p w:rsidR="00324B00" w:rsidRPr="002C37C8" w:rsidRDefault="00324B00" w:rsidP="002C37C8">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sidR="002C37C8">
        <w:rPr>
          <w:rFonts w:ascii="Times New Roman" w:hAnsi="Times New Roman" w:cs="Times New Roman"/>
        </w:rPr>
        <w:t xml:space="preserve">It is submitted that the Applicant was out of time for a period of less than a month. Applicant is cognizant of the fact that her initial application was struck off the roll for being defective and that was owing to her legal practitioners of record who prepared the papers. Indeed, such a delay is inconvenient to this </w:t>
      </w:r>
      <w:proofErr w:type="spellStart"/>
      <w:r w:rsidR="002C37C8">
        <w:rPr>
          <w:rFonts w:ascii="Times New Roman" w:hAnsi="Times New Roman" w:cs="Times New Roman"/>
        </w:rPr>
        <w:t>Honourable</w:t>
      </w:r>
      <w:proofErr w:type="spellEnd"/>
      <w:r w:rsidR="002C37C8">
        <w:rPr>
          <w:rFonts w:ascii="Times New Roman" w:hAnsi="Times New Roman" w:cs="Times New Roman"/>
        </w:rPr>
        <w:t xml:space="preserve"> Court and to the Respondent but she must not be punished </w:t>
      </w:r>
      <w:r w:rsidR="00E22DC6">
        <w:rPr>
          <w:rFonts w:ascii="Times New Roman" w:hAnsi="Times New Roman" w:cs="Times New Roman"/>
        </w:rPr>
        <w:t>f</w:t>
      </w:r>
      <w:r w:rsidR="002C37C8">
        <w:rPr>
          <w:rFonts w:ascii="Times New Roman" w:hAnsi="Times New Roman" w:cs="Times New Roman"/>
        </w:rPr>
        <w:t xml:space="preserve">or the sins of her legal practitioners. Applicant has shown that she is keen for the matter to be </w:t>
      </w:r>
      <w:r w:rsidR="002C37C8">
        <w:rPr>
          <w:rFonts w:ascii="Times New Roman" w:hAnsi="Times New Roman" w:cs="Times New Roman"/>
        </w:rPr>
        <w:lastRenderedPageBreak/>
        <w:t xml:space="preserve">resolved on the merits and has shown that the failure to file an appeal within the </w:t>
      </w:r>
      <w:r w:rsidR="002C37C8" w:rsidRPr="002C37C8">
        <w:rPr>
          <w:rFonts w:ascii="Times New Roman" w:hAnsi="Times New Roman" w:cs="Times New Roman"/>
          <w:i/>
        </w:rPr>
        <w:t xml:space="preserve">dies </w:t>
      </w:r>
      <w:proofErr w:type="spellStart"/>
      <w:r w:rsidR="002C37C8" w:rsidRPr="002C37C8">
        <w:rPr>
          <w:rFonts w:ascii="Times New Roman" w:hAnsi="Times New Roman" w:cs="Times New Roman"/>
          <w:i/>
        </w:rPr>
        <w:t>induciae</w:t>
      </w:r>
      <w:proofErr w:type="spellEnd"/>
      <w:r w:rsidR="002C37C8">
        <w:rPr>
          <w:rFonts w:ascii="Times New Roman" w:hAnsi="Times New Roman" w:cs="Times New Roman"/>
        </w:rPr>
        <w:t xml:space="preserve"> was neither deliberate nor intentional.”</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Another dimension to the applicant’s explanation for the delay is lack of funds. She avers that having lost her job, she was unable to raise funds in time to engage a legal practitioner.</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nothing much turns on this aspect. It has been seen that in just over one month, this problem was resolved in </w:t>
      </w:r>
      <w:r w:rsidR="00E22DC6">
        <w:rPr>
          <w:rFonts w:ascii="Times New Roman" w:hAnsi="Times New Roman" w:cs="Times New Roman"/>
          <w:sz w:val="24"/>
          <w:szCs w:val="24"/>
        </w:rPr>
        <w:t>that</w:t>
      </w:r>
      <w:r>
        <w:rPr>
          <w:rFonts w:ascii="Times New Roman" w:hAnsi="Times New Roman" w:cs="Times New Roman"/>
          <w:sz w:val="24"/>
          <w:szCs w:val="24"/>
        </w:rPr>
        <w:t xml:space="preserve"> applicant was now represented</w:t>
      </w:r>
      <w:r w:rsidR="00E22DC6">
        <w:rPr>
          <w:rFonts w:ascii="Times New Roman" w:hAnsi="Times New Roman" w:cs="Times New Roman"/>
          <w:sz w:val="24"/>
          <w:szCs w:val="24"/>
        </w:rPr>
        <w:t>,</w:t>
      </w:r>
      <w:r>
        <w:rPr>
          <w:rFonts w:ascii="Times New Roman" w:hAnsi="Times New Roman" w:cs="Times New Roman"/>
          <w:sz w:val="24"/>
          <w:szCs w:val="24"/>
        </w:rPr>
        <w:t xml:space="preserve"> as she found legal practitioners who undertook to represent her </w:t>
      </w:r>
      <w:r w:rsidRPr="00324B00">
        <w:rPr>
          <w:rFonts w:ascii="Times New Roman" w:hAnsi="Times New Roman" w:cs="Times New Roman"/>
          <w:i/>
          <w:sz w:val="24"/>
          <w:szCs w:val="24"/>
        </w:rPr>
        <w:t>amicus curiae.</w:t>
      </w:r>
      <w:r>
        <w:rPr>
          <w:rFonts w:ascii="Times New Roman" w:hAnsi="Times New Roman" w:cs="Times New Roman"/>
          <w:sz w:val="24"/>
          <w:szCs w:val="24"/>
        </w:rPr>
        <w:t xml:space="preserve"> Use of the term </w:t>
      </w:r>
      <w:r w:rsidRPr="00324B00">
        <w:rPr>
          <w:rFonts w:ascii="Times New Roman" w:hAnsi="Times New Roman" w:cs="Times New Roman"/>
          <w:i/>
          <w:sz w:val="24"/>
          <w:szCs w:val="24"/>
        </w:rPr>
        <w:t>amicus curiae</w:t>
      </w:r>
      <w:r>
        <w:rPr>
          <w:rFonts w:ascii="Times New Roman" w:hAnsi="Times New Roman" w:cs="Times New Roman"/>
          <w:sz w:val="24"/>
          <w:szCs w:val="24"/>
        </w:rPr>
        <w:t xml:space="preserve"> appears to be a misnomer. The legal practitioner has not appeared as a friend of the court, </w:t>
      </w:r>
      <w:r w:rsidR="00E22DC6">
        <w:rPr>
          <w:rFonts w:ascii="Times New Roman" w:hAnsi="Times New Roman" w:cs="Times New Roman"/>
          <w:sz w:val="24"/>
          <w:szCs w:val="24"/>
        </w:rPr>
        <w:t xml:space="preserve">in the ordinary sense in which that expression is used, where the </w:t>
      </w:r>
      <w:r w:rsidR="00E22DC6" w:rsidRPr="00E22DC6">
        <w:rPr>
          <w:rFonts w:ascii="Times New Roman" w:hAnsi="Times New Roman" w:cs="Times New Roman"/>
          <w:i/>
          <w:sz w:val="24"/>
          <w:szCs w:val="24"/>
        </w:rPr>
        <w:t>amicus curiae</w:t>
      </w:r>
      <w:r w:rsidR="00E22DC6">
        <w:rPr>
          <w:rFonts w:ascii="Times New Roman" w:hAnsi="Times New Roman" w:cs="Times New Roman"/>
          <w:sz w:val="24"/>
          <w:szCs w:val="24"/>
        </w:rPr>
        <w:t xml:space="preserve"> appears as a third and neutral party </w:t>
      </w:r>
      <w:r w:rsidR="00546CFE">
        <w:rPr>
          <w:rFonts w:ascii="Times New Roman" w:hAnsi="Times New Roman" w:cs="Times New Roman"/>
          <w:sz w:val="24"/>
          <w:szCs w:val="24"/>
        </w:rPr>
        <w:t xml:space="preserve">who </w:t>
      </w:r>
      <w:r w:rsidR="00E22DC6">
        <w:rPr>
          <w:rFonts w:ascii="Times New Roman" w:hAnsi="Times New Roman" w:cs="Times New Roman"/>
          <w:sz w:val="24"/>
          <w:szCs w:val="24"/>
        </w:rPr>
        <w:t>assists with submissions that may turn the matter either way. He has appeared as</w:t>
      </w:r>
      <w:r>
        <w:rPr>
          <w:rFonts w:ascii="Times New Roman" w:hAnsi="Times New Roman" w:cs="Times New Roman"/>
          <w:sz w:val="24"/>
          <w:szCs w:val="24"/>
        </w:rPr>
        <w:t xml:space="preserve"> the applicant’s representative, without charging her </w:t>
      </w:r>
      <w:r w:rsidR="009E007F">
        <w:rPr>
          <w:rFonts w:ascii="Times New Roman" w:hAnsi="Times New Roman" w:cs="Times New Roman"/>
          <w:sz w:val="24"/>
          <w:szCs w:val="24"/>
        </w:rPr>
        <w:t xml:space="preserve">at all </w:t>
      </w:r>
      <w:r>
        <w:rPr>
          <w:rFonts w:ascii="Times New Roman" w:hAnsi="Times New Roman" w:cs="Times New Roman"/>
          <w:sz w:val="24"/>
          <w:szCs w:val="24"/>
        </w:rPr>
        <w:t xml:space="preserve">or </w:t>
      </w:r>
      <w:r w:rsidR="009E007F">
        <w:rPr>
          <w:rFonts w:ascii="Times New Roman" w:hAnsi="Times New Roman" w:cs="Times New Roman"/>
          <w:sz w:val="24"/>
          <w:szCs w:val="24"/>
        </w:rPr>
        <w:t>after</w:t>
      </w:r>
      <w:r>
        <w:rPr>
          <w:rFonts w:ascii="Times New Roman" w:hAnsi="Times New Roman" w:cs="Times New Roman"/>
          <w:sz w:val="24"/>
          <w:szCs w:val="24"/>
        </w:rPr>
        <w:t xml:space="preserve"> charging her </w:t>
      </w:r>
      <w:r w:rsidR="009E007F">
        <w:rPr>
          <w:rFonts w:ascii="Times New Roman" w:hAnsi="Times New Roman" w:cs="Times New Roman"/>
          <w:sz w:val="24"/>
          <w:szCs w:val="24"/>
        </w:rPr>
        <w:t>nominal</w:t>
      </w:r>
      <w:r>
        <w:rPr>
          <w:rFonts w:ascii="Times New Roman" w:hAnsi="Times New Roman" w:cs="Times New Roman"/>
          <w:sz w:val="24"/>
          <w:szCs w:val="24"/>
        </w:rPr>
        <w:t xml:space="preserve"> fees. It seems to </w:t>
      </w:r>
      <w:r w:rsidR="009E007F">
        <w:rPr>
          <w:rFonts w:ascii="Times New Roman" w:hAnsi="Times New Roman" w:cs="Times New Roman"/>
          <w:sz w:val="24"/>
          <w:szCs w:val="24"/>
        </w:rPr>
        <w:t>me a more</w:t>
      </w:r>
      <w:r>
        <w:rPr>
          <w:rFonts w:ascii="Times New Roman" w:hAnsi="Times New Roman" w:cs="Times New Roman"/>
          <w:sz w:val="24"/>
          <w:szCs w:val="24"/>
        </w:rPr>
        <w:t xml:space="preserve"> appropriate term would be </w:t>
      </w:r>
      <w:r w:rsidRPr="00324B00">
        <w:rPr>
          <w:rFonts w:ascii="Times New Roman" w:hAnsi="Times New Roman" w:cs="Times New Roman"/>
          <w:i/>
          <w:sz w:val="24"/>
          <w:szCs w:val="24"/>
        </w:rPr>
        <w:t>pro bono</w:t>
      </w:r>
      <w:r>
        <w:rPr>
          <w:rFonts w:ascii="Times New Roman" w:hAnsi="Times New Roman" w:cs="Times New Roman"/>
          <w:sz w:val="24"/>
          <w:szCs w:val="24"/>
        </w:rPr>
        <w:t xml:space="preserve"> or </w:t>
      </w:r>
      <w:r w:rsidRPr="00324B00">
        <w:rPr>
          <w:rFonts w:ascii="Times New Roman" w:hAnsi="Times New Roman" w:cs="Times New Roman"/>
          <w:i/>
          <w:sz w:val="24"/>
          <w:szCs w:val="24"/>
        </w:rPr>
        <w:t xml:space="preserve">pro </w:t>
      </w:r>
      <w:proofErr w:type="spellStart"/>
      <w:r w:rsidRPr="00324B00">
        <w:rPr>
          <w:rFonts w:ascii="Times New Roman" w:hAnsi="Times New Roman" w:cs="Times New Roman"/>
          <w:i/>
          <w:sz w:val="24"/>
          <w:szCs w:val="24"/>
        </w:rPr>
        <w:t>Deo</w:t>
      </w:r>
      <w:proofErr w:type="spellEnd"/>
      <w:r w:rsidR="009E007F">
        <w:rPr>
          <w:rFonts w:ascii="Times New Roman" w:hAnsi="Times New Roman" w:cs="Times New Roman"/>
          <w:i/>
          <w:sz w:val="24"/>
          <w:szCs w:val="24"/>
        </w:rPr>
        <w:t>,</w:t>
      </w:r>
      <w:r>
        <w:rPr>
          <w:rFonts w:ascii="Times New Roman" w:hAnsi="Times New Roman" w:cs="Times New Roman"/>
          <w:sz w:val="24"/>
          <w:szCs w:val="24"/>
        </w:rPr>
        <w:t xml:space="preserve"> rather than </w:t>
      </w:r>
      <w:r w:rsidR="009E007F">
        <w:rPr>
          <w:rFonts w:ascii="Times New Roman" w:hAnsi="Times New Roman" w:cs="Times New Roman"/>
          <w:i/>
          <w:sz w:val="24"/>
          <w:szCs w:val="24"/>
        </w:rPr>
        <w:t>amicus curiae</w:t>
      </w:r>
      <w:r w:rsidRPr="00324B00">
        <w:rPr>
          <w:rFonts w:ascii="Times New Roman" w:hAnsi="Times New Roman" w:cs="Times New Roman"/>
          <w:i/>
          <w:sz w:val="24"/>
          <w:szCs w:val="24"/>
        </w:rPr>
        <w:t>.</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what is important to note is that the applicant, at some point, managed to get legal representation. That explains</w:t>
      </w:r>
      <w:r w:rsidR="009C1B6C">
        <w:rPr>
          <w:rFonts w:ascii="Times New Roman" w:hAnsi="Times New Roman" w:cs="Times New Roman"/>
          <w:sz w:val="24"/>
          <w:szCs w:val="24"/>
        </w:rPr>
        <w:t xml:space="preserve"> only</w:t>
      </w:r>
      <w:r>
        <w:rPr>
          <w:rFonts w:ascii="Times New Roman" w:hAnsi="Times New Roman" w:cs="Times New Roman"/>
          <w:sz w:val="24"/>
          <w:szCs w:val="24"/>
        </w:rPr>
        <w:t xml:space="preserve"> the initial period of delay.</w:t>
      </w:r>
      <w:r>
        <w:rPr>
          <w:rFonts w:ascii="Times New Roman" w:hAnsi="Times New Roman" w:cs="Times New Roman"/>
          <w:sz w:val="24"/>
          <w:szCs w:val="24"/>
        </w:rPr>
        <w:tab/>
        <w:t>Thus, for the rest of the period, September 2019 to December 2020, the issue about inadequate funds becomes irrelevant. The case was now being handled by a legal practitioner.</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Much of the delay is therefore ascribed to the app</w:t>
      </w:r>
      <w:r w:rsidR="009C1B6C">
        <w:rPr>
          <w:rFonts w:ascii="Times New Roman" w:hAnsi="Times New Roman" w:cs="Times New Roman"/>
          <w:sz w:val="24"/>
          <w:szCs w:val="24"/>
        </w:rPr>
        <w:t xml:space="preserve">licant’s </w:t>
      </w:r>
      <w:r>
        <w:rPr>
          <w:rFonts w:ascii="Times New Roman" w:hAnsi="Times New Roman" w:cs="Times New Roman"/>
          <w:sz w:val="24"/>
          <w:szCs w:val="24"/>
        </w:rPr>
        <w:t xml:space="preserve">legal practitioners.  The delay was largely, if not solely, due to the procedural errors by her legal practitioner which </w:t>
      </w:r>
      <w:r w:rsidR="00152268">
        <w:rPr>
          <w:rFonts w:ascii="Times New Roman" w:hAnsi="Times New Roman" w:cs="Times New Roman"/>
          <w:sz w:val="24"/>
          <w:szCs w:val="24"/>
        </w:rPr>
        <w:t>caused</w:t>
      </w:r>
      <w:r>
        <w:rPr>
          <w:rFonts w:ascii="Times New Roman" w:hAnsi="Times New Roman" w:cs="Times New Roman"/>
          <w:sz w:val="24"/>
          <w:szCs w:val="24"/>
        </w:rPr>
        <w:t xml:space="preserve"> </w:t>
      </w:r>
      <w:r w:rsidR="009C1B6C">
        <w:rPr>
          <w:rFonts w:ascii="Times New Roman" w:hAnsi="Times New Roman" w:cs="Times New Roman"/>
          <w:sz w:val="24"/>
          <w:szCs w:val="24"/>
        </w:rPr>
        <w:t>repeated applications</w:t>
      </w:r>
      <w:r>
        <w:rPr>
          <w:rFonts w:ascii="Times New Roman" w:hAnsi="Times New Roman" w:cs="Times New Roman"/>
          <w:sz w:val="24"/>
          <w:szCs w:val="24"/>
        </w:rPr>
        <w:t xml:space="preserve"> for condonation.</w:t>
      </w:r>
    </w:p>
    <w:p w:rsidR="00324B00" w:rsidRDefault="00324B00" w:rsidP="00324B00">
      <w:pPr>
        <w:spacing w:after="0" w:line="360" w:lineRule="auto"/>
        <w:jc w:val="both"/>
        <w:rPr>
          <w:rFonts w:ascii="Times New Roman" w:hAnsi="Times New Roman" w:cs="Times New Roman"/>
          <w:sz w:val="24"/>
          <w:szCs w:val="24"/>
        </w:rPr>
      </w:pP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Courts are generally reluctant to punish litigants for the sins of their legal </w:t>
      </w:r>
      <w:r w:rsidR="00152268">
        <w:rPr>
          <w:rFonts w:ascii="Times New Roman" w:hAnsi="Times New Roman" w:cs="Times New Roman"/>
          <w:sz w:val="24"/>
          <w:szCs w:val="24"/>
        </w:rPr>
        <w:t>practitioners</w:t>
      </w:r>
      <w:r>
        <w:rPr>
          <w:rFonts w:ascii="Times New Roman" w:hAnsi="Times New Roman" w:cs="Times New Roman"/>
          <w:sz w:val="24"/>
          <w:szCs w:val="24"/>
        </w:rPr>
        <w:t xml:space="preserve">. </w:t>
      </w:r>
      <w:proofErr w:type="spellStart"/>
      <w:r w:rsidRPr="00152268">
        <w:rPr>
          <w:rFonts w:ascii="Times New Roman" w:hAnsi="Times New Roman" w:cs="Times New Roman"/>
          <w:smallCaps/>
          <w:sz w:val="24"/>
          <w:szCs w:val="24"/>
        </w:rPr>
        <w:t>Chidyausiku</w:t>
      </w:r>
      <w:proofErr w:type="spellEnd"/>
      <w:r w:rsidRPr="00152268">
        <w:rPr>
          <w:rFonts w:ascii="Times New Roman" w:hAnsi="Times New Roman" w:cs="Times New Roman"/>
          <w:smallCaps/>
          <w:sz w:val="24"/>
          <w:szCs w:val="24"/>
        </w:rPr>
        <w:t xml:space="preserve"> J</w:t>
      </w:r>
      <w:r>
        <w:rPr>
          <w:rFonts w:ascii="Times New Roman" w:hAnsi="Times New Roman" w:cs="Times New Roman"/>
          <w:sz w:val="24"/>
          <w:szCs w:val="24"/>
        </w:rPr>
        <w:t xml:space="preserve"> </w:t>
      </w:r>
      <w:r w:rsidR="00152268">
        <w:rPr>
          <w:rFonts w:ascii="Times New Roman" w:hAnsi="Times New Roman" w:cs="Times New Roman"/>
          <w:sz w:val="24"/>
          <w:szCs w:val="24"/>
        </w:rPr>
        <w:t xml:space="preserve">(as he then was) highlighted this general position in </w:t>
      </w:r>
      <w:proofErr w:type="spellStart"/>
      <w:r w:rsidR="00152268" w:rsidRPr="00152268">
        <w:rPr>
          <w:rFonts w:ascii="Times New Roman" w:hAnsi="Times New Roman" w:cs="Times New Roman"/>
          <w:i/>
          <w:sz w:val="24"/>
          <w:szCs w:val="24"/>
        </w:rPr>
        <w:t>Bishi</w:t>
      </w:r>
      <w:proofErr w:type="spellEnd"/>
      <w:r w:rsidR="00152268" w:rsidRPr="00152268">
        <w:rPr>
          <w:rFonts w:ascii="Times New Roman" w:hAnsi="Times New Roman" w:cs="Times New Roman"/>
          <w:i/>
          <w:sz w:val="24"/>
          <w:szCs w:val="24"/>
        </w:rPr>
        <w:t xml:space="preserve"> </w:t>
      </w:r>
      <w:r w:rsidR="00152268" w:rsidRPr="00152268">
        <w:rPr>
          <w:rFonts w:ascii="Times New Roman" w:hAnsi="Times New Roman" w:cs="Times New Roman"/>
          <w:sz w:val="24"/>
          <w:szCs w:val="24"/>
        </w:rPr>
        <w:t>v</w:t>
      </w:r>
      <w:r w:rsidR="00152268" w:rsidRPr="00152268">
        <w:rPr>
          <w:rFonts w:ascii="Times New Roman" w:hAnsi="Times New Roman" w:cs="Times New Roman"/>
          <w:i/>
          <w:sz w:val="24"/>
          <w:szCs w:val="24"/>
        </w:rPr>
        <w:t xml:space="preserve"> Secretary for E</w:t>
      </w:r>
      <w:r w:rsidR="009C1B6C">
        <w:rPr>
          <w:rFonts w:ascii="Times New Roman" w:hAnsi="Times New Roman" w:cs="Times New Roman"/>
          <w:i/>
          <w:sz w:val="24"/>
          <w:szCs w:val="24"/>
        </w:rPr>
        <w:t>ducation</w:t>
      </w:r>
      <w:r w:rsidR="00152268" w:rsidRPr="00152268">
        <w:rPr>
          <w:rFonts w:ascii="Times New Roman" w:hAnsi="Times New Roman" w:cs="Times New Roman"/>
          <w:i/>
          <w:sz w:val="24"/>
          <w:szCs w:val="24"/>
        </w:rPr>
        <w:t>, supra,</w:t>
      </w:r>
      <w:r w:rsidR="00152268">
        <w:rPr>
          <w:rFonts w:ascii="Times New Roman" w:hAnsi="Times New Roman" w:cs="Times New Roman"/>
          <w:sz w:val="24"/>
          <w:szCs w:val="24"/>
        </w:rPr>
        <w:t xml:space="preserve"> at page 243</w:t>
      </w:r>
      <w:r w:rsidR="009C1B6C">
        <w:rPr>
          <w:rFonts w:ascii="Times New Roman" w:hAnsi="Times New Roman" w:cs="Times New Roman"/>
          <w:sz w:val="24"/>
          <w:szCs w:val="24"/>
        </w:rPr>
        <w:t xml:space="preserve"> G</w:t>
      </w:r>
      <w:r w:rsidR="00152268">
        <w:rPr>
          <w:rFonts w:ascii="Times New Roman" w:hAnsi="Times New Roman" w:cs="Times New Roman"/>
          <w:sz w:val="24"/>
          <w:szCs w:val="24"/>
        </w:rPr>
        <w:t>:</w:t>
      </w:r>
    </w:p>
    <w:p w:rsidR="00152268" w:rsidRDefault="00152268" w:rsidP="00324B00">
      <w:pPr>
        <w:spacing w:after="0" w:line="360" w:lineRule="auto"/>
        <w:jc w:val="both"/>
        <w:rPr>
          <w:rFonts w:ascii="Times New Roman" w:hAnsi="Times New Roman" w:cs="Times New Roman"/>
          <w:sz w:val="24"/>
          <w:szCs w:val="24"/>
        </w:rPr>
      </w:pPr>
    </w:p>
    <w:p w:rsidR="00152268" w:rsidRDefault="00152268" w:rsidP="00152268">
      <w:pPr>
        <w:spacing w:after="0" w:line="360" w:lineRule="auto"/>
        <w:ind w:left="720"/>
        <w:jc w:val="both"/>
        <w:rPr>
          <w:rFonts w:ascii="Times New Roman" w:hAnsi="Times New Roman" w:cs="Times New Roman"/>
        </w:rPr>
      </w:pPr>
      <w:r w:rsidRPr="00152268">
        <w:rPr>
          <w:rFonts w:ascii="Times New Roman" w:hAnsi="Times New Roman" w:cs="Times New Roman"/>
        </w:rPr>
        <w:t xml:space="preserve">“Courts are very reluctant to visit the client with the sins of his legal practitioner but </w:t>
      </w:r>
      <w:r w:rsidR="00FA0830" w:rsidRPr="00152268">
        <w:rPr>
          <w:rFonts w:ascii="Times New Roman" w:hAnsi="Times New Roman" w:cs="Times New Roman"/>
        </w:rPr>
        <w:t>th</w:t>
      </w:r>
      <w:r w:rsidR="004A1BD7">
        <w:rPr>
          <w:rFonts w:ascii="Times New Roman" w:hAnsi="Times New Roman" w:cs="Times New Roman"/>
        </w:rPr>
        <w:t>ere</w:t>
      </w:r>
      <w:r w:rsidR="00FA0830" w:rsidRPr="00152268">
        <w:rPr>
          <w:rFonts w:ascii="Times New Roman" w:hAnsi="Times New Roman" w:cs="Times New Roman"/>
        </w:rPr>
        <w:t xml:space="preserve"> has</w:t>
      </w:r>
      <w:r w:rsidRPr="00152268">
        <w:rPr>
          <w:rFonts w:ascii="Times New Roman" w:hAnsi="Times New Roman" w:cs="Times New Roman"/>
        </w:rPr>
        <w:t xml:space="preserve"> to be a limit beyond which the court will not go.”</w:t>
      </w:r>
    </w:p>
    <w:p w:rsidR="00152268" w:rsidRDefault="00152268" w:rsidP="00152268">
      <w:pPr>
        <w:spacing w:after="0" w:line="360" w:lineRule="auto"/>
        <w:jc w:val="both"/>
        <w:rPr>
          <w:rFonts w:ascii="Times New Roman" w:hAnsi="Times New Roman" w:cs="Times New Roman"/>
        </w:rPr>
      </w:pPr>
    </w:p>
    <w:p w:rsidR="00E35645" w:rsidRDefault="00152268" w:rsidP="00152268">
      <w:pPr>
        <w:spacing w:after="0" w:line="360" w:lineRule="auto"/>
        <w:jc w:val="both"/>
        <w:rPr>
          <w:rFonts w:ascii="Times New Roman" w:hAnsi="Times New Roman" w:cs="Times New Roman"/>
          <w:sz w:val="24"/>
          <w:szCs w:val="24"/>
        </w:rPr>
      </w:pPr>
      <w:r>
        <w:rPr>
          <w:rFonts w:ascii="Times New Roman" w:hAnsi="Times New Roman" w:cs="Times New Roman"/>
        </w:rPr>
        <w:tab/>
      </w:r>
      <w:r w:rsidR="00E35645">
        <w:rPr>
          <w:rFonts w:ascii="Times New Roman" w:hAnsi="Times New Roman" w:cs="Times New Roman"/>
          <w:sz w:val="24"/>
          <w:szCs w:val="24"/>
        </w:rPr>
        <w:t xml:space="preserve">As the learned judge cautioned in the </w:t>
      </w:r>
      <w:r w:rsidR="00E35645" w:rsidRPr="004A1BD7">
        <w:rPr>
          <w:rFonts w:ascii="Times New Roman" w:hAnsi="Times New Roman" w:cs="Times New Roman"/>
          <w:sz w:val="24"/>
          <w:szCs w:val="24"/>
        </w:rPr>
        <w:t>abo</w:t>
      </w:r>
      <w:r w:rsidR="009E28D5">
        <w:rPr>
          <w:rFonts w:ascii="Times New Roman" w:hAnsi="Times New Roman" w:cs="Times New Roman"/>
          <w:sz w:val="24"/>
          <w:szCs w:val="24"/>
        </w:rPr>
        <w:t>v</w:t>
      </w:r>
      <w:r w:rsidR="00E35645" w:rsidRPr="004A1BD7">
        <w:rPr>
          <w:rFonts w:ascii="Times New Roman" w:hAnsi="Times New Roman" w:cs="Times New Roman"/>
          <w:sz w:val="24"/>
          <w:szCs w:val="24"/>
        </w:rPr>
        <w:t>e-cited passage</w:t>
      </w:r>
      <w:r w:rsidR="00E35645" w:rsidRPr="00E35645">
        <w:rPr>
          <w:rFonts w:ascii="Times New Roman" w:hAnsi="Times New Roman" w:cs="Times New Roman"/>
          <w:i/>
          <w:sz w:val="24"/>
          <w:szCs w:val="24"/>
        </w:rPr>
        <w:t>,</w:t>
      </w:r>
      <w:r w:rsidR="00E35645">
        <w:rPr>
          <w:rFonts w:ascii="Times New Roman" w:hAnsi="Times New Roman" w:cs="Times New Roman"/>
          <w:sz w:val="24"/>
          <w:szCs w:val="24"/>
        </w:rPr>
        <w:t xml:space="preserve"> there is a limit to the general principle. This was pointed out in </w:t>
      </w:r>
      <w:proofErr w:type="spellStart"/>
      <w:r w:rsidR="00E35645" w:rsidRPr="00E35645">
        <w:rPr>
          <w:rFonts w:ascii="Times New Roman" w:hAnsi="Times New Roman" w:cs="Times New Roman"/>
          <w:i/>
          <w:sz w:val="24"/>
          <w:szCs w:val="24"/>
        </w:rPr>
        <w:t>Saloojee</w:t>
      </w:r>
      <w:proofErr w:type="spellEnd"/>
      <w:r w:rsidR="00E35645" w:rsidRPr="00E35645">
        <w:rPr>
          <w:rFonts w:ascii="Times New Roman" w:hAnsi="Times New Roman" w:cs="Times New Roman"/>
          <w:i/>
          <w:sz w:val="24"/>
          <w:szCs w:val="24"/>
        </w:rPr>
        <w:t xml:space="preserve"> &amp; Anor N.O. </w:t>
      </w:r>
      <w:r w:rsidR="00E35645" w:rsidRPr="00E35645">
        <w:rPr>
          <w:rFonts w:ascii="Times New Roman" w:hAnsi="Times New Roman" w:cs="Times New Roman"/>
          <w:sz w:val="24"/>
          <w:szCs w:val="24"/>
        </w:rPr>
        <w:t>v</w:t>
      </w:r>
      <w:r w:rsidR="00E35645" w:rsidRPr="00E35645">
        <w:rPr>
          <w:rFonts w:ascii="Times New Roman" w:hAnsi="Times New Roman" w:cs="Times New Roman"/>
          <w:i/>
          <w:sz w:val="24"/>
          <w:szCs w:val="24"/>
        </w:rPr>
        <w:t xml:space="preserve"> Minister of Community Development</w:t>
      </w:r>
      <w:r w:rsidR="00E35645">
        <w:rPr>
          <w:rFonts w:ascii="Times New Roman" w:hAnsi="Times New Roman" w:cs="Times New Roman"/>
          <w:sz w:val="24"/>
          <w:szCs w:val="24"/>
        </w:rPr>
        <w:t xml:space="preserve"> 1965 (2) SA 135 @ 141 C – E:</w:t>
      </w:r>
    </w:p>
    <w:p w:rsidR="00E35645" w:rsidRDefault="00E35645" w:rsidP="00152268">
      <w:pPr>
        <w:spacing w:after="0" w:line="360" w:lineRule="auto"/>
        <w:jc w:val="both"/>
        <w:rPr>
          <w:rFonts w:ascii="Times New Roman" w:hAnsi="Times New Roman" w:cs="Times New Roman"/>
          <w:sz w:val="24"/>
          <w:szCs w:val="24"/>
        </w:rPr>
      </w:pPr>
    </w:p>
    <w:p w:rsidR="00E35645" w:rsidRPr="00E35645" w:rsidRDefault="00E35645" w:rsidP="00E35645">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There is a limit beyond which a litigant cannot </w:t>
      </w:r>
      <w:proofErr w:type="gramStart"/>
      <w:r>
        <w:rPr>
          <w:rFonts w:ascii="Times New Roman" w:hAnsi="Times New Roman" w:cs="Times New Roman"/>
        </w:rPr>
        <w:t>escape,</w:t>
      </w:r>
      <w:proofErr w:type="gramEnd"/>
      <w:r>
        <w:rPr>
          <w:rFonts w:ascii="Times New Roman" w:hAnsi="Times New Roman" w:cs="Times New Roman"/>
        </w:rPr>
        <w:t xml:space="preserve"> the results of his attorneys’ lack of diligence o</w:t>
      </w:r>
      <w:r w:rsidR="004A1BD7">
        <w:rPr>
          <w:rFonts w:ascii="Times New Roman" w:hAnsi="Times New Roman" w:cs="Times New Roman"/>
        </w:rPr>
        <w:t>r</w:t>
      </w:r>
      <w:r>
        <w:rPr>
          <w:rFonts w:ascii="Times New Roman" w:hAnsi="Times New Roman" w:cs="Times New Roman"/>
        </w:rPr>
        <w:t xml:space="preserve"> the insufficiency of th</w:t>
      </w:r>
      <w:r w:rsidR="004A1BD7">
        <w:rPr>
          <w:rFonts w:ascii="Times New Roman" w:hAnsi="Times New Roman" w:cs="Times New Roman"/>
        </w:rPr>
        <w:t>e explanation tendered. To hold</w:t>
      </w:r>
      <w:r>
        <w:rPr>
          <w:rFonts w:ascii="Times New Roman" w:hAnsi="Times New Roman" w:cs="Times New Roman"/>
        </w:rPr>
        <w:t xml:space="preserve"> otherwise might have a dis</w:t>
      </w:r>
      <w:r w:rsidR="004A1BD7">
        <w:rPr>
          <w:rFonts w:ascii="Times New Roman" w:hAnsi="Times New Roman" w:cs="Times New Roman"/>
        </w:rPr>
        <w:t xml:space="preserve">astrous </w:t>
      </w:r>
      <w:r>
        <w:rPr>
          <w:rFonts w:ascii="Times New Roman" w:hAnsi="Times New Roman" w:cs="Times New Roman"/>
        </w:rPr>
        <w:t>effect upon the o</w:t>
      </w:r>
      <w:r w:rsidR="004A1BD7">
        <w:rPr>
          <w:rFonts w:ascii="Times New Roman" w:hAnsi="Times New Roman" w:cs="Times New Roman"/>
        </w:rPr>
        <w:t>bservance of the Rules of this C</w:t>
      </w:r>
      <w:r>
        <w:rPr>
          <w:rFonts w:ascii="Times New Roman" w:hAnsi="Times New Roman" w:cs="Times New Roman"/>
        </w:rPr>
        <w:t>ourt ………  The attorney, after all, is the representative whom the litigant has chosen for himsel</w:t>
      </w:r>
      <w:r w:rsidR="004A1BD7">
        <w:rPr>
          <w:rFonts w:ascii="Times New Roman" w:hAnsi="Times New Roman" w:cs="Times New Roman"/>
        </w:rPr>
        <w:t>f, and there is little reason wh</w:t>
      </w:r>
      <w:r>
        <w:rPr>
          <w:rFonts w:ascii="Times New Roman" w:hAnsi="Times New Roman" w:cs="Times New Roman"/>
        </w:rPr>
        <w:t>y, in regard to condonation of a failure to comply with</w:t>
      </w:r>
      <w:r w:rsidR="004A1BD7">
        <w:rPr>
          <w:rFonts w:ascii="Times New Roman" w:hAnsi="Times New Roman" w:cs="Times New Roman"/>
        </w:rPr>
        <w:t xml:space="preserve"> the</w:t>
      </w:r>
      <w:r>
        <w:rPr>
          <w:rFonts w:ascii="Times New Roman" w:hAnsi="Times New Roman" w:cs="Times New Roman"/>
        </w:rPr>
        <w:t xml:space="preserve"> Rule</w:t>
      </w:r>
      <w:r w:rsidR="004A1BD7">
        <w:rPr>
          <w:rFonts w:ascii="Times New Roman" w:hAnsi="Times New Roman" w:cs="Times New Roman"/>
        </w:rPr>
        <w:t xml:space="preserve">s </w:t>
      </w:r>
      <w:r>
        <w:rPr>
          <w:rFonts w:ascii="Times New Roman" w:hAnsi="Times New Roman" w:cs="Times New Roman"/>
        </w:rPr>
        <w:t>o</w:t>
      </w:r>
      <w:r w:rsidR="004A1BD7">
        <w:rPr>
          <w:rFonts w:ascii="Times New Roman" w:hAnsi="Times New Roman" w:cs="Times New Roman"/>
        </w:rPr>
        <w:t>f</w:t>
      </w:r>
      <w:r>
        <w:rPr>
          <w:rFonts w:ascii="Times New Roman" w:hAnsi="Times New Roman" w:cs="Times New Roman"/>
        </w:rPr>
        <w:t xml:space="preserve"> Court, the litigant should be absolved from the normal consequences of such a relationship, no matter what the circumstances of the failure are.”</w:t>
      </w:r>
    </w:p>
    <w:p w:rsidR="00152268" w:rsidRPr="00152268" w:rsidRDefault="00E35645" w:rsidP="00152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4B00" w:rsidRDefault="00E35645"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E35645">
        <w:rPr>
          <w:rFonts w:ascii="Times New Roman" w:hAnsi="Times New Roman" w:cs="Times New Roman"/>
          <w:i/>
          <w:sz w:val="24"/>
          <w:szCs w:val="24"/>
        </w:rPr>
        <w:t>casu</w:t>
      </w:r>
      <w:proofErr w:type="spellEnd"/>
      <w:r>
        <w:rPr>
          <w:rFonts w:ascii="Times New Roman" w:hAnsi="Times New Roman" w:cs="Times New Roman"/>
          <w:sz w:val="24"/>
          <w:szCs w:val="24"/>
        </w:rPr>
        <w:t>, it has been seen that there were repeated infractions of basic procedural requirements. On 5 June 2020, a wrong form was used. On 18 November 2020</w:t>
      </w:r>
      <w:r w:rsidR="004A1BD7">
        <w:rPr>
          <w:rFonts w:ascii="Times New Roman" w:hAnsi="Times New Roman" w:cs="Times New Roman"/>
          <w:sz w:val="24"/>
          <w:szCs w:val="24"/>
        </w:rPr>
        <w:t>,</w:t>
      </w:r>
      <w:r>
        <w:rPr>
          <w:rFonts w:ascii="Times New Roman" w:hAnsi="Times New Roman" w:cs="Times New Roman"/>
          <w:sz w:val="24"/>
          <w:szCs w:val="24"/>
        </w:rPr>
        <w:t xml:space="preserve"> no supporting affidavit was filed.</w:t>
      </w:r>
    </w:p>
    <w:p w:rsidR="00E35645" w:rsidRDefault="00E35645" w:rsidP="00324B00">
      <w:pPr>
        <w:spacing w:after="0" w:line="360" w:lineRule="auto"/>
        <w:jc w:val="both"/>
        <w:rPr>
          <w:rFonts w:ascii="Times New Roman" w:hAnsi="Times New Roman" w:cs="Times New Roman"/>
          <w:sz w:val="24"/>
          <w:szCs w:val="24"/>
        </w:rPr>
      </w:pPr>
    </w:p>
    <w:p w:rsidR="00E35645" w:rsidRDefault="00E35645"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and instant application is again aff</w:t>
      </w:r>
      <w:r w:rsidR="004A1BD7">
        <w:rPr>
          <w:rFonts w:ascii="Times New Roman" w:hAnsi="Times New Roman" w:cs="Times New Roman"/>
          <w:sz w:val="24"/>
          <w:szCs w:val="24"/>
        </w:rPr>
        <w:t xml:space="preserve">licted </w:t>
      </w:r>
      <w:r>
        <w:rPr>
          <w:rFonts w:ascii="Times New Roman" w:hAnsi="Times New Roman" w:cs="Times New Roman"/>
          <w:sz w:val="24"/>
          <w:szCs w:val="24"/>
        </w:rPr>
        <w:t xml:space="preserve">with a fundamental detect. There is no supporting </w:t>
      </w:r>
      <w:r w:rsidR="00B802FE">
        <w:rPr>
          <w:rFonts w:ascii="Times New Roman" w:hAnsi="Times New Roman" w:cs="Times New Roman"/>
          <w:sz w:val="24"/>
          <w:szCs w:val="24"/>
        </w:rPr>
        <w:t>affidavit</w:t>
      </w:r>
      <w:r>
        <w:rPr>
          <w:rFonts w:ascii="Times New Roman" w:hAnsi="Times New Roman" w:cs="Times New Roman"/>
          <w:sz w:val="24"/>
          <w:szCs w:val="24"/>
        </w:rPr>
        <w:t xml:space="preserve"> from the legal practitioner who was at fault.</w:t>
      </w:r>
    </w:p>
    <w:p w:rsidR="00B802FE" w:rsidRDefault="00B802FE" w:rsidP="00324B00">
      <w:pPr>
        <w:spacing w:after="0" w:line="360" w:lineRule="auto"/>
        <w:jc w:val="both"/>
        <w:rPr>
          <w:rFonts w:ascii="Times New Roman" w:hAnsi="Times New Roman" w:cs="Times New Roman"/>
          <w:sz w:val="24"/>
          <w:szCs w:val="24"/>
        </w:rPr>
      </w:pPr>
    </w:p>
    <w:p w:rsidR="00B802FE" w:rsidRDefault="00B802FE"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beginning of the hearing,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B802FE">
        <w:rPr>
          <w:rFonts w:ascii="Times New Roman" w:hAnsi="Times New Roman" w:cs="Times New Roman"/>
          <w:i/>
          <w:sz w:val="24"/>
          <w:szCs w:val="24"/>
        </w:rPr>
        <w:t>Matsikidze</w:t>
      </w:r>
      <w:proofErr w:type="spellEnd"/>
      <w:r w:rsidRPr="00B802FE">
        <w:rPr>
          <w:rFonts w:ascii="Times New Roman" w:hAnsi="Times New Roman" w:cs="Times New Roman"/>
          <w:i/>
          <w:sz w:val="24"/>
          <w:szCs w:val="24"/>
        </w:rPr>
        <w:t>,</w:t>
      </w:r>
      <w:r>
        <w:rPr>
          <w:rFonts w:ascii="Times New Roman" w:hAnsi="Times New Roman" w:cs="Times New Roman"/>
          <w:sz w:val="24"/>
          <w:szCs w:val="24"/>
        </w:rPr>
        <w:t xml:space="preserve"> for the respondent, sought vitiation of the application by way of a point </w:t>
      </w:r>
      <w:r w:rsidRPr="00B802FE">
        <w:rPr>
          <w:rFonts w:ascii="Times New Roman" w:hAnsi="Times New Roman" w:cs="Times New Roman"/>
          <w:i/>
          <w:sz w:val="24"/>
          <w:szCs w:val="24"/>
        </w:rPr>
        <w:t xml:space="preserve">in </w:t>
      </w:r>
      <w:proofErr w:type="spellStart"/>
      <w:r w:rsidRPr="00B802FE">
        <w:rPr>
          <w:rFonts w:ascii="Times New Roman" w:hAnsi="Times New Roman" w:cs="Times New Roman"/>
          <w:i/>
          <w:sz w:val="24"/>
          <w:szCs w:val="24"/>
        </w:rPr>
        <w:t>limine</w:t>
      </w:r>
      <w:proofErr w:type="spellEnd"/>
      <w:r w:rsidRPr="00B802FE">
        <w:rPr>
          <w:rFonts w:ascii="Times New Roman" w:hAnsi="Times New Roman" w:cs="Times New Roman"/>
          <w:i/>
          <w:sz w:val="24"/>
          <w:szCs w:val="24"/>
        </w:rPr>
        <w:t>.</w:t>
      </w:r>
      <w:r>
        <w:rPr>
          <w:rFonts w:ascii="Times New Roman" w:hAnsi="Times New Roman" w:cs="Times New Roman"/>
          <w:sz w:val="24"/>
          <w:szCs w:val="24"/>
        </w:rPr>
        <w:t xml:space="preserve"> The point raised was that there was no supporting affidavit from the applicant’s legal practitioner. The court pointed out that this was more a question of the sufficiency of evidence. Whether or not there is a supporting </w:t>
      </w:r>
      <w:r w:rsidR="004A1BD7">
        <w:rPr>
          <w:rFonts w:ascii="Times New Roman" w:hAnsi="Times New Roman" w:cs="Times New Roman"/>
          <w:sz w:val="24"/>
          <w:szCs w:val="24"/>
        </w:rPr>
        <w:t>a</w:t>
      </w:r>
      <w:r>
        <w:rPr>
          <w:rFonts w:ascii="Times New Roman" w:hAnsi="Times New Roman" w:cs="Times New Roman"/>
          <w:sz w:val="24"/>
          <w:szCs w:val="24"/>
        </w:rPr>
        <w:t>ffidavit is an issue that goes to the question of whether or not the applicant has substantiated her explanation that the delay was due to her legal practitioner’s blunders.</w:t>
      </w:r>
    </w:p>
    <w:p w:rsidR="00B802FE" w:rsidRDefault="00B802FE" w:rsidP="00324B00">
      <w:pPr>
        <w:spacing w:after="0" w:line="360" w:lineRule="auto"/>
        <w:jc w:val="both"/>
        <w:rPr>
          <w:rFonts w:ascii="Times New Roman" w:hAnsi="Times New Roman" w:cs="Times New Roman"/>
          <w:sz w:val="24"/>
          <w:szCs w:val="24"/>
        </w:rPr>
      </w:pPr>
    </w:p>
    <w:p w:rsidR="00B802FE" w:rsidRDefault="00B802FE"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legal practitioners eventually agreed that the absence of a supporting affidavit goes to the substance of </w:t>
      </w:r>
      <w:r w:rsidR="004A1BD7">
        <w:rPr>
          <w:rFonts w:ascii="Times New Roman" w:hAnsi="Times New Roman" w:cs="Times New Roman"/>
          <w:sz w:val="24"/>
          <w:szCs w:val="24"/>
        </w:rPr>
        <w:t xml:space="preserve">the matter - </w:t>
      </w:r>
      <w:r>
        <w:rPr>
          <w:rFonts w:ascii="Times New Roman" w:hAnsi="Times New Roman" w:cs="Times New Roman"/>
          <w:sz w:val="24"/>
          <w:szCs w:val="24"/>
        </w:rPr>
        <w:t xml:space="preserve">whether or not evidence was placed before the </w:t>
      </w:r>
      <w:r>
        <w:rPr>
          <w:rFonts w:ascii="Times New Roman" w:hAnsi="Times New Roman" w:cs="Times New Roman"/>
          <w:sz w:val="24"/>
          <w:szCs w:val="24"/>
        </w:rPr>
        <w:lastRenderedPageBreak/>
        <w:t>court substantiating applicant’s assertion that the fault for the delay lay not in herse</w:t>
      </w:r>
      <w:r w:rsidR="004A1BD7">
        <w:rPr>
          <w:rFonts w:ascii="Times New Roman" w:hAnsi="Times New Roman" w:cs="Times New Roman"/>
          <w:sz w:val="24"/>
          <w:szCs w:val="24"/>
        </w:rPr>
        <w:t>lf, but her legal practitioner</w:t>
      </w:r>
      <w:r>
        <w:rPr>
          <w:rFonts w:ascii="Times New Roman" w:hAnsi="Times New Roman" w:cs="Times New Roman"/>
          <w:sz w:val="24"/>
          <w:szCs w:val="24"/>
        </w:rPr>
        <w:t>.</w:t>
      </w:r>
    </w:p>
    <w:p w:rsidR="00B802FE" w:rsidRDefault="00B802FE" w:rsidP="00324B00">
      <w:pPr>
        <w:spacing w:after="0" w:line="360" w:lineRule="auto"/>
        <w:jc w:val="both"/>
        <w:rPr>
          <w:rFonts w:ascii="Times New Roman" w:hAnsi="Times New Roman" w:cs="Times New Roman"/>
          <w:sz w:val="24"/>
          <w:szCs w:val="24"/>
        </w:rPr>
      </w:pPr>
    </w:p>
    <w:p w:rsidR="004C6670" w:rsidRDefault="00B802FE"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indicated, the absence of the legal practitioner’s affidavit</w:t>
      </w:r>
      <w:r w:rsidR="005F1822">
        <w:rPr>
          <w:rFonts w:ascii="Times New Roman" w:hAnsi="Times New Roman" w:cs="Times New Roman"/>
          <w:sz w:val="24"/>
          <w:szCs w:val="24"/>
        </w:rPr>
        <w:t>,</w:t>
      </w:r>
      <w:r>
        <w:rPr>
          <w:rFonts w:ascii="Times New Roman" w:hAnsi="Times New Roman" w:cs="Times New Roman"/>
          <w:sz w:val="24"/>
          <w:szCs w:val="24"/>
        </w:rPr>
        <w:t xml:space="preserve"> substantiating the averments made by the applicant</w:t>
      </w:r>
      <w:r w:rsidR="005F1822">
        <w:rPr>
          <w:rFonts w:ascii="Times New Roman" w:hAnsi="Times New Roman" w:cs="Times New Roman"/>
          <w:sz w:val="24"/>
          <w:szCs w:val="24"/>
        </w:rPr>
        <w:t>,</w:t>
      </w:r>
      <w:r>
        <w:rPr>
          <w:rFonts w:ascii="Times New Roman" w:hAnsi="Times New Roman" w:cs="Times New Roman"/>
          <w:sz w:val="24"/>
          <w:szCs w:val="24"/>
        </w:rPr>
        <w:t xml:space="preserve"> constitutes a material gap in the evidence the court relies on in determining whether good cause has been shown for the granting of condonation. The need for such an affidavit was underscored in the case of </w:t>
      </w:r>
      <w:r w:rsidR="004C6670">
        <w:rPr>
          <w:rFonts w:ascii="Times New Roman" w:hAnsi="Times New Roman" w:cs="Times New Roman"/>
          <w:i/>
          <w:sz w:val="24"/>
          <w:szCs w:val="24"/>
        </w:rPr>
        <w:t xml:space="preserve">Diocesan Trustees for the </w:t>
      </w:r>
      <w:r w:rsidRPr="00B802FE">
        <w:rPr>
          <w:rFonts w:ascii="Times New Roman" w:hAnsi="Times New Roman" w:cs="Times New Roman"/>
          <w:i/>
          <w:sz w:val="24"/>
          <w:szCs w:val="24"/>
        </w:rPr>
        <w:t xml:space="preserve">Diocese of Harare </w:t>
      </w:r>
      <w:r w:rsidRPr="00B802FE">
        <w:rPr>
          <w:rFonts w:ascii="Times New Roman" w:hAnsi="Times New Roman" w:cs="Times New Roman"/>
          <w:sz w:val="24"/>
          <w:szCs w:val="24"/>
        </w:rPr>
        <w:t>v</w:t>
      </w:r>
      <w:r w:rsidRPr="00B802FE">
        <w:rPr>
          <w:rFonts w:ascii="Times New Roman" w:hAnsi="Times New Roman" w:cs="Times New Roman"/>
          <w:i/>
          <w:sz w:val="24"/>
          <w:szCs w:val="24"/>
        </w:rPr>
        <w:t xml:space="preserve"> The Church of the Province of Central Africa </w:t>
      </w:r>
      <w:r>
        <w:rPr>
          <w:rFonts w:ascii="Times New Roman" w:hAnsi="Times New Roman" w:cs="Times New Roman"/>
          <w:sz w:val="24"/>
          <w:szCs w:val="24"/>
        </w:rPr>
        <w:t>SC 9/10.</w:t>
      </w:r>
      <w:r w:rsidR="004C6670">
        <w:rPr>
          <w:rFonts w:ascii="Times New Roman" w:hAnsi="Times New Roman" w:cs="Times New Roman"/>
          <w:sz w:val="24"/>
          <w:szCs w:val="24"/>
        </w:rPr>
        <w:t xml:space="preserve"> </w:t>
      </w:r>
      <w:proofErr w:type="spellStart"/>
      <w:r w:rsidR="004C6670" w:rsidRPr="004C6670">
        <w:rPr>
          <w:rFonts w:ascii="Times New Roman" w:hAnsi="Times New Roman" w:cs="Times New Roman"/>
          <w:smallCaps/>
          <w:sz w:val="24"/>
          <w:szCs w:val="24"/>
        </w:rPr>
        <w:t>Malaba</w:t>
      </w:r>
      <w:proofErr w:type="spellEnd"/>
      <w:r w:rsidR="004C6670" w:rsidRPr="004C6670">
        <w:rPr>
          <w:rFonts w:ascii="Times New Roman" w:hAnsi="Times New Roman" w:cs="Times New Roman"/>
          <w:smallCaps/>
          <w:sz w:val="24"/>
          <w:szCs w:val="24"/>
        </w:rPr>
        <w:t xml:space="preserve"> DCJ</w:t>
      </w:r>
      <w:r w:rsidR="004C6670">
        <w:rPr>
          <w:rFonts w:ascii="Times New Roman" w:hAnsi="Times New Roman" w:cs="Times New Roman"/>
          <w:sz w:val="24"/>
          <w:szCs w:val="24"/>
        </w:rPr>
        <w:t xml:space="preserve"> (as he then was) stated, at </w:t>
      </w:r>
    </w:p>
    <w:p w:rsidR="00B802FE" w:rsidRDefault="004C6670" w:rsidP="00324B0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page</w:t>
      </w:r>
      <w:proofErr w:type="gramEnd"/>
      <w:r>
        <w:rPr>
          <w:rFonts w:ascii="Times New Roman" w:hAnsi="Times New Roman" w:cs="Times New Roman"/>
          <w:sz w:val="24"/>
          <w:szCs w:val="24"/>
        </w:rPr>
        <w:t xml:space="preserve"> 14 of the cyclostyled judgment:</w:t>
      </w:r>
    </w:p>
    <w:p w:rsidR="00B802FE" w:rsidRDefault="00B802FE" w:rsidP="00324B00">
      <w:pPr>
        <w:spacing w:after="0" w:line="360" w:lineRule="auto"/>
        <w:jc w:val="both"/>
        <w:rPr>
          <w:rFonts w:ascii="Times New Roman" w:hAnsi="Times New Roman" w:cs="Times New Roman"/>
          <w:sz w:val="24"/>
          <w:szCs w:val="24"/>
        </w:rPr>
      </w:pPr>
    </w:p>
    <w:p w:rsidR="007615CB" w:rsidRPr="00A570DF" w:rsidRDefault="00B802FE" w:rsidP="00A570DF">
      <w:pPr>
        <w:spacing w:after="0" w:line="360" w:lineRule="auto"/>
        <w:ind w:left="720"/>
        <w:jc w:val="both"/>
        <w:rPr>
          <w:rFonts w:ascii="Times New Roman" w:hAnsi="Times New Roman" w:cs="Times New Roman"/>
        </w:rPr>
      </w:pPr>
      <w:r w:rsidRPr="00A570DF">
        <w:rPr>
          <w:rFonts w:ascii="Times New Roman" w:hAnsi="Times New Roman" w:cs="Times New Roman"/>
        </w:rPr>
        <w:t>“</w:t>
      </w:r>
      <w:r w:rsidR="009E28D5">
        <w:rPr>
          <w:rFonts w:ascii="Times New Roman" w:hAnsi="Times New Roman" w:cs="Times New Roman"/>
        </w:rPr>
        <w:t xml:space="preserve">… </w:t>
      </w:r>
      <w:r w:rsidR="00A570DF" w:rsidRPr="00A570DF">
        <w:rPr>
          <w:rFonts w:ascii="Times New Roman" w:hAnsi="Times New Roman" w:cs="Times New Roman"/>
        </w:rPr>
        <w:t>It would have been after the responsible legal practitioner had</w:t>
      </w:r>
      <w:r w:rsidR="00A570DF">
        <w:rPr>
          <w:rFonts w:ascii="Times New Roman" w:hAnsi="Times New Roman" w:cs="Times New Roman"/>
        </w:rPr>
        <w:t xml:space="preserve"> </w:t>
      </w:r>
      <w:r w:rsidR="00A570DF" w:rsidRPr="00A570DF">
        <w:rPr>
          <w:rFonts w:ascii="Times New Roman" w:hAnsi="Times New Roman" w:cs="Times New Roman"/>
        </w:rPr>
        <w:t>filed an affidavit admitting fault and explaining in some detail what happened, that the Judge would be in a position to decide whether the respondent should not be visited with the sins of its legal practitioners. Where no factual basis for making such a distinction of culpability has been provided, the Judge would have no right to draw it. It must follow that without an affidavit from the person responsible for the “oversight” admitting fault and explaining the circumstances under which he or she overlooked the Rules, one is at a loss for the reason why it was found necessary to state in the opposing affidavit that an “overnight” on the part of the respondent was the cause of non-compliance. The procedure adopted by the respondent is another example of lack of care to ensure</w:t>
      </w:r>
      <w:r w:rsidR="00A570DF">
        <w:rPr>
          <w:rFonts w:ascii="Times New Roman" w:hAnsi="Times New Roman" w:cs="Times New Roman"/>
        </w:rPr>
        <w:t xml:space="preserve"> </w:t>
      </w:r>
      <w:r w:rsidR="00A570DF" w:rsidRPr="00A570DF">
        <w:rPr>
          <w:rFonts w:ascii="Times New Roman" w:hAnsi="Times New Roman" w:cs="Times New Roman"/>
        </w:rPr>
        <w:t>that Rules of court were complied with”</w:t>
      </w:r>
    </w:p>
    <w:p w:rsidR="00A570DF" w:rsidRDefault="00A570DF" w:rsidP="00324B00">
      <w:pPr>
        <w:spacing w:after="0" w:line="360" w:lineRule="auto"/>
        <w:jc w:val="both"/>
        <w:rPr>
          <w:rFonts w:ascii="Times New Roman" w:hAnsi="Times New Roman" w:cs="Times New Roman"/>
          <w:sz w:val="24"/>
          <w:szCs w:val="24"/>
        </w:rPr>
      </w:pPr>
    </w:p>
    <w:p w:rsidR="0010071E" w:rsidRDefault="00811E84"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071E">
        <w:rPr>
          <w:rFonts w:ascii="Times New Roman" w:hAnsi="Times New Roman" w:cs="Times New Roman"/>
          <w:sz w:val="24"/>
          <w:szCs w:val="24"/>
        </w:rPr>
        <w:t xml:space="preserve">In the instant case, contrary to this clear legal </w:t>
      </w:r>
      <w:r w:rsidR="009E001A">
        <w:rPr>
          <w:rFonts w:ascii="Times New Roman" w:hAnsi="Times New Roman" w:cs="Times New Roman"/>
          <w:sz w:val="24"/>
          <w:szCs w:val="24"/>
        </w:rPr>
        <w:t>position</w:t>
      </w:r>
      <w:r w:rsidR="0010071E">
        <w:rPr>
          <w:rFonts w:ascii="Times New Roman" w:hAnsi="Times New Roman" w:cs="Times New Roman"/>
          <w:sz w:val="24"/>
          <w:szCs w:val="24"/>
        </w:rPr>
        <w:t>, the app</w:t>
      </w:r>
      <w:r w:rsidR="0032628F">
        <w:rPr>
          <w:rFonts w:ascii="Times New Roman" w:hAnsi="Times New Roman" w:cs="Times New Roman"/>
          <w:sz w:val="24"/>
          <w:szCs w:val="24"/>
        </w:rPr>
        <w:t>licant</w:t>
      </w:r>
      <w:r w:rsidR="0010071E">
        <w:rPr>
          <w:rFonts w:ascii="Times New Roman" w:hAnsi="Times New Roman" w:cs="Times New Roman"/>
          <w:sz w:val="24"/>
          <w:szCs w:val="24"/>
        </w:rPr>
        <w:t xml:space="preserve"> insisted that a supporting affidavit is not necessary. In this regard, </w:t>
      </w:r>
      <w:proofErr w:type="spellStart"/>
      <w:r w:rsidR="0010071E">
        <w:rPr>
          <w:rFonts w:ascii="Times New Roman" w:hAnsi="Times New Roman" w:cs="Times New Roman"/>
          <w:sz w:val="24"/>
          <w:szCs w:val="24"/>
        </w:rPr>
        <w:t>Mr</w:t>
      </w:r>
      <w:proofErr w:type="spellEnd"/>
      <w:r w:rsidR="0010071E">
        <w:rPr>
          <w:rFonts w:ascii="Times New Roman" w:hAnsi="Times New Roman" w:cs="Times New Roman"/>
          <w:sz w:val="24"/>
          <w:szCs w:val="24"/>
        </w:rPr>
        <w:t xml:space="preserve"> </w:t>
      </w:r>
      <w:proofErr w:type="spellStart"/>
      <w:r w:rsidR="003F7C08">
        <w:rPr>
          <w:rFonts w:ascii="Times New Roman" w:hAnsi="Times New Roman" w:cs="Times New Roman"/>
          <w:i/>
          <w:sz w:val="24"/>
          <w:szCs w:val="24"/>
        </w:rPr>
        <w:t>Kond</w:t>
      </w:r>
      <w:r w:rsidR="0010071E" w:rsidRPr="009E001A">
        <w:rPr>
          <w:rFonts w:ascii="Times New Roman" w:hAnsi="Times New Roman" w:cs="Times New Roman"/>
          <w:i/>
          <w:sz w:val="24"/>
          <w:szCs w:val="24"/>
        </w:rPr>
        <w:t>ongwe</w:t>
      </w:r>
      <w:proofErr w:type="spellEnd"/>
      <w:r w:rsidR="0010071E" w:rsidRPr="009E001A">
        <w:rPr>
          <w:rFonts w:ascii="Times New Roman" w:hAnsi="Times New Roman" w:cs="Times New Roman"/>
          <w:i/>
          <w:sz w:val="24"/>
          <w:szCs w:val="24"/>
        </w:rPr>
        <w:t>,</w:t>
      </w:r>
      <w:r w:rsidR="009E001A">
        <w:rPr>
          <w:rFonts w:ascii="Times New Roman" w:hAnsi="Times New Roman" w:cs="Times New Roman"/>
          <w:sz w:val="24"/>
          <w:szCs w:val="24"/>
        </w:rPr>
        <w:t xml:space="preserve"> </w:t>
      </w:r>
      <w:r w:rsidR="0010071E">
        <w:rPr>
          <w:rFonts w:ascii="Times New Roman" w:hAnsi="Times New Roman" w:cs="Times New Roman"/>
          <w:sz w:val="24"/>
          <w:szCs w:val="24"/>
        </w:rPr>
        <w:t>on behalf of the app</w:t>
      </w:r>
      <w:r w:rsidR="0032628F">
        <w:rPr>
          <w:rFonts w:ascii="Times New Roman" w:hAnsi="Times New Roman" w:cs="Times New Roman"/>
          <w:sz w:val="24"/>
          <w:szCs w:val="24"/>
        </w:rPr>
        <w:t xml:space="preserve">licant, </w:t>
      </w:r>
      <w:r w:rsidR="0010071E">
        <w:rPr>
          <w:rFonts w:ascii="Times New Roman" w:hAnsi="Times New Roman" w:cs="Times New Roman"/>
          <w:sz w:val="24"/>
          <w:szCs w:val="24"/>
        </w:rPr>
        <w:t xml:space="preserve">told the court that the </w:t>
      </w:r>
      <w:r w:rsidR="009E001A">
        <w:rPr>
          <w:rFonts w:ascii="Times New Roman" w:hAnsi="Times New Roman" w:cs="Times New Roman"/>
          <w:sz w:val="24"/>
          <w:szCs w:val="24"/>
        </w:rPr>
        <w:t>explanation</w:t>
      </w:r>
      <w:r w:rsidR="0010071E">
        <w:rPr>
          <w:rFonts w:ascii="Times New Roman" w:hAnsi="Times New Roman" w:cs="Times New Roman"/>
          <w:sz w:val="24"/>
          <w:szCs w:val="24"/>
        </w:rPr>
        <w:t xml:space="preserve"> by the app</w:t>
      </w:r>
      <w:r w:rsidR="0032628F">
        <w:rPr>
          <w:rFonts w:ascii="Times New Roman" w:hAnsi="Times New Roman" w:cs="Times New Roman"/>
          <w:sz w:val="24"/>
          <w:szCs w:val="24"/>
        </w:rPr>
        <w:t>licant</w:t>
      </w:r>
      <w:r w:rsidR="0010071E">
        <w:rPr>
          <w:rFonts w:ascii="Times New Roman" w:hAnsi="Times New Roman" w:cs="Times New Roman"/>
          <w:sz w:val="24"/>
          <w:szCs w:val="24"/>
        </w:rPr>
        <w:t xml:space="preserve"> in her </w:t>
      </w:r>
      <w:r w:rsidR="009E001A">
        <w:rPr>
          <w:rFonts w:ascii="Times New Roman" w:hAnsi="Times New Roman" w:cs="Times New Roman"/>
          <w:sz w:val="24"/>
          <w:szCs w:val="24"/>
        </w:rPr>
        <w:t>f</w:t>
      </w:r>
      <w:r w:rsidR="0010071E">
        <w:rPr>
          <w:rFonts w:ascii="Times New Roman" w:hAnsi="Times New Roman" w:cs="Times New Roman"/>
          <w:sz w:val="24"/>
          <w:szCs w:val="24"/>
        </w:rPr>
        <w:t xml:space="preserve">ounding affidavit was sufficient. </w:t>
      </w:r>
    </w:p>
    <w:p w:rsidR="0032628F" w:rsidRDefault="0032628F" w:rsidP="00324B00">
      <w:pPr>
        <w:spacing w:after="0" w:line="360" w:lineRule="auto"/>
        <w:jc w:val="both"/>
        <w:rPr>
          <w:rFonts w:ascii="Times New Roman" w:hAnsi="Times New Roman" w:cs="Times New Roman"/>
          <w:sz w:val="24"/>
          <w:szCs w:val="24"/>
        </w:rPr>
      </w:pPr>
    </w:p>
    <w:p w:rsidR="0010071E" w:rsidRDefault="0010071E"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contention </w:t>
      </w:r>
      <w:r w:rsidR="00125A9D">
        <w:rPr>
          <w:rFonts w:ascii="Times New Roman" w:hAnsi="Times New Roman" w:cs="Times New Roman"/>
          <w:sz w:val="24"/>
          <w:szCs w:val="24"/>
        </w:rPr>
        <w:t>reflects</w:t>
      </w:r>
      <w:r>
        <w:rPr>
          <w:rFonts w:ascii="Times New Roman" w:hAnsi="Times New Roman" w:cs="Times New Roman"/>
          <w:sz w:val="24"/>
          <w:szCs w:val="24"/>
        </w:rPr>
        <w:t xml:space="preserve"> a serious oversight</w:t>
      </w:r>
      <w:r w:rsidR="00125A9D">
        <w:rPr>
          <w:rFonts w:ascii="Times New Roman" w:hAnsi="Times New Roman" w:cs="Times New Roman"/>
          <w:sz w:val="24"/>
          <w:szCs w:val="24"/>
        </w:rPr>
        <w:t>.</w:t>
      </w:r>
      <w:r>
        <w:rPr>
          <w:rFonts w:ascii="Times New Roman" w:hAnsi="Times New Roman" w:cs="Times New Roman"/>
          <w:sz w:val="24"/>
          <w:szCs w:val="24"/>
        </w:rPr>
        <w:t xml:space="preserve"> </w:t>
      </w:r>
      <w:r w:rsidR="00125A9D">
        <w:rPr>
          <w:rFonts w:ascii="Times New Roman" w:hAnsi="Times New Roman" w:cs="Times New Roman"/>
          <w:sz w:val="24"/>
          <w:szCs w:val="24"/>
        </w:rPr>
        <w:t>The foundi</w:t>
      </w:r>
      <w:r w:rsidR="00546CFE">
        <w:rPr>
          <w:rFonts w:ascii="Times New Roman" w:hAnsi="Times New Roman" w:cs="Times New Roman"/>
          <w:sz w:val="24"/>
          <w:szCs w:val="24"/>
        </w:rPr>
        <w:t>ng affidavit makes no reference</w:t>
      </w:r>
      <w:r w:rsidR="00125A9D">
        <w:rPr>
          <w:rFonts w:ascii="Times New Roman" w:hAnsi="Times New Roman" w:cs="Times New Roman"/>
          <w:sz w:val="24"/>
          <w:szCs w:val="24"/>
        </w:rPr>
        <w:t xml:space="preserve"> to a supporting affidavit from the legal practitioner, and </w:t>
      </w:r>
      <w:r>
        <w:rPr>
          <w:rFonts w:ascii="Times New Roman" w:hAnsi="Times New Roman" w:cs="Times New Roman"/>
          <w:sz w:val="24"/>
          <w:szCs w:val="24"/>
        </w:rPr>
        <w:t xml:space="preserve">does not explain why there is no </w:t>
      </w:r>
      <w:r w:rsidR="00125A9D">
        <w:rPr>
          <w:rFonts w:ascii="Times New Roman" w:hAnsi="Times New Roman" w:cs="Times New Roman"/>
          <w:sz w:val="24"/>
          <w:szCs w:val="24"/>
        </w:rPr>
        <w:t xml:space="preserve">such </w:t>
      </w:r>
      <w:r>
        <w:rPr>
          <w:rFonts w:ascii="Times New Roman" w:hAnsi="Times New Roman" w:cs="Times New Roman"/>
          <w:sz w:val="24"/>
          <w:szCs w:val="24"/>
        </w:rPr>
        <w:t xml:space="preserve">supporting affidavit.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3F7C08">
        <w:rPr>
          <w:rFonts w:ascii="Times New Roman" w:hAnsi="Times New Roman" w:cs="Times New Roman"/>
          <w:i/>
          <w:sz w:val="24"/>
          <w:szCs w:val="24"/>
        </w:rPr>
        <w:t>Kondo</w:t>
      </w:r>
      <w:r w:rsidRPr="009E001A">
        <w:rPr>
          <w:rFonts w:ascii="Times New Roman" w:hAnsi="Times New Roman" w:cs="Times New Roman"/>
          <w:i/>
          <w:sz w:val="24"/>
          <w:szCs w:val="24"/>
        </w:rPr>
        <w:t>ngwe</w:t>
      </w:r>
      <w:proofErr w:type="spellEnd"/>
      <w:r w:rsidRPr="009E001A">
        <w:rPr>
          <w:rFonts w:ascii="Times New Roman" w:hAnsi="Times New Roman" w:cs="Times New Roman"/>
          <w:i/>
          <w:sz w:val="24"/>
          <w:szCs w:val="24"/>
        </w:rPr>
        <w:t xml:space="preserve"> </w:t>
      </w:r>
      <w:r>
        <w:rPr>
          <w:rFonts w:ascii="Times New Roman" w:hAnsi="Times New Roman" w:cs="Times New Roman"/>
          <w:sz w:val="24"/>
          <w:szCs w:val="24"/>
        </w:rPr>
        <w:t xml:space="preserve">seemed to suggest that he could, from the bar, </w:t>
      </w:r>
      <w:r w:rsidR="00125A9D">
        <w:rPr>
          <w:rFonts w:ascii="Times New Roman" w:hAnsi="Times New Roman" w:cs="Times New Roman"/>
          <w:sz w:val="24"/>
          <w:szCs w:val="24"/>
        </w:rPr>
        <w:t>give that</w:t>
      </w:r>
      <w:r w:rsidR="009E001A">
        <w:rPr>
          <w:rFonts w:ascii="Times New Roman" w:hAnsi="Times New Roman" w:cs="Times New Roman"/>
          <w:sz w:val="24"/>
          <w:szCs w:val="24"/>
        </w:rPr>
        <w:t xml:space="preserve"> </w:t>
      </w:r>
      <w:r w:rsidR="00217790">
        <w:rPr>
          <w:rFonts w:ascii="Times New Roman" w:hAnsi="Times New Roman" w:cs="Times New Roman"/>
          <w:sz w:val="24"/>
          <w:szCs w:val="24"/>
        </w:rPr>
        <w:t>evidence</w:t>
      </w:r>
      <w:r w:rsidR="00546CFE">
        <w:rPr>
          <w:rFonts w:ascii="Times New Roman" w:hAnsi="Times New Roman" w:cs="Times New Roman"/>
          <w:sz w:val="24"/>
          <w:szCs w:val="24"/>
        </w:rPr>
        <w:t>, which</w:t>
      </w:r>
      <w:r w:rsidR="00217790">
        <w:rPr>
          <w:rFonts w:ascii="Times New Roman" w:hAnsi="Times New Roman" w:cs="Times New Roman"/>
          <w:sz w:val="24"/>
          <w:szCs w:val="24"/>
        </w:rPr>
        <w:t xml:space="preserve"> </w:t>
      </w:r>
      <w:r w:rsidR="009E001A">
        <w:rPr>
          <w:rFonts w:ascii="Times New Roman" w:hAnsi="Times New Roman" w:cs="Times New Roman"/>
          <w:sz w:val="24"/>
          <w:szCs w:val="24"/>
        </w:rPr>
        <w:t xml:space="preserve">should have been contained in the supporting affidavit. He said he could do so </w:t>
      </w:r>
      <w:r w:rsidR="009E001A">
        <w:rPr>
          <w:rFonts w:ascii="Times New Roman" w:hAnsi="Times New Roman" w:cs="Times New Roman"/>
          <w:sz w:val="24"/>
          <w:szCs w:val="24"/>
        </w:rPr>
        <w:lastRenderedPageBreak/>
        <w:t xml:space="preserve">on the strength of Rule 12 </w:t>
      </w:r>
      <w:r w:rsidR="00217790">
        <w:rPr>
          <w:rFonts w:ascii="Times New Roman" w:hAnsi="Times New Roman" w:cs="Times New Roman"/>
          <w:sz w:val="24"/>
          <w:szCs w:val="24"/>
        </w:rPr>
        <w:t>(1) of the Labour Court Rules on</w:t>
      </w:r>
      <w:r w:rsidR="009E001A">
        <w:rPr>
          <w:rFonts w:ascii="Times New Roman" w:hAnsi="Times New Roman" w:cs="Times New Roman"/>
          <w:sz w:val="24"/>
          <w:szCs w:val="24"/>
        </w:rPr>
        <w:t xml:space="preserve"> informality of proceedings. He told the court during oral submissions;</w:t>
      </w:r>
    </w:p>
    <w:p w:rsidR="009E001A" w:rsidRDefault="009E001A" w:rsidP="00324B00">
      <w:pPr>
        <w:spacing w:after="0" w:line="360" w:lineRule="auto"/>
        <w:jc w:val="both"/>
        <w:rPr>
          <w:rFonts w:ascii="Times New Roman" w:hAnsi="Times New Roman" w:cs="Times New Roman"/>
          <w:sz w:val="24"/>
          <w:szCs w:val="24"/>
        </w:rPr>
      </w:pPr>
    </w:p>
    <w:p w:rsidR="009E001A" w:rsidRPr="009E001A" w:rsidRDefault="009E001A" w:rsidP="009E001A">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sidRPr="009E001A">
        <w:rPr>
          <w:rFonts w:ascii="Times New Roman" w:hAnsi="Times New Roman" w:cs="Times New Roman"/>
        </w:rPr>
        <w:t>There is no need for a sworn affidavit. Even from the bar you can make such an admission. I do so</w:t>
      </w:r>
      <w:r w:rsidR="00217790">
        <w:rPr>
          <w:rFonts w:ascii="Times New Roman" w:hAnsi="Times New Roman" w:cs="Times New Roman"/>
        </w:rPr>
        <w:t xml:space="preserve"> </w:t>
      </w:r>
      <w:r w:rsidRPr="009E001A">
        <w:rPr>
          <w:rFonts w:ascii="Times New Roman" w:hAnsi="Times New Roman" w:cs="Times New Roman"/>
        </w:rPr>
        <w:t>on the strength of Rule 12 of the Court’s Rules. Evidence may still be admissible in terms of this rule. In so far as evidence by the Legal Practitioner in question, if required to bu</w:t>
      </w:r>
      <w:r w:rsidR="00217790">
        <w:rPr>
          <w:rFonts w:ascii="Times New Roman" w:hAnsi="Times New Roman" w:cs="Times New Roman"/>
        </w:rPr>
        <w:t>ttress the case,</w:t>
      </w:r>
      <w:r w:rsidRPr="009E001A">
        <w:rPr>
          <w:rFonts w:ascii="Times New Roman" w:hAnsi="Times New Roman" w:cs="Times New Roman"/>
        </w:rPr>
        <w:t xml:space="preserve"> it is so tendered.”</w:t>
      </w:r>
    </w:p>
    <w:p w:rsidR="00324B00" w:rsidRDefault="00324B00" w:rsidP="00324B00">
      <w:pPr>
        <w:spacing w:after="0" w:line="360" w:lineRule="auto"/>
        <w:jc w:val="both"/>
        <w:rPr>
          <w:rFonts w:ascii="Times New Roman" w:hAnsi="Times New Roman" w:cs="Times New Roman"/>
          <w:sz w:val="24"/>
          <w:szCs w:val="24"/>
        </w:rPr>
      </w:pPr>
    </w:p>
    <w:p w:rsidR="009E001A" w:rsidRDefault="009E001A"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face of authority to the contrary, the legal practitioner is telling the court that his submissions from the bar should be accepted as evidence. That reflects a cavalier attitude in the handling of his client’s case.</w:t>
      </w:r>
    </w:p>
    <w:p w:rsidR="009E001A" w:rsidRDefault="009E001A" w:rsidP="00324B00">
      <w:pPr>
        <w:spacing w:after="0" w:line="360" w:lineRule="auto"/>
        <w:jc w:val="both"/>
        <w:rPr>
          <w:rFonts w:ascii="Times New Roman" w:hAnsi="Times New Roman" w:cs="Times New Roman"/>
          <w:sz w:val="24"/>
          <w:szCs w:val="24"/>
        </w:rPr>
      </w:pPr>
    </w:p>
    <w:p w:rsidR="009E001A" w:rsidRDefault="009E001A"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think informality has to be stretched to that extent. It would </w:t>
      </w:r>
      <w:r w:rsidR="00936F60">
        <w:rPr>
          <w:rFonts w:ascii="Times New Roman" w:hAnsi="Times New Roman" w:cs="Times New Roman"/>
          <w:sz w:val="24"/>
          <w:szCs w:val="24"/>
        </w:rPr>
        <w:t>lead</w:t>
      </w:r>
      <w:r>
        <w:rPr>
          <w:rFonts w:ascii="Times New Roman" w:hAnsi="Times New Roman" w:cs="Times New Roman"/>
          <w:sz w:val="24"/>
          <w:szCs w:val="24"/>
        </w:rPr>
        <w:t xml:space="preserve"> to an untidy hearing, w</w:t>
      </w:r>
      <w:r w:rsidR="00217790">
        <w:rPr>
          <w:rFonts w:ascii="Times New Roman" w:hAnsi="Times New Roman" w:cs="Times New Roman"/>
          <w:sz w:val="24"/>
          <w:szCs w:val="24"/>
        </w:rPr>
        <w:t>h</w:t>
      </w:r>
      <w:r>
        <w:rPr>
          <w:rFonts w:ascii="Times New Roman" w:hAnsi="Times New Roman" w:cs="Times New Roman"/>
          <w:sz w:val="24"/>
          <w:szCs w:val="24"/>
        </w:rPr>
        <w:t xml:space="preserve">ere evidence is led from the bar by the legal practitioner presenting the case on behalf of his client. </w:t>
      </w:r>
      <w:r w:rsidR="00546CFE">
        <w:rPr>
          <w:rFonts w:ascii="Times New Roman" w:hAnsi="Times New Roman" w:cs="Times New Roman"/>
          <w:sz w:val="24"/>
          <w:szCs w:val="24"/>
        </w:rPr>
        <w:t xml:space="preserve">I believe that is why, in the </w:t>
      </w:r>
      <w:r w:rsidR="00546CFE" w:rsidRPr="00D874B1">
        <w:rPr>
          <w:rFonts w:ascii="Times New Roman" w:hAnsi="Times New Roman" w:cs="Times New Roman"/>
          <w:i/>
          <w:sz w:val="24"/>
          <w:szCs w:val="24"/>
        </w:rPr>
        <w:t>Diocesan Trustees</w:t>
      </w:r>
      <w:r w:rsidR="00546CFE">
        <w:rPr>
          <w:rFonts w:ascii="Times New Roman" w:hAnsi="Times New Roman" w:cs="Times New Roman"/>
          <w:sz w:val="24"/>
          <w:szCs w:val="24"/>
        </w:rPr>
        <w:t xml:space="preserve"> case, </w:t>
      </w:r>
      <w:r w:rsidR="00546CFE" w:rsidRPr="00546CFE">
        <w:rPr>
          <w:rFonts w:ascii="Times New Roman" w:hAnsi="Times New Roman" w:cs="Times New Roman"/>
          <w:i/>
          <w:sz w:val="24"/>
          <w:szCs w:val="24"/>
        </w:rPr>
        <w:t>supra,</w:t>
      </w:r>
      <w:r w:rsidR="00546CFE">
        <w:rPr>
          <w:rFonts w:ascii="Times New Roman" w:hAnsi="Times New Roman" w:cs="Times New Roman"/>
          <w:sz w:val="24"/>
          <w:szCs w:val="24"/>
        </w:rPr>
        <w:t xml:space="preserve"> the Supreme Court emphasize</w:t>
      </w:r>
      <w:r w:rsidR="00D874B1">
        <w:rPr>
          <w:rFonts w:ascii="Times New Roman" w:hAnsi="Times New Roman" w:cs="Times New Roman"/>
          <w:sz w:val="24"/>
          <w:szCs w:val="24"/>
        </w:rPr>
        <w:t>d</w:t>
      </w:r>
      <w:r w:rsidR="00546CFE">
        <w:rPr>
          <w:rFonts w:ascii="Times New Roman" w:hAnsi="Times New Roman" w:cs="Times New Roman"/>
          <w:sz w:val="24"/>
          <w:szCs w:val="24"/>
        </w:rPr>
        <w:t xml:space="preserve"> that there must be an affidavit from the person responsible for the </w:t>
      </w:r>
      <w:r w:rsidR="00D874B1">
        <w:rPr>
          <w:rFonts w:ascii="Times New Roman" w:hAnsi="Times New Roman" w:cs="Times New Roman"/>
          <w:sz w:val="24"/>
          <w:szCs w:val="24"/>
        </w:rPr>
        <w:t>“</w:t>
      </w:r>
      <w:r w:rsidR="00546CFE">
        <w:rPr>
          <w:rFonts w:ascii="Times New Roman" w:hAnsi="Times New Roman" w:cs="Times New Roman"/>
          <w:sz w:val="24"/>
          <w:szCs w:val="24"/>
        </w:rPr>
        <w:t>oversight</w:t>
      </w:r>
      <w:r w:rsidR="00D874B1">
        <w:rPr>
          <w:rFonts w:ascii="Times New Roman" w:hAnsi="Times New Roman" w:cs="Times New Roman"/>
          <w:sz w:val="24"/>
          <w:szCs w:val="24"/>
        </w:rPr>
        <w:t>”</w:t>
      </w:r>
      <w:r w:rsidR="00546CFE">
        <w:rPr>
          <w:rFonts w:ascii="Times New Roman" w:hAnsi="Times New Roman" w:cs="Times New Roman"/>
          <w:sz w:val="24"/>
          <w:szCs w:val="24"/>
        </w:rPr>
        <w:t xml:space="preserve"> in question.</w:t>
      </w:r>
    </w:p>
    <w:p w:rsidR="009E001A" w:rsidRDefault="009E001A" w:rsidP="00324B00">
      <w:pPr>
        <w:spacing w:after="0" w:line="360" w:lineRule="auto"/>
        <w:jc w:val="both"/>
        <w:rPr>
          <w:rFonts w:ascii="Times New Roman" w:hAnsi="Times New Roman" w:cs="Times New Roman"/>
          <w:sz w:val="24"/>
          <w:szCs w:val="24"/>
        </w:rPr>
      </w:pPr>
    </w:p>
    <w:p w:rsidR="00936F60" w:rsidRDefault="009E001A" w:rsidP="00217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court’s view that this is a case where the applicant cannot escape the consequences of her legal </w:t>
      </w:r>
      <w:r w:rsidR="002C37C8">
        <w:rPr>
          <w:rFonts w:ascii="Times New Roman" w:hAnsi="Times New Roman" w:cs="Times New Roman"/>
          <w:sz w:val="24"/>
          <w:szCs w:val="24"/>
        </w:rPr>
        <w:t>practitioner’s</w:t>
      </w:r>
      <w:r>
        <w:rPr>
          <w:rFonts w:ascii="Times New Roman" w:hAnsi="Times New Roman" w:cs="Times New Roman"/>
          <w:sz w:val="24"/>
          <w:szCs w:val="24"/>
        </w:rPr>
        <w:t xml:space="preserve"> negligence. What compounds the </w:t>
      </w:r>
      <w:r w:rsidR="002C37C8">
        <w:rPr>
          <w:rFonts w:ascii="Times New Roman" w:hAnsi="Times New Roman" w:cs="Times New Roman"/>
          <w:sz w:val="24"/>
          <w:szCs w:val="24"/>
        </w:rPr>
        <w:t>applicant’s</w:t>
      </w:r>
      <w:r>
        <w:rPr>
          <w:rFonts w:ascii="Times New Roman" w:hAnsi="Times New Roman" w:cs="Times New Roman"/>
          <w:sz w:val="24"/>
          <w:szCs w:val="24"/>
        </w:rPr>
        <w:t xml:space="preserve"> predicament is that the legal practitioner has a tendency</w:t>
      </w:r>
      <w:r w:rsidR="00936F60">
        <w:rPr>
          <w:rFonts w:ascii="Times New Roman" w:hAnsi="Times New Roman" w:cs="Times New Roman"/>
          <w:sz w:val="24"/>
          <w:szCs w:val="24"/>
        </w:rPr>
        <w:t xml:space="preserve"> </w:t>
      </w:r>
      <w:r>
        <w:rPr>
          <w:rFonts w:ascii="Times New Roman" w:hAnsi="Times New Roman" w:cs="Times New Roman"/>
          <w:sz w:val="24"/>
          <w:szCs w:val="24"/>
        </w:rPr>
        <w:t xml:space="preserve">to persist with the applications, despite the </w:t>
      </w:r>
      <w:r w:rsidR="00936F60">
        <w:rPr>
          <w:rFonts w:ascii="Times New Roman" w:hAnsi="Times New Roman" w:cs="Times New Roman"/>
          <w:sz w:val="24"/>
          <w:szCs w:val="24"/>
        </w:rPr>
        <w:t>omissions</w:t>
      </w:r>
      <w:r>
        <w:rPr>
          <w:rFonts w:ascii="Times New Roman" w:hAnsi="Times New Roman" w:cs="Times New Roman"/>
          <w:sz w:val="24"/>
          <w:szCs w:val="24"/>
        </w:rPr>
        <w:t xml:space="preserve"> on his papers having been pointed out in the notice of opposition. In the first application, </w:t>
      </w:r>
      <w:r w:rsidRPr="00936F60">
        <w:rPr>
          <w:rFonts w:ascii="Times New Roman" w:hAnsi="Times New Roman" w:cs="Times New Roman"/>
          <w:i/>
          <w:sz w:val="24"/>
          <w:szCs w:val="24"/>
        </w:rPr>
        <w:t xml:space="preserve">Shelter </w:t>
      </w:r>
      <w:proofErr w:type="spellStart"/>
      <w:r w:rsidRPr="00936F60">
        <w:rPr>
          <w:rFonts w:ascii="Times New Roman" w:hAnsi="Times New Roman" w:cs="Times New Roman"/>
          <w:i/>
          <w:sz w:val="24"/>
          <w:szCs w:val="24"/>
        </w:rPr>
        <w:t>Kachiridza</w:t>
      </w:r>
      <w:proofErr w:type="spellEnd"/>
      <w:r w:rsidRPr="00936F60">
        <w:rPr>
          <w:rFonts w:ascii="Times New Roman" w:hAnsi="Times New Roman" w:cs="Times New Roman"/>
          <w:i/>
          <w:sz w:val="24"/>
          <w:szCs w:val="24"/>
        </w:rPr>
        <w:t xml:space="preserve"> </w:t>
      </w:r>
      <w:r w:rsidRPr="00936F60">
        <w:rPr>
          <w:rFonts w:ascii="Times New Roman" w:hAnsi="Times New Roman" w:cs="Times New Roman"/>
          <w:sz w:val="24"/>
          <w:szCs w:val="24"/>
        </w:rPr>
        <w:t>v</w:t>
      </w:r>
      <w:r w:rsidRPr="00936F60">
        <w:rPr>
          <w:rFonts w:ascii="Times New Roman" w:hAnsi="Times New Roman" w:cs="Times New Roman"/>
          <w:i/>
          <w:sz w:val="24"/>
          <w:szCs w:val="24"/>
        </w:rPr>
        <w:t xml:space="preserve"> Judicial Service Commission</w:t>
      </w:r>
      <w:r>
        <w:rPr>
          <w:rFonts w:ascii="Times New Roman" w:hAnsi="Times New Roman" w:cs="Times New Roman"/>
          <w:sz w:val="24"/>
          <w:szCs w:val="24"/>
        </w:rPr>
        <w:t xml:space="preserve"> LC/H/123/20</w:t>
      </w:r>
      <w:r w:rsidR="00936F60">
        <w:rPr>
          <w:rFonts w:ascii="Times New Roman" w:hAnsi="Times New Roman" w:cs="Times New Roman"/>
          <w:sz w:val="24"/>
          <w:szCs w:val="24"/>
        </w:rPr>
        <w:t xml:space="preserve"> </w:t>
      </w:r>
      <w:r w:rsidR="00217790">
        <w:rPr>
          <w:rFonts w:ascii="Times New Roman" w:hAnsi="Times New Roman" w:cs="Times New Roman"/>
          <w:sz w:val="24"/>
          <w:szCs w:val="24"/>
        </w:rPr>
        <w:t xml:space="preserve">where </w:t>
      </w:r>
      <w:r w:rsidR="00936F60">
        <w:rPr>
          <w:rFonts w:ascii="Times New Roman" w:hAnsi="Times New Roman" w:cs="Times New Roman"/>
          <w:sz w:val="24"/>
          <w:szCs w:val="24"/>
        </w:rPr>
        <w:t>a wrong form was used, the court</w:t>
      </w:r>
      <w:r w:rsidR="00305FAC">
        <w:rPr>
          <w:rFonts w:ascii="Times New Roman" w:hAnsi="Times New Roman" w:cs="Times New Roman"/>
          <w:sz w:val="24"/>
          <w:szCs w:val="24"/>
        </w:rPr>
        <w:t>,</w:t>
      </w:r>
      <w:r w:rsidR="00936F60">
        <w:rPr>
          <w:rFonts w:ascii="Times New Roman" w:hAnsi="Times New Roman" w:cs="Times New Roman"/>
          <w:sz w:val="24"/>
          <w:szCs w:val="24"/>
        </w:rPr>
        <w:t xml:space="preserve"> in its </w:t>
      </w:r>
      <w:r w:rsidR="00217790">
        <w:rPr>
          <w:rFonts w:ascii="Times New Roman" w:hAnsi="Times New Roman" w:cs="Times New Roman"/>
          <w:sz w:val="24"/>
          <w:szCs w:val="24"/>
        </w:rPr>
        <w:t>judgment</w:t>
      </w:r>
      <w:r w:rsidR="00936F60">
        <w:rPr>
          <w:rFonts w:ascii="Times New Roman" w:hAnsi="Times New Roman" w:cs="Times New Roman"/>
          <w:sz w:val="24"/>
          <w:szCs w:val="24"/>
        </w:rPr>
        <w:t xml:space="preserve"> indicated that it was disabled from condoning the infringement because the applicant insisted no wrong had been committed. </w:t>
      </w:r>
    </w:p>
    <w:p w:rsidR="00217790" w:rsidRDefault="00217790" w:rsidP="00217790">
      <w:pPr>
        <w:spacing w:after="0" w:line="360" w:lineRule="auto"/>
        <w:jc w:val="both"/>
        <w:rPr>
          <w:rFonts w:ascii="Times New Roman" w:hAnsi="Times New Roman" w:cs="Times New Roman"/>
          <w:sz w:val="24"/>
          <w:szCs w:val="24"/>
        </w:rPr>
      </w:pPr>
    </w:p>
    <w:p w:rsidR="00936F60" w:rsidRDefault="00936F6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significant to note the remarks by </w:t>
      </w:r>
      <w:proofErr w:type="spellStart"/>
      <w:r w:rsidRPr="00936F60">
        <w:rPr>
          <w:rFonts w:ascii="Times New Roman" w:hAnsi="Times New Roman" w:cs="Times New Roman"/>
          <w:smallCaps/>
          <w:sz w:val="24"/>
          <w:szCs w:val="24"/>
        </w:rPr>
        <w:t>Gwa</w:t>
      </w:r>
      <w:r w:rsidR="00CC2CC9">
        <w:rPr>
          <w:rFonts w:ascii="Times New Roman" w:hAnsi="Times New Roman" w:cs="Times New Roman"/>
          <w:smallCaps/>
          <w:sz w:val="24"/>
          <w:szCs w:val="24"/>
        </w:rPr>
        <w:t>u</w:t>
      </w:r>
      <w:r w:rsidRPr="00936F60">
        <w:rPr>
          <w:rFonts w:ascii="Times New Roman" w:hAnsi="Times New Roman" w:cs="Times New Roman"/>
          <w:smallCaps/>
          <w:sz w:val="24"/>
          <w:szCs w:val="24"/>
        </w:rPr>
        <w:t>nza</w:t>
      </w:r>
      <w:proofErr w:type="spellEnd"/>
      <w:r w:rsidRPr="00936F60">
        <w:rPr>
          <w:rFonts w:ascii="Times New Roman" w:hAnsi="Times New Roman" w:cs="Times New Roman"/>
          <w:smallCaps/>
          <w:sz w:val="24"/>
          <w:szCs w:val="24"/>
        </w:rPr>
        <w:t xml:space="preserve"> JA</w:t>
      </w:r>
      <w:r>
        <w:rPr>
          <w:rFonts w:ascii="Times New Roman" w:hAnsi="Times New Roman" w:cs="Times New Roman"/>
          <w:sz w:val="24"/>
          <w:szCs w:val="24"/>
        </w:rPr>
        <w:t xml:space="preserve"> (as she then was) </w:t>
      </w:r>
      <w:r w:rsidR="004131EA">
        <w:rPr>
          <w:rFonts w:ascii="Times New Roman" w:hAnsi="Times New Roman" w:cs="Times New Roman"/>
          <w:sz w:val="24"/>
          <w:szCs w:val="24"/>
        </w:rPr>
        <w:t xml:space="preserve">in </w:t>
      </w:r>
      <w:proofErr w:type="spellStart"/>
      <w:r w:rsidR="004131EA" w:rsidRPr="004131EA">
        <w:rPr>
          <w:rFonts w:ascii="Times New Roman" w:hAnsi="Times New Roman" w:cs="Times New Roman"/>
          <w:i/>
          <w:sz w:val="24"/>
          <w:szCs w:val="24"/>
        </w:rPr>
        <w:t>Gazi</w:t>
      </w:r>
      <w:proofErr w:type="spellEnd"/>
      <w:r w:rsidR="004131EA" w:rsidRPr="004131EA">
        <w:rPr>
          <w:rFonts w:ascii="Times New Roman" w:hAnsi="Times New Roman" w:cs="Times New Roman"/>
          <w:i/>
          <w:sz w:val="24"/>
          <w:szCs w:val="24"/>
        </w:rPr>
        <w:t xml:space="preserve"> </w:t>
      </w:r>
      <w:r w:rsidR="004131EA" w:rsidRPr="004131EA">
        <w:rPr>
          <w:rFonts w:ascii="Times New Roman" w:hAnsi="Times New Roman" w:cs="Times New Roman"/>
          <w:sz w:val="24"/>
          <w:szCs w:val="24"/>
        </w:rPr>
        <w:t>v</w:t>
      </w:r>
      <w:r w:rsidR="004131EA" w:rsidRPr="004131EA">
        <w:rPr>
          <w:rFonts w:ascii="Times New Roman" w:hAnsi="Times New Roman" w:cs="Times New Roman"/>
          <w:i/>
          <w:sz w:val="24"/>
          <w:szCs w:val="24"/>
        </w:rPr>
        <w:t xml:space="preserve"> NRZ</w:t>
      </w:r>
      <w:r w:rsidR="004131EA">
        <w:rPr>
          <w:rFonts w:ascii="Times New Roman" w:hAnsi="Times New Roman" w:cs="Times New Roman"/>
          <w:sz w:val="24"/>
          <w:szCs w:val="24"/>
        </w:rPr>
        <w:t xml:space="preserve"> 2015 (2) ZLR 208, at 213 C – E, which emphasize the fact that </w:t>
      </w:r>
      <w:r>
        <w:rPr>
          <w:rFonts w:ascii="Times New Roman" w:hAnsi="Times New Roman" w:cs="Times New Roman"/>
          <w:sz w:val="24"/>
          <w:szCs w:val="24"/>
        </w:rPr>
        <w:t xml:space="preserve">handling a labour matter does not mean that basic procedural </w:t>
      </w:r>
      <w:r w:rsidR="004131EA">
        <w:rPr>
          <w:rFonts w:ascii="Times New Roman" w:hAnsi="Times New Roman" w:cs="Times New Roman"/>
          <w:sz w:val="24"/>
          <w:szCs w:val="24"/>
        </w:rPr>
        <w:t>standards should be disregarded:</w:t>
      </w:r>
    </w:p>
    <w:p w:rsidR="004131EA" w:rsidRDefault="004131EA" w:rsidP="00324B00">
      <w:pPr>
        <w:spacing w:after="0" w:line="360" w:lineRule="auto"/>
        <w:jc w:val="both"/>
        <w:rPr>
          <w:rFonts w:ascii="Times New Roman" w:hAnsi="Times New Roman" w:cs="Times New Roman"/>
          <w:sz w:val="24"/>
          <w:szCs w:val="24"/>
        </w:rPr>
      </w:pPr>
    </w:p>
    <w:p w:rsidR="004131EA" w:rsidRDefault="004131EA" w:rsidP="008C3C4B">
      <w:pPr>
        <w:spacing w:after="0" w:line="360" w:lineRule="auto"/>
        <w:ind w:left="720"/>
        <w:jc w:val="both"/>
        <w:rPr>
          <w:rFonts w:ascii="Times New Roman" w:hAnsi="Times New Roman" w:cs="Times New Roman"/>
        </w:rPr>
      </w:pPr>
      <w:r>
        <w:rPr>
          <w:rFonts w:ascii="Times New Roman" w:hAnsi="Times New Roman" w:cs="Times New Roman"/>
          <w:sz w:val="24"/>
          <w:szCs w:val="24"/>
        </w:rPr>
        <w:lastRenderedPageBreak/>
        <w:t>“</w:t>
      </w:r>
      <w:r w:rsidR="00E9203C">
        <w:rPr>
          <w:rFonts w:ascii="Times New Roman" w:hAnsi="Times New Roman" w:cs="Times New Roman"/>
        </w:rPr>
        <w:t xml:space="preserve">Firstly, labour matters are civil in nature and while the same standards of procedural stringency as are required in ordinary court matters may not always apply, I do not believe those standards are necessarily ousted merely on the basis that the matter at </w:t>
      </w:r>
      <w:proofErr w:type="gramStart"/>
      <w:r w:rsidR="00E9203C">
        <w:rPr>
          <w:rFonts w:ascii="Times New Roman" w:hAnsi="Times New Roman" w:cs="Times New Roman"/>
        </w:rPr>
        <w:t>hand,</w:t>
      </w:r>
      <w:proofErr w:type="gramEnd"/>
      <w:r w:rsidR="00E9203C">
        <w:rPr>
          <w:rFonts w:ascii="Times New Roman" w:hAnsi="Times New Roman" w:cs="Times New Roman"/>
        </w:rPr>
        <w:t xml:space="preserve"> is a labour dispute. This is particularly so where serious legal principles are at issue and where, as </w:t>
      </w:r>
      <w:r w:rsidR="00E9203C" w:rsidRPr="008C3C4B">
        <w:rPr>
          <w:rFonts w:ascii="Times New Roman" w:hAnsi="Times New Roman" w:cs="Times New Roman"/>
          <w:i/>
        </w:rPr>
        <w:t xml:space="preserve">in </w:t>
      </w:r>
      <w:proofErr w:type="spellStart"/>
      <w:r w:rsidR="00E9203C" w:rsidRPr="008C3C4B">
        <w:rPr>
          <w:rFonts w:ascii="Times New Roman" w:hAnsi="Times New Roman" w:cs="Times New Roman"/>
          <w:i/>
        </w:rPr>
        <w:t>casu</w:t>
      </w:r>
      <w:proofErr w:type="spellEnd"/>
      <w:r w:rsidR="00E9203C" w:rsidRPr="008C3C4B">
        <w:rPr>
          <w:rFonts w:ascii="Times New Roman" w:hAnsi="Times New Roman" w:cs="Times New Roman"/>
          <w:i/>
        </w:rPr>
        <w:t>,</w:t>
      </w:r>
      <w:r w:rsidR="00E9203C">
        <w:rPr>
          <w:rFonts w:ascii="Times New Roman" w:hAnsi="Times New Roman" w:cs="Times New Roman"/>
        </w:rPr>
        <w:t xml:space="preserve"> a party who belatedly clamours for such procedural relaxation is himself the author of the very predicament that he later finds himself in. It goes without saying that, but for his own default, the appellant could have </w:t>
      </w:r>
      <w:r w:rsidR="008C3C4B">
        <w:rPr>
          <w:rFonts w:ascii="Times New Roman" w:hAnsi="Times New Roman" w:cs="Times New Roman"/>
        </w:rPr>
        <w:t>properly</w:t>
      </w:r>
      <w:r w:rsidR="00E9203C">
        <w:rPr>
          <w:rFonts w:ascii="Times New Roman" w:hAnsi="Times New Roman" w:cs="Times New Roman"/>
        </w:rPr>
        <w:t xml:space="preserve"> </w:t>
      </w:r>
      <w:r w:rsidR="008C3C4B">
        <w:rPr>
          <w:rFonts w:ascii="Times New Roman" w:hAnsi="Times New Roman" w:cs="Times New Roman"/>
        </w:rPr>
        <w:t>raised the</w:t>
      </w:r>
      <w:r w:rsidR="00E9203C">
        <w:rPr>
          <w:rFonts w:ascii="Times New Roman" w:hAnsi="Times New Roman" w:cs="Times New Roman"/>
        </w:rPr>
        <w:t xml:space="preserve"> new, legal point he now seeks to raise, and adduced evidence on it, during the disciplinary proceedings before the Area Manager.</w:t>
      </w:r>
    </w:p>
    <w:p w:rsidR="00E9203C" w:rsidRDefault="00E9203C" w:rsidP="00324B00">
      <w:pPr>
        <w:spacing w:after="0" w:line="360" w:lineRule="auto"/>
        <w:jc w:val="both"/>
        <w:rPr>
          <w:rFonts w:ascii="Times New Roman" w:hAnsi="Times New Roman" w:cs="Times New Roman"/>
        </w:rPr>
      </w:pPr>
    </w:p>
    <w:p w:rsidR="00E9203C" w:rsidRPr="00305FAC" w:rsidRDefault="00E9203C" w:rsidP="008C3C4B">
      <w:pPr>
        <w:spacing w:after="0" w:line="360" w:lineRule="auto"/>
        <w:ind w:left="720"/>
        <w:jc w:val="both"/>
        <w:rPr>
          <w:rFonts w:ascii="Times New Roman" w:hAnsi="Times New Roman" w:cs="Times New Roman"/>
        </w:rPr>
      </w:pPr>
      <w:r>
        <w:rPr>
          <w:rFonts w:ascii="Times New Roman" w:hAnsi="Times New Roman" w:cs="Times New Roman"/>
        </w:rPr>
        <w:t>It is my view necessary in this respect to remind parties in labour disputes that it is important to show respect for laid down formalities in the adjudication of disputes that concern them. Showing disdain for such formalities and later expecting the court to turn a blind eye to such conduct, in my view smacks of double standards and a lack of seriousness on the part of the litigant concerned.”</w:t>
      </w:r>
    </w:p>
    <w:p w:rsidR="00936F60" w:rsidRDefault="00936F60" w:rsidP="00324B00">
      <w:pPr>
        <w:spacing w:after="0" w:line="360" w:lineRule="auto"/>
        <w:jc w:val="both"/>
        <w:rPr>
          <w:rFonts w:ascii="Times New Roman" w:hAnsi="Times New Roman" w:cs="Times New Roman"/>
          <w:sz w:val="24"/>
          <w:szCs w:val="24"/>
        </w:rPr>
      </w:pPr>
    </w:p>
    <w:p w:rsidR="00936F60" w:rsidRDefault="00936F6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936F60">
        <w:rPr>
          <w:rFonts w:ascii="Times New Roman" w:hAnsi="Times New Roman" w:cs="Times New Roman"/>
          <w:i/>
          <w:sz w:val="24"/>
          <w:szCs w:val="24"/>
        </w:rPr>
        <w:t>Matsikidze</w:t>
      </w:r>
      <w:proofErr w:type="spellEnd"/>
      <w:r w:rsidRPr="00936F60">
        <w:rPr>
          <w:rFonts w:ascii="Times New Roman" w:hAnsi="Times New Roman" w:cs="Times New Roman"/>
          <w:i/>
          <w:sz w:val="24"/>
          <w:szCs w:val="24"/>
        </w:rPr>
        <w:t>,</w:t>
      </w:r>
      <w:r>
        <w:rPr>
          <w:rFonts w:ascii="Times New Roman" w:hAnsi="Times New Roman" w:cs="Times New Roman"/>
          <w:sz w:val="24"/>
          <w:szCs w:val="24"/>
        </w:rPr>
        <w:t xml:space="preserve"> during oral submissions drew the court’s attention to this undesirable propensi</w:t>
      </w:r>
      <w:r w:rsidR="00977D6F">
        <w:rPr>
          <w:rFonts w:ascii="Times New Roman" w:hAnsi="Times New Roman" w:cs="Times New Roman"/>
          <w:sz w:val="24"/>
          <w:szCs w:val="24"/>
        </w:rPr>
        <w:t>ty on the part of the applicant.</w:t>
      </w:r>
    </w:p>
    <w:p w:rsidR="00936F60" w:rsidRDefault="00936F60" w:rsidP="00324B00">
      <w:pPr>
        <w:spacing w:after="0" w:line="360" w:lineRule="auto"/>
        <w:jc w:val="both"/>
        <w:rPr>
          <w:rFonts w:ascii="Times New Roman" w:hAnsi="Times New Roman" w:cs="Times New Roman"/>
          <w:sz w:val="24"/>
          <w:szCs w:val="24"/>
        </w:rPr>
      </w:pPr>
    </w:p>
    <w:p w:rsidR="00936F60" w:rsidRPr="00977D6F" w:rsidRDefault="00936F60" w:rsidP="00977D6F">
      <w:pPr>
        <w:spacing w:after="0" w:line="360" w:lineRule="auto"/>
        <w:ind w:left="720"/>
        <w:jc w:val="both"/>
        <w:rPr>
          <w:rFonts w:ascii="Times New Roman" w:hAnsi="Times New Roman" w:cs="Times New Roman"/>
        </w:rPr>
      </w:pPr>
      <w:r w:rsidRPr="00977D6F">
        <w:rPr>
          <w:rFonts w:ascii="Times New Roman" w:hAnsi="Times New Roman" w:cs="Times New Roman"/>
        </w:rPr>
        <w:t xml:space="preserve">“It seems it’s a habit by applicant to insist on a point even though it has been raised. From the date notice of response was filed until today, applicant is still </w:t>
      </w:r>
      <w:r w:rsidR="00977D6F" w:rsidRPr="00977D6F">
        <w:rPr>
          <w:rFonts w:ascii="Times New Roman" w:hAnsi="Times New Roman" w:cs="Times New Roman"/>
        </w:rPr>
        <w:t xml:space="preserve">steadfastly </w:t>
      </w:r>
      <w:r w:rsidRPr="00977D6F">
        <w:rPr>
          <w:rFonts w:ascii="Times New Roman" w:hAnsi="Times New Roman" w:cs="Times New Roman"/>
        </w:rPr>
        <w:t xml:space="preserve">denying that it is necessary. </w:t>
      </w:r>
      <w:r w:rsidR="00977D6F" w:rsidRPr="00977D6F">
        <w:rPr>
          <w:rFonts w:ascii="Times New Roman" w:hAnsi="Times New Roman" w:cs="Times New Roman"/>
        </w:rPr>
        <w:t>Applicant</w:t>
      </w:r>
      <w:r w:rsidRPr="00977D6F">
        <w:rPr>
          <w:rFonts w:ascii="Times New Roman" w:hAnsi="Times New Roman" w:cs="Times New Roman"/>
        </w:rPr>
        <w:t xml:space="preserve"> is </w:t>
      </w:r>
      <w:r w:rsidR="00977D6F" w:rsidRPr="00977D6F">
        <w:rPr>
          <w:rFonts w:ascii="Times New Roman" w:hAnsi="Times New Roman" w:cs="Times New Roman"/>
        </w:rPr>
        <w:t>s</w:t>
      </w:r>
      <w:r w:rsidRPr="00977D6F">
        <w:rPr>
          <w:rFonts w:ascii="Times New Roman" w:hAnsi="Times New Roman" w:cs="Times New Roman"/>
        </w:rPr>
        <w:t>imply saying invoke r</w:t>
      </w:r>
      <w:r w:rsidR="00977D6F" w:rsidRPr="00977D6F">
        <w:rPr>
          <w:rFonts w:ascii="Times New Roman" w:hAnsi="Times New Roman" w:cs="Times New Roman"/>
        </w:rPr>
        <w:t>u</w:t>
      </w:r>
      <w:r w:rsidRPr="00977D6F">
        <w:rPr>
          <w:rFonts w:ascii="Times New Roman" w:hAnsi="Times New Roman" w:cs="Times New Roman"/>
        </w:rPr>
        <w:t>le 12. We are clearly dealing with a very</w:t>
      </w:r>
      <w:r w:rsidR="00977D6F" w:rsidRPr="00977D6F">
        <w:rPr>
          <w:rFonts w:ascii="Times New Roman" w:hAnsi="Times New Roman" w:cs="Times New Roman"/>
        </w:rPr>
        <w:t xml:space="preserve"> stubborn applicant, who does not care about the rules. My learned friend was actually leading evidence from the ba</w:t>
      </w:r>
      <w:r w:rsidR="00847BF2">
        <w:rPr>
          <w:rFonts w:ascii="Times New Roman" w:hAnsi="Times New Roman" w:cs="Times New Roman"/>
        </w:rPr>
        <w:t>r. Needed</w:t>
      </w:r>
      <w:r w:rsidR="00977D6F" w:rsidRPr="00977D6F">
        <w:rPr>
          <w:rFonts w:ascii="Times New Roman" w:hAnsi="Times New Roman" w:cs="Times New Roman"/>
        </w:rPr>
        <w:t xml:space="preserve"> to place it on affidavit. Applicant should have withdrawn this application in time.”</w:t>
      </w:r>
    </w:p>
    <w:p w:rsidR="00324B00" w:rsidRDefault="00324B00"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24B00"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court finds that no good cause has been shown for the granting of the indulgence of condonation, based on the extent of the delay and the explanation for it.</w:t>
      </w:r>
    </w:p>
    <w:p w:rsidR="00977D6F" w:rsidRDefault="00977D6F" w:rsidP="00324B00">
      <w:pPr>
        <w:spacing w:after="0" w:line="360" w:lineRule="auto"/>
        <w:jc w:val="both"/>
        <w:rPr>
          <w:rFonts w:ascii="Times New Roman" w:hAnsi="Times New Roman" w:cs="Times New Roman"/>
          <w:sz w:val="24"/>
          <w:szCs w:val="24"/>
        </w:rPr>
      </w:pPr>
    </w:p>
    <w:p w:rsidR="00977D6F"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the court were to proceed to the other factor, of prospects of success, it does not buttress the application. </w:t>
      </w:r>
    </w:p>
    <w:p w:rsidR="00977D6F" w:rsidRDefault="00977D6F" w:rsidP="00324B00">
      <w:pPr>
        <w:spacing w:after="0" w:line="360" w:lineRule="auto"/>
        <w:jc w:val="both"/>
        <w:rPr>
          <w:rFonts w:ascii="Times New Roman" w:hAnsi="Times New Roman" w:cs="Times New Roman"/>
          <w:sz w:val="24"/>
          <w:szCs w:val="24"/>
        </w:rPr>
      </w:pPr>
    </w:p>
    <w:p w:rsidR="00977D6F"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evidence on record shows that the applicant was known to the litigant </w:t>
      </w:r>
      <w:r w:rsidR="00847BF2">
        <w:rPr>
          <w:rFonts w:ascii="Times New Roman" w:hAnsi="Times New Roman" w:cs="Times New Roman"/>
          <w:sz w:val="24"/>
          <w:szCs w:val="24"/>
        </w:rPr>
        <w:t>from whom</w:t>
      </w:r>
      <w:r>
        <w:rPr>
          <w:rFonts w:ascii="Times New Roman" w:hAnsi="Times New Roman" w:cs="Times New Roman"/>
          <w:sz w:val="24"/>
          <w:szCs w:val="24"/>
        </w:rPr>
        <w:t xml:space="preserve"> the bribe was allegedly accepted, despite her assertions to the contrary. The evidence shows</w:t>
      </w:r>
      <w:r w:rsidR="00E50EE6">
        <w:rPr>
          <w:rFonts w:ascii="Times New Roman" w:hAnsi="Times New Roman" w:cs="Times New Roman"/>
          <w:sz w:val="24"/>
          <w:szCs w:val="24"/>
        </w:rPr>
        <w:t xml:space="preserve"> that there was</w:t>
      </w:r>
      <w:r>
        <w:rPr>
          <w:rFonts w:ascii="Times New Roman" w:hAnsi="Times New Roman" w:cs="Times New Roman"/>
          <w:sz w:val="24"/>
          <w:szCs w:val="24"/>
        </w:rPr>
        <w:t xml:space="preserve"> a </w:t>
      </w:r>
      <w:r w:rsidR="00E948E3">
        <w:rPr>
          <w:rFonts w:ascii="Times New Roman" w:hAnsi="Times New Roman" w:cs="Times New Roman"/>
          <w:sz w:val="24"/>
          <w:szCs w:val="24"/>
        </w:rPr>
        <w:t>lengthy</w:t>
      </w:r>
      <w:r>
        <w:rPr>
          <w:rFonts w:ascii="Times New Roman" w:hAnsi="Times New Roman" w:cs="Times New Roman"/>
          <w:sz w:val="24"/>
          <w:szCs w:val="24"/>
        </w:rPr>
        <w:t xml:space="preserve"> cellphone call history between the two. This </w:t>
      </w:r>
      <w:r w:rsidR="00E948E3">
        <w:rPr>
          <w:rFonts w:ascii="Times New Roman" w:hAnsi="Times New Roman" w:cs="Times New Roman"/>
          <w:sz w:val="24"/>
          <w:szCs w:val="24"/>
        </w:rPr>
        <w:t>close acquaintance was concealed</w:t>
      </w:r>
      <w:r>
        <w:rPr>
          <w:rFonts w:ascii="Times New Roman" w:hAnsi="Times New Roman" w:cs="Times New Roman"/>
          <w:sz w:val="24"/>
          <w:szCs w:val="24"/>
        </w:rPr>
        <w:t xml:space="preserve"> from the complainant, who was seeking an upward variation of maintenance from the litigant in question.</w:t>
      </w:r>
    </w:p>
    <w:p w:rsidR="00977D6F" w:rsidRDefault="00977D6F" w:rsidP="00324B00">
      <w:pPr>
        <w:spacing w:after="0" w:line="360" w:lineRule="auto"/>
        <w:jc w:val="both"/>
        <w:rPr>
          <w:rFonts w:ascii="Times New Roman" w:hAnsi="Times New Roman" w:cs="Times New Roman"/>
          <w:sz w:val="24"/>
          <w:szCs w:val="24"/>
        </w:rPr>
      </w:pPr>
    </w:p>
    <w:p w:rsidR="00E948E3"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w:t>
      </w:r>
      <w:r w:rsidR="00144F70">
        <w:rPr>
          <w:rFonts w:ascii="Times New Roman" w:hAnsi="Times New Roman" w:cs="Times New Roman"/>
          <w:sz w:val="24"/>
          <w:szCs w:val="24"/>
        </w:rPr>
        <w:t>t</w:t>
      </w:r>
      <w:r>
        <w:rPr>
          <w:rFonts w:ascii="Times New Roman" w:hAnsi="Times New Roman" w:cs="Times New Roman"/>
          <w:sz w:val="24"/>
          <w:szCs w:val="24"/>
        </w:rPr>
        <w:t xml:space="preserve">he tribunal of first instance, </w:t>
      </w:r>
      <w:proofErr w:type="spellStart"/>
      <w:r w:rsidRPr="00144F70">
        <w:rPr>
          <w:rFonts w:ascii="Times New Roman" w:hAnsi="Times New Roman" w:cs="Times New Roman"/>
          <w:i/>
          <w:sz w:val="24"/>
          <w:szCs w:val="24"/>
        </w:rPr>
        <w:t>viz</w:t>
      </w:r>
      <w:proofErr w:type="spellEnd"/>
      <w:r>
        <w:rPr>
          <w:rFonts w:ascii="Times New Roman" w:hAnsi="Times New Roman" w:cs="Times New Roman"/>
          <w:sz w:val="24"/>
          <w:szCs w:val="24"/>
        </w:rPr>
        <w:t xml:space="preserve"> the Disciplinary Committee, was based on finding</w:t>
      </w:r>
      <w:r w:rsidR="00E948E3">
        <w:rPr>
          <w:rFonts w:ascii="Times New Roman" w:hAnsi="Times New Roman" w:cs="Times New Roman"/>
          <w:sz w:val="24"/>
          <w:szCs w:val="24"/>
        </w:rPr>
        <w:t>s</w:t>
      </w:r>
      <w:r>
        <w:rPr>
          <w:rFonts w:ascii="Times New Roman" w:hAnsi="Times New Roman" w:cs="Times New Roman"/>
          <w:sz w:val="24"/>
          <w:szCs w:val="24"/>
        </w:rPr>
        <w:t xml:space="preserve"> of fact and credibility of witnesses</w:t>
      </w:r>
      <w:r w:rsidR="00E948E3">
        <w:rPr>
          <w:rFonts w:ascii="Times New Roman" w:hAnsi="Times New Roman" w:cs="Times New Roman"/>
          <w:sz w:val="24"/>
          <w:szCs w:val="24"/>
        </w:rPr>
        <w:t>,</w:t>
      </w:r>
      <w:r>
        <w:rPr>
          <w:rFonts w:ascii="Times New Roman" w:hAnsi="Times New Roman" w:cs="Times New Roman"/>
          <w:sz w:val="24"/>
          <w:szCs w:val="24"/>
        </w:rPr>
        <w:t xml:space="preserve"> </w:t>
      </w:r>
      <w:r w:rsidR="00144F70">
        <w:rPr>
          <w:rFonts w:ascii="Times New Roman" w:hAnsi="Times New Roman" w:cs="Times New Roman"/>
          <w:sz w:val="24"/>
          <w:szCs w:val="24"/>
        </w:rPr>
        <w:t>which</w:t>
      </w:r>
      <w:r>
        <w:rPr>
          <w:rFonts w:ascii="Times New Roman" w:hAnsi="Times New Roman" w:cs="Times New Roman"/>
          <w:sz w:val="24"/>
          <w:szCs w:val="24"/>
        </w:rPr>
        <w:t xml:space="preserve"> an appellate </w:t>
      </w:r>
      <w:r w:rsidR="00E948E3">
        <w:rPr>
          <w:rFonts w:ascii="Times New Roman" w:hAnsi="Times New Roman" w:cs="Times New Roman"/>
          <w:sz w:val="24"/>
          <w:szCs w:val="24"/>
        </w:rPr>
        <w:t>court</w:t>
      </w:r>
      <w:r>
        <w:rPr>
          <w:rFonts w:ascii="Times New Roman" w:hAnsi="Times New Roman" w:cs="Times New Roman"/>
          <w:sz w:val="24"/>
          <w:szCs w:val="24"/>
        </w:rPr>
        <w:t xml:space="preserve"> cannot easily interfere with. </w:t>
      </w:r>
    </w:p>
    <w:p w:rsidR="00E948E3" w:rsidRDefault="00E948E3" w:rsidP="00324B00">
      <w:pPr>
        <w:spacing w:after="0" w:line="360" w:lineRule="auto"/>
        <w:jc w:val="both"/>
        <w:rPr>
          <w:rFonts w:ascii="Times New Roman" w:hAnsi="Times New Roman" w:cs="Times New Roman"/>
          <w:sz w:val="24"/>
          <w:szCs w:val="24"/>
        </w:rPr>
      </w:pPr>
    </w:p>
    <w:p w:rsidR="00977D6F" w:rsidRDefault="00977D6F" w:rsidP="00E94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the court’s considered view that the application for condonation cannot be upheld.</w:t>
      </w:r>
    </w:p>
    <w:p w:rsidR="00977D6F" w:rsidRDefault="00977D6F" w:rsidP="00324B00">
      <w:pPr>
        <w:spacing w:after="0" w:line="360" w:lineRule="auto"/>
        <w:jc w:val="both"/>
        <w:rPr>
          <w:rFonts w:ascii="Times New Roman" w:hAnsi="Times New Roman" w:cs="Times New Roman"/>
          <w:sz w:val="24"/>
          <w:szCs w:val="24"/>
        </w:rPr>
      </w:pPr>
    </w:p>
    <w:p w:rsidR="00977D6F"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t>
      </w:r>
      <w:r w:rsidR="00E948E3">
        <w:rPr>
          <w:rFonts w:ascii="Times New Roman" w:hAnsi="Times New Roman" w:cs="Times New Roman"/>
          <w:sz w:val="24"/>
          <w:szCs w:val="24"/>
        </w:rPr>
        <w:t>has asked for costs on</w:t>
      </w:r>
      <w:r w:rsidR="00144F70">
        <w:rPr>
          <w:rFonts w:ascii="Times New Roman" w:hAnsi="Times New Roman" w:cs="Times New Roman"/>
          <w:sz w:val="24"/>
          <w:szCs w:val="24"/>
        </w:rPr>
        <w:t xml:space="preserve"> an attorney and client scale. Since the failure of the application has been largel</w:t>
      </w:r>
      <w:r w:rsidR="00E948E3">
        <w:rPr>
          <w:rFonts w:ascii="Times New Roman" w:hAnsi="Times New Roman" w:cs="Times New Roman"/>
          <w:sz w:val="24"/>
          <w:szCs w:val="24"/>
        </w:rPr>
        <w:t>y due to the legal practitioner</w:t>
      </w:r>
      <w:r w:rsidR="00144F70">
        <w:rPr>
          <w:rFonts w:ascii="Times New Roman" w:hAnsi="Times New Roman" w:cs="Times New Roman"/>
          <w:sz w:val="24"/>
          <w:szCs w:val="24"/>
        </w:rPr>
        <w:t>s</w:t>
      </w:r>
      <w:r w:rsidR="00E948E3">
        <w:rPr>
          <w:rFonts w:ascii="Times New Roman" w:hAnsi="Times New Roman" w:cs="Times New Roman"/>
          <w:sz w:val="24"/>
          <w:szCs w:val="24"/>
        </w:rPr>
        <w:t>’</w:t>
      </w:r>
      <w:r w:rsidR="00144F70">
        <w:rPr>
          <w:rFonts w:ascii="Times New Roman" w:hAnsi="Times New Roman" w:cs="Times New Roman"/>
          <w:sz w:val="24"/>
          <w:szCs w:val="24"/>
        </w:rPr>
        <w:t xml:space="preserve"> negligence, I do not consider it just and proper that the client </w:t>
      </w:r>
      <w:r w:rsidR="00E948E3">
        <w:rPr>
          <w:rFonts w:ascii="Times New Roman" w:hAnsi="Times New Roman" w:cs="Times New Roman"/>
          <w:sz w:val="24"/>
          <w:szCs w:val="24"/>
        </w:rPr>
        <w:t xml:space="preserve">be burdened </w:t>
      </w:r>
      <w:r w:rsidR="00144F70">
        <w:rPr>
          <w:rFonts w:ascii="Times New Roman" w:hAnsi="Times New Roman" w:cs="Times New Roman"/>
          <w:sz w:val="24"/>
          <w:szCs w:val="24"/>
        </w:rPr>
        <w:t>with such costs. Costs shall remain on the ordinary scale.</w:t>
      </w:r>
    </w:p>
    <w:p w:rsidR="00144F70" w:rsidRDefault="00144F70" w:rsidP="00324B00">
      <w:pPr>
        <w:spacing w:after="0" w:line="360" w:lineRule="auto"/>
        <w:jc w:val="both"/>
        <w:rPr>
          <w:rFonts w:ascii="Times New Roman" w:hAnsi="Times New Roman" w:cs="Times New Roman"/>
          <w:sz w:val="24"/>
          <w:szCs w:val="24"/>
        </w:rPr>
      </w:pPr>
    </w:p>
    <w:p w:rsidR="00144F70" w:rsidRPr="00144F70" w:rsidRDefault="00144F70" w:rsidP="00324B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44F70">
        <w:rPr>
          <w:rFonts w:ascii="Times New Roman" w:hAnsi="Times New Roman" w:cs="Times New Roman"/>
          <w:b/>
          <w:sz w:val="24"/>
          <w:szCs w:val="24"/>
        </w:rPr>
        <w:t>In</w:t>
      </w:r>
      <w:r w:rsidR="00A005AA">
        <w:rPr>
          <w:rFonts w:ascii="Times New Roman" w:hAnsi="Times New Roman" w:cs="Times New Roman"/>
          <w:b/>
          <w:sz w:val="24"/>
          <w:szCs w:val="24"/>
        </w:rPr>
        <w:t xml:space="preserve"> the result, it is ordered that:</w:t>
      </w:r>
    </w:p>
    <w:p w:rsidR="00144F70" w:rsidRPr="00144F70" w:rsidRDefault="00144F70" w:rsidP="00324B00">
      <w:pPr>
        <w:spacing w:after="0" w:line="360" w:lineRule="auto"/>
        <w:jc w:val="both"/>
        <w:rPr>
          <w:rFonts w:ascii="Times New Roman" w:hAnsi="Times New Roman" w:cs="Times New Roman"/>
          <w:b/>
          <w:sz w:val="24"/>
          <w:szCs w:val="24"/>
        </w:rPr>
      </w:pPr>
    </w:p>
    <w:p w:rsidR="00144F70" w:rsidRPr="00144F70" w:rsidRDefault="00144F70" w:rsidP="00144F70">
      <w:pPr>
        <w:spacing w:after="0" w:line="360" w:lineRule="auto"/>
        <w:ind w:left="720" w:hanging="720"/>
        <w:jc w:val="both"/>
        <w:rPr>
          <w:rFonts w:ascii="Times New Roman" w:hAnsi="Times New Roman" w:cs="Times New Roman"/>
          <w:b/>
          <w:sz w:val="24"/>
          <w:szCs w:val="24"/>
        </w:rPr>
      </w:pPr>
      <w:r w:rsidRPr="00144F70">
        <w:rPr>
          <w:rFonts w:ascii="Times New Roman" w:hAnsi="Times New Roman" w:cs="Times New Roman"/>
          <w:b/>
          <w:sz w:val="24"/>
          <w:szCs w:val="24"/>
        </w:rPr>
        <w:tab/>
        <w:t>1.</w:t>
      </w:r>
      <w:r w:rsidRPr="00144F70">
        <w:rPr>
          <w:rFonts w:ascii="Times New Roman" w:hAnsi="Times New Roman" w:cs="Times New Roman"/>
          <w:b/>
          <w:sz w:val="24"/>
          <w:szCs w:val="24"/>
        </w:rPr>
        <w:tab/>
        <w:t xml:space="preserve">The application for condonation of late filing of an appeal be and is hereby </w:t>
      </w:r>
    </w:p>
    <w:p w:rsidR="00144F70" w:rsidRPr="00144F70" w:rsidRDefault="00144F70" w:rsidP="00144F70">
      <w:pPr>
        <w:spacing w:after="0" w:line="360" w:lineRule="auto"/>
        <w:ind w:left="720" w:firstLine="720"/>
        <w:jc w:val="both"/>
        <w:rPr>
          <w:rFonts w:ascii="Times New Roman" w:hAnsi="Times New Roman" w:cs="Times New Roman"/>
          <w:b/>
          <w:sz w:val="24"/>
          <w:szCs w:val="24"/>
        </w:rPr>
      </w:pPr>
      <w:r w:rsidRPr="00144F70">
        <w:rPr>
          <w:rFonts w:ascii="Times New Roman" w:hAnsi="Times New Roman" w:cs="Times New Roman"/>
          <w:b/>
          <w:sz w:val="24"/>
          <w:szCs w:val="24"/>
        </w:rPr>
        <w:t>dismissed.</w:t>
      </w:r>
    </w:p>
    <w:p w:rsidR="00144F70" w:rsidRPr="00144F70" w:rsidRDefault="00144F70" w:rsidP="00324B00">
      <w:pPr>
        <w:spacing w:after="0" w:line="360" w:lineRule="auto"/>
        <w:jc w:val="both"/>
        <w:rPr>
          <w:rFonts w:ascii="Times New Roman" w:hAnsi="Times New Roman" w:cs="Times New Roman"/>
          <w:b/>
          <w:sz w:val="24"/>
          <w:szCs w:val="24"/>
        </w:rPr>
      </w:pPr>
      <w:r w:rsidRPr="00144F70">
        <w:rPr>
          <w:rFonts w:ascii="Times New Roman" w:hAnsi="Times New Roman" w:cs="Times New Roman"/>
          <w:b/>
          <w:sz w:val="24"/>
          <w:szCs w:val="24"/>
        </w:rPr>
        <w:tab/>
        <w:t>2.</w:t>
      </w:r>
      <w:r w:rsidRPr="00144F70">
        <w:rPr>
          <w:rFonts w:ascii="Times New Roman" w:hAnsi="Times New Roman" w:cs="Times New Roman"/>
          <w:b/>
          <w:sz w:val="24"/>
          <w:szCs w:val="24"/>
        </w:rPr>
        <w:tab/>
        <w:t>The applicant bears the respondent’s costs.</w:t>
      </w:r>
    </w:p>
    <w:p w:rsidR="00977D6F" w:rsidRDefault="00977D6F" w:rsidP="00324B00">
      <w:pPr>
        <w:spacing w:after="0" w:line="360" w:lineRule="auto"/>
        <w:jc w:val="both"/>
        <w:rPr>
          <w:rFonts w:ascii="Times New Roman" w:hAnsi="Times New Roman" w:cs="Times New Roman"/>
          <w:sz w:val="24"/>
          <w:szCs w:val="24"/>
        </w:rPr>
      </w:pPr>
    </w:p>
    <w:p w:rsidR="00977D6F" w:rsidRDefault="00977D6F" w:rsidP="00324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24B00" w:rsidRPr="00324B00" w:rsidRDefault="00324B00" w:rsidP="00324B00">
      <w:pPr>
        <w:spacing w:after="0" w:line="360" w:lineRule="auto"/>
        <w:jc w:val="both"/>
        <w:rPr>
          <w:rFonts w:ascii="Times New Roman" w:hAnsi="Times New Roman" w:cs="Times New Roman"/>
          <w:sz w:val="24"/>
          <w:szCs w:val="24"/>
        </w:rPr>
      </w:pPr>
    </w:p>
    <w:p w:rsidR="00543EB5" w:rsidRPr="00543EB5" w:rsidRDefault="00543EB5" w:rsidP="00543EB5">
      <w:pPr>
        <w:spacing w:after="0" w:line="360" w:lineRule="auto"/>
        <w:jc w:val="both"/>
        <w:rPr>
          <w:rFonts w:ascii="Times New Roman" w:hAnsi="Times New Roman" w:cs="Times New Roman"/>
          <w:sz w:val="24"/>
          <w:szCs w:val="24"/>
        </w:rPr>
      </w:pPr>
    </w:p>
    <w:p w:rsidR="008F1EAE" w:rsidRPr="004D2E34" w:rsidRDefault="008F1EAE" w:rsidP="00FE40AA">
      <w:pPr>
        <w:spacing w:after="0" w:line="360" w:lineRule="auto"/>
        <w:jc w:val="both"/>
        <w:rPr>
          <w:rFonts w:ascii="Times New Roman" w:hAnsi="Times New Roman" w:cs="Times New Roman"/>
          <w:sz w:val="24"/>
          <w:szCs w:val="24"/>
        </w:rPr>
      </w:pPr>
    </w:p>
    <w:p w:rsidR="004D2E34" w:rsidRPr="0000618F" w:rsidRDefault="00BA409F" w:rsidP="00FE40AA">
      <w:pPr>
        <w:spacing w:after="0" w:line="360" w:lineRule="auto"/>
        <w:jc w:val="both"/>
        <w:rPr>
          <w:rFonts w:ascii="Times New Roman" w:hAnsi="Times New Roman" w:cs="Times New Roman"/>
          <w:sz w:val="24"/>
          <w:szCs w:val="24"/>
        </w:rPr>
      </w:pPr>
      <w:proofErr w:type="spellStart"/>
      <w:r w:rsidRPr="00BA409F">
        <w:rPr>
          <w:rFonts w:ascii="Times New Roman" w:hAnsi="Times New Roman" w:cs="Times New Roman"/>
          <w:i/>
          <w:sz w:val="24"/>
          <w:szCs w:val="24"/>
        </w:rPr>
        <w:t>Dube</w:t>
      </w:r>
      <w:proofErr w:type="spellEnd"/>
      <w:r w:rsidRPr="00BA409F">
        <w:rPr>
          <w:rFonts w:ascii="Times New Roman" w:hAnsi="Times New Roman" w:cs="Times New Roman"/>
          <w:i/>
          <w:sz w:val="24"/>
          <w:szCs w:val="24"/>
        </w:rPr>
        <w:t xml:space="preserve">, </w:t>
      </w:r>
      <w:proofErr w:type="spellStart"/>
      <w:r w:rsidRPr="00BA409F">
        <w:rPr>
          <w:rFonts w:ascii="Times New Roman" w:hAnsi="Times New Roman" w:cs="Times New Roman"/>
          <w:i/>
          <w:sz w:val="24"/>
          <w:szCs w:val="24"/>
        </w:rPr>
        <w:t>Manikai</w:t>
      </w:r>
      <w:proofErr w:type="spellEnd"/>
      <w:r w:rsidRPr="00BA409F">
        <w:rPr>
          <w:rFonts w:ascii="Times New Roman" w:hAnsi="Times New Roman" w:cs="Times New Roman"/>
          <w:i/>
          <w:sz w:val="24"/>
          <w:szCs w:val="24"/>
        </w:rPr>
        <w:t xml:space="preserve"> &amp; </w:t>
      </w:r>
      <w:proofErr w:type="spellStart"/>
      <w:r w:rsidRPr="00BA409F">
        <w:rPr>
          <w:rFonts w:ascii="Times New Roman" w:hAnsi="Times New Roman" w:cs="Times New Roman"/>
          <w:i/>
          <w:sz w:val="24"/>
          <w:szCs w:val="24"/>
        </w:rPr>
        <w:t>Hwacha</w:t>
      </w:r>
      <w:proofErr w:type="spellEnd"/>
      <w:r w:rsidRPr="00BA409F">
        <w:rPr>
          <w:rFonts w:ascii="Times New Roman" w:hAnsi="Times New Roman" w:cs="Times New Roman"/>
          <w:i/>
          <w:sz w:val="24"/>
          <w:szCs w:val="24"/>
        </w:rPr>
        <w:t>,</w:t>
      </w:r>
      <w:r>
        <w:rPr>
          <w:rFonts w:ascii="Times New Roman" w:hAnsi="Times New Roman" w:cs="Times New Roman"/>
          <w:sz w:val="24"/>
          <w:szCs w:val="24"/>
        </w:rPr>
        <w:t xml:space="preserve"> Applicant’s Legal Practitioners </w:t>
      </w:r>
    </w:p>
    <w:p w:rsidR="00144EA1" w:rsidRPr="00E71ADB" w:rsidRDefault="00E948E3" w:rsidP="00E71AD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w:t>
      </w:r>
      <w:r w:rsidR="001C247F">
        <w:rPr>
          <w:rFonts w:ascii="Times New Roman" w:hAnsi="Times New Roman" w:cs="Times New Roman"/>
          <w:i/>
          <w:sz w:val="24"/>
          <w:szCs w:val="24"/>
        </w:rPr>
        <w:t>e</w:t>
      </w:r>
      <w:proofErr w:type="spellEnd"/>
      <w:r w:rsidR="001C247F">
        <w:rPr>
          <w:rFonts w:ascii="Times New Roman" w:hAnsi="Times New Roman" w:cs="Times New Roman"/>
          <w:i/>
          <w:sz w:val="24"/>
          <w:szCs w:val="24"/>
        </w:rPr>
        <w:t xml:space="preserve"> Attorneys-</w:t>
      </w:r>
      <w:r>
        <w:rPr>
          <w:rFonts w:ascii="Times New Roman" w:hAnsi="Times New Roman" w:cs="Times New Roman"/>
          <w:i/>
          <w:sz w:val="24"/>
          <w:szCs w:val="24"/>
        </w:rPr>
        <w:t>At-Law,</w:t>
      </w:r>
      <w:r w:rsidR="008F1EAE">
        <w:rPr>
          <w:rFonts w:ascii="Times New Roman" w:hAnsi="Times New Roman" w:cs="Times New Roman"/>
          <w:i/>
          <w:sz w:val="24"/>
          <w:szCs w:val="24"/>
        </w:rPr>
        <w:t xml:space="preserve"> </w:t>
      </w:r>
      <w:r w:rsidR="008F1EAE" w:rsidRPr="008F1EAE">
        <w:rPr>
          <w:rFonts w:ascii="Times New Roman" w:hAnsi="Times New Roman" w:cs="Times New Roman"/>
          <w:sz w:val="24"/>
          <w:szCs w:val="24"/>
        </w:rPr>
        <w:t xml:space="preserve">Respondent’s </w:t>
      </w:r>
      <w:r w:rsidR="008F1EAE">
        <w:rPr>
          <w:rFonts w:ascii="Times New Roman" w:hAnsi="Times New Roman" w:cs="Times New Roman"/>
          <w:sz w:val="24"/>
          <w:szCs w:val="24"/>
        </w:rPr>
        <w:t>Legal</w:t>
      </w:r>
      <w:r w:rsidR="00144EA1">
        <w:rPr>
          <w:rFonts w:ascii="Times New Roman" w:hAnsi="Times New Roman" w:cs="Times New Roman"/>
          <w:sz w:val="24"/>
          <w:szCs w:val="24"/>
        </w:rPr>
        <w:t xml:space="preserve"> Practitioners</w:t>
      </w:r>
    </w:p>
    <w:sectPr w:rsidR="00144EA1" w:rsidRPr="00E71ADB" w:rsidSect="00542BC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59" w:rsidRDefault="00771E59" w:rsidP="00542BC1">
      <w:pPr>
        <w:spacing w:after="0" w:line="240" w:lineRule="auto"/>
      </w:pPr>
      <w:r>
        <w:separator/>
      </w:r>
    </w:p>
  </w:endnote>
  <w:endnote w:type="continuationSeparator" w:id="0">
    <w:p w:rsidR="00771E59" w:rsidRDefault="00771E59"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59" w:rsidRDefault="00771E59" w:rsidP="00542BC1">
      <w:pPr>
        <w:spacing w:after="0" w:line="240" w:lineRule="auto"/>
      </w:pPr>
      <w:r>
        <w:separator/>
      </w:r>
    </w:p>
  </w:footnote>
  <w:footnote w:type="continuationSeparator" w:id="0">
    <w:p w:rsidR="00771E59" w:rsidRDefault="00771E59"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4557A1">
          <w:rPr>
            <w:noProof/>
          </w:rPr>
          <w:t>9</w:t>
        </w:r>
        <w:r>
          <w:rPr>
            <w:noProof/>
          </w:rPr>
          <w:fldChar w:fldCharType="end"/>
        </w:r>
      </w:p>
      <w:p w:rsidR="00542BC1" w:rsidRDefault="00542BC1">
        <w:pPr>
          <w:pStyle w:val="Header"/>
          <w:jc w:val="right"/>
          <w:rPr>
            <w:noProof/>
          </w:rPr>
        </w:pPr>
        <w:r>
          <w:rPr>
            <w:noProof/>
          </w:rPr>
          <w:t>JDUGMENT NO. LC/H/</w:t>
        </w:r>
        <w:r w:rsidR="00D854D3">
          <w:rPr>
            <w:noProof/>
          </w:rPr>
          <w:t>108</w:t>
        </w:r>
        <w:r>
          <w:rPr>
            <w:noProof/>
          </w:rPr>
          <w:t>/2</w:t>
        </w:r>
        <w:r w:rsidR="00ED0E79">
          <w:rPr>
            <w:noProof/>
          </w:rPr>
          <w:t>0</w:t>
        </w:r>
        <w:r w:rsidR="007F6674">
          <w:rPr>
            <w:noProof/>
          </w:rPr>
          <w:t>21</w:t>
        </w:r>
      </w:p>
      <w:p w:rsidR="00411F2E" w:rsidRDefault="00542BC1">
        <w:pPr>
          <w:pStyle w:val="Header"/>
          <w:jc w:val="right"/>
          <w:rPr>
            <w:noProof/>
          </w:rPr>
        </w:pPr>
        <w:r>
          <w:rPr>
            <w:noProof/>
          </w:rPr>
          <w:t xml:space="preserve">CASE </w:t>
        </w:r>
        <w:r w:rsidR="00FC392B">
          <w:rPr>
            <w:noProof/>
          </w:rPr>
          <w:t>NO. LC/</w:t>
        </w:r>
        <w:r w:rsidR="00C05822">
          <w:rPr>
            <w:noProof/>
          </w:rPr>
          <w:t>H/</w:t>
        </w:r>
        <w:r w:rsidR="00DB1E58">
          <w:rPr>
            <w:noProof/>
          </w:rPr>
          <w:t>APP/363/20</w:t>
        </w:r>
      </w:p>
      <w:p w:rsidR="00542BC1" w:rsidRDefault="00411F2E">
        <w:pPr>
          <w:pStyle w:val="Header"/>
          <w:jc w:val="right"/>
        </w:pPr>
        <w:r>
          <w:rPr>
            <w:noProof/>
          </w:rPr>
          <w:t>XREF LC/H/APP/167/20</w:t>
        </w:r>
      </w:p>
    </w:sdtContent>
  </w:sdt>
  <w:p w:rsidR="00542BC1" w:rsidRDefault="0054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27750"/>
    <w:multiLevelType w:val="hybridMultilevel"/>
    <w:tmpl w:val="5A10947A"/>
    <w:lvl w:ilvl="0" w:tplc="F79469B8">
      <w:start w:val="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42F3F"/>
    <w:multiLevelType w:val="hybridMultilevel"/>
    <w:tmpl w:val="960A65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2"/>
  </w:num>
  <w:num w:numId="4">
    <w:abstractNumId w:val="10"/>
  </w:num>
  <w:num w:numId="5">
    <w:abstractNumId w:val="8"/>
  </w:num>
  <w:num w:numId="6">
    <w:abstractNumId w:val="6"/>
  </w:num>
  <w:num w:numId="7">
    <w:abstractNumId w:val="12"/>
  </w:num>
  <w:num w:numId="8">
    <w:abstractNumId w:val="9"/>
  </w:num>
  <w:num w:numId="9">
    <w:abstractNumId w:val="1"/>
  </w:num>
  <w:num w:numId="10">
    <w:abstractNumId w:val="4"/>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618F"/>
    <w:rsid w:val="000100CA"/>
    <w:rsid w:val="0001097D"/>
    <w:rsid w:val="00011B9E"/>
    <w:rsid w:val="00020051"/>
    <w:rsid w:val="00020651"/>
    <w:rsid w:val="000248DA"/>
    <w:rsid w:val="000300C9"/>
    <w:rsid w:val="00055D50"/>
    <w:rsid w:val="000737BA"/>
    <w:rsid w:val="00076B9C"/>
    <w:rsid w:val="00080062"/>
    <w:rsid w:val="00084CCA"/>
    <w:rsid w:val="00086255"/>
    <w:rsid w:val="000863C3"/>
    <w:rsid w:val="00087905"/>
    <w:rsid w:val="00093F8A"/>
    <w:rsid w:val="000941A1"/>
    <w:rsid w:val="000A17AE"/>
    <w:rsid w:val="000A429F"/>
    <w:rsid w:val="000A73DC"/>
    <w:rsid w:val="000C0C6A"/>
    <w:rsid w:val="000E27E7"/>
    <w:rsid w:val="000E58AE"/>
    <w:rsid w:val="0010071E"/>
    <w:rsid w:val="00102087"/>
    <w:rsid w:val="001078EE"/>
    <w:rsid w:val="001100CA"/>
    <w:rsid w:val="0011184E"/>
    <w:rsid w:val="001211DE"/>
    <w:rsid w:val="0012565A"/>
    <w:rsid w:val="00125A9D"/>
    <w:rsid w:val="00141342"/>
    <w:rsid w:val="001425D8"/>
    <w:rsid w:val="0014323F"/>
    <w:rsid w:val="00144EA1"/>
    <w:rsid w:val="00144F70"/>
    <w:rsid w:val="00147A14"/>
    <w:rsid w:val="00152268"/>
    <w:rsid w:val="00176971"/>
    <w:rsid w:val="00176BA6"/>
    <w:rsid w:val="00185032"/>
    <w:rsid w:val="0019563B"/>
    <w:rsid w:val="001B710E"/>
    <w:rsid w:val="001C247F"/>
    <w:rsid w:val="001C2546"/>
    <w:rsid w:val="001C693E"/>
    <w:rsid w:val="001C765A"/>
    <w:rsid w:val="001D293D"/>
    <w:rsid w:val="001D68B8"/>
    <w:rsid w:val="001D71E1"/>
    <w:rsid w:val="001E2C85"/>
    <w:rsid w:val="001E701C"/>
    <w:rsid w:val="001F16C0"/>
    <w:rsid w:val="00214412"/>
    <w:rsid w:val="00217790"/>
    <w:rsid w:val="00233F19"/>
    <w:rsid w:val="00234B1A"/>
    <w:rsid w:val="00251F94"/>
    <w:rsid w:val="002538CB"/>
    <w:rsid w:val="002560CD"/>
    <w:rsid w:val="00261F2A"/>
    <w:rsid w:val="002635EE"/>
    <w:rsid w:val="00271219"/>
    <w:rsid w:val="00282B05"/>
    <w:rsid w:val="00296687"/>
    <w:rsid w:val="00297858"/>
    <w:rsid w:val="002A08C5"/>
    <w:rsid w:val="002A6739"/>
    <w:rsid w:val="002B08D8"/>
    <w:rsid w:val="002B4881"/>
    <w:rsid w:val="002C37C8"/>
    <w:rsid w:val="002C55E8"/>
    <w:rsid w:val="002C58AB"/>
    <w:rsid w:val="002D0014"/>
    <w:rsid w:val="002E1BDE"/>
    <w:rsid w:val="002F1B10"/>
    <w:rsid w:val="002F4C4A"/>
    <w:rsid w:val="00305FAC"/>
    <w:rsid w:val="003207A2"/>
    <w:rsid w:val="00324581"/>
    <w:rsid w:val="00324B00"/>
    <w:rsid w:val="0032628F"/>
    <w:rsid w:val="003318A4"/>
    <w:rsid w:val="003348DB"/>
    <w:rsid w:val="0033525F"/>
    <w:rsid w:val="0035072F"/>
    <w:rsid w:val="00352B66"/>
    <w:rsid w:val="00360EDC"/>
    <w:rsid w:val="00361D9A"/>
    <w:rsid w:val="00363773"/>
    <w:rsid w:val="003675BE"/>
    <w:rsid w:val="00370426"/>
    <w:rsid w:val="00370520"/>
    <w:rsid w:val="00372D7B"/>
    <w:rsid w:val="00381B63"/>
    <w:rsid w:val="00385197"/>
    <w:rsid w:val="003927C8"/>
    <w:rsid w:val="00393427"/>
    <w:rsid w:val="003A0782"/>
    <w:rsid w:val="003A3DD6"/>
    <w:rsid w:val="003B3017"/>
    <w:rsid w:val="003B4387"/>
    <w:rsid w:val="003B5F05"/>
    <w:rsid w:val="003D4944"/>
    <w:rsid w:val="003D4CEA"/>
    <w:rsid w:val="003D7E0E"/>
    <w:rsid w:val="003E0C9C"/>
    <w:rsid w:val="003E1A50"/>
    <w:rsid w:val="003F7C08"/>
    <w:rsid w:val="00411F2E"/>
    <w:rsid w:val="004131EA"/>
    <w:rsid w:val="00416942"/>
    <w:rsid w:val="004331D1"/>
    <w:rsid w:val="00434F6E"/>
    <w:rsid w:val="004355ED"/>
    <w:rsid w:val="004557A1"/>
    <w:rsid w:val="00460D82"/>
    <w:rsid w:val="00464169"/>
    <w:rsid w:val="00484226"/>
    <w:rsid w:val="00484B49"/>
    <w:rsid w:val="00485037"/>
    <w:rsid w:val="00485D25"/>
    <w:rsid w:val="00491246"/>
    <w:rsid w:val="004957FF"/>
    <w:rsid w:val="0049602E"/>
    <w:rsid w:val="004A1BD7"/>
    <w:rsid w:val="004A2B3F"/>
    <w:rsid w:val="004A52EF"/>
    <w:rsid w:val="004A6D29"/>
    <w:rsid w:val="004A7C69"/>
    <w:rsid w:val="004B3888"/>
    <w:rsid w:val="004B3C55"/>
    <w:rsid w:val="004C13F6"/>
    <w:rsid w:val="004C4B6A"/>
    <w:rsid w:val="004C6670"/>
    <w:rsid w:val="004C7A30"/>
    <w:rsid w:val="004D1132"/>
    <w:rsid w:val="004D2E34"/>
    <w:rsid w:val="004D4DA3"/>
    <w:rsid w:val="004E15BE"/>
    <w:rsid w:val="004E6182"/>
    <w:rsid w:val="004E6906"/>
    <w:rsid w:val="00503FA9"/>
    <w:rsid w:val="0050619C"/>
    <w:rsid w:val="00522766"/>
    <w:rsid w:val="0052347E"/>
    <w:rsid w:val="0052446F"/>
    <w:rsid w:val="00542BC1"/>
    <w:rsid w:val="00543EB5"/>
    <w:rsid w:val="00546CFE"/>
    <w:rsid w:val="005508C8"/>
    <w:rsid w:val="0055427B"/>
    <w:rsid w:val="00555FA9"/>
    <w:rsid w:val="0057384E"/>
    <w:rsid w:val="00582217"/>
    <w:rsid w:val="0059366B"/>
    <w:rsid w:val="005974B5"/>
    <w:rsid w:val="005B4F5B"/>
    <w:rsid w:val="005B5298"/>
    <w:rsid w:val="005C0CBB"/>
    <w:rsid w:val="005C6A87"/>
    <w:rsid w:val="005F0956"/>
    <w:rsid w:val="005F1822"/>
    <w:rsid w:val="005F2070"/>
    <w:rsid w:val="005F5CB0"/>
    <w:rsid w:val="005F6FC0"/>
    <w:rsid w:val="005F7A5A"/>
    <w:rsid w:val="00602D69"/>
    <w:rsid w:val="00605C64"/>
    <w:rsid w:val="00612186"/>
    <w:rsid w:val="00641942"/>
    <w:rsid w:val="00654943"/>
    <w:rsid w:val="006605D8"/>
    <w:rsid w:val="006758FF"/>
    <w:rsid w:val="00683D37"/>
    <w:rsid w:val="00696EBE"/>
    <w:rsid w:val="006A1715"/>
    <w:rsid w:val="006B17C2"/>
    <w:rsid w:val="006C6A6F"/>
    <w:rsid w:val="006D4927"/>
    <w:rsid w:val="006D7A87"/>
    <w:rsid w:val="006E61AD"/>
    <w:rsid w:val="006F0E28"/>
    <w:rsid w:val="006F27D7"/>
    <w:rsid w:val="007029C1"/>
    <w:rsid w:val="00705F83"/>
    <w:rsid w:val="0070624E"/>
    <w:rsid w:val="00710D15"/>
    <w:rsid w:val="00712456"/>
    <w:rsid w:val="00713DD2"/>
    <w:rsid w:val="007176EC"/>
    <w:rsid w:val="007261EA"/>
    <w:rsid w:val="0072643E"/>
    <w:rsid w:val="0073018B"/>
    <w:rsid w:val="00731145"/>
    <w:rsid w:val="00740D0A"/>
    <w:rsid w:val="0075021F"/>
    <w:rsid w:val="007615CB"/>
    <w:rsid w:val="00761D17"/>
    <w:rsid w:val="00771E59"/>
    <w:rsid w:val="00784B46"/>
    <w:rsid w:val="00787CB9"/>
    <w:rsid w:val="00794087"/>
    <w:rsid w:val="007A2FCF"/>
    <w:rsid w:val="007A5967"/>
    <w:rsid w:val="007A614A"/>
    <w:rsid w:val="007D553A"/>
    <w:rsid w:val="007F2877"/>
    <w:rsid w:val="007F2F20"/>
    <w:rsid w:val="007F31F5"/>
    <w:rsid w:val="007F3C8E"/>
    <w:rsid w:val="007F6674"/>
    <w:rsid w:val="00800A92"/>
    <w:rsid w:val="00803D72"/>
    <w:rsid w:val="00806040"/>
    <w:rsid w:val="00811E84"/>
    <w:rsid w:val="008157B3"/>
    <w:rsid w:val="0082348C"/>
    <w:rsid w:val="00831B29"/>
    <w:rsid w:val="008330ED"/>
    <w:rsid w:val="00847BF2"/>
    <w:rsid w:val="00852208"/>
    <w:rsid w:val="00852A64"/>
    <w:rsid w:val="008703F5"/>
    <w:rsid w:val="00880E29"/>
    <w:rsid w:val="00883B63"/>
    <w:rsid w:val="00883DF9"/>
    <w:rsid w:val="00884B24"/>
    <w:rsid w:val="008A5F20"/>
    <w:rsid w:val="008B6BA1"/>
    <w:rsid w:val="008B73A0"/>
    <w:rsid w:val="008C156F"/>
    <w:rsid w:val="008C3C4B"/>
    <w:rsid w:val="008D1FD5"/>
    <w:rsid w:val="008D4FAA"/>
    <w:rsid w:val="008E3CF7"/>
    <w:rsid w:val="008E5D9D"/>
    <w:rsid w:val="008F0E62"/>
    <w:rsid w:val="008F1EAE"/>
    <w:rsid w:val="008F3E8A"/>
    <w:rsid w:val="008F7BEA"/>
    <w:rsid w:val="00902C9A"/>
    <w:rsid w:val="00904627"/>
    <w:rsid w:val="009055B5"/>
    <w:rsid w:val="009120CE"/>
    <w:rsid w:val="0091540F"/>
    <w:rsid w:val="00921EB9"/>
    <w:rsid w:val="00922045"/>
    <w:rsid w:val="00922F21"/>
    <w:rsid w:val="00924D3E"/>
    <w:rsid w:val="0093696E"/>
    <w:rsid w:val="00936F60"/>
    <w:rsid w:val="00960CE3"/>
    <w:rsid w:val="00964B83"/>
    <w:rsid w:val="009707CF"/>
    <w:rsid w:val="00977D6F"/>
    <w:rsid w:val="009864EF"/>
    <w:rsid w:val="009A116C"/>
    <w:rsid w:val="009B6DCE"/>
    <w:rsid w:val="009C0925"/>
    <w:rsid w:val="009C1B6C"/>
    <w:rsid w:val="009E001A"/>
    <w:rsid w:val="009E007F"/>
    <w:rsid w:val="009E17C0"/>
    <w:rsid w:val="009E28D5"/>
    <w:rsid w:val="00A005AA"/>
    <w:rsid w:val="00A02782"/>
    <w:rsid w:val="00A17CDA"/>
    <w:rsid w:val="00A34015"/>
    <w:rsid w:val="00A3640C"/>
    <w:rsid w:val="00A44614"/>
    <w:rsid w:val="00A45BE2"/>
    <w:rsid w:val="00A570DF"/>
    <w:rsid w:val="00A60DD6"/>
    <w:rsid w:val="00A62EB5"/>
    <w:rsid w:val="00A66C16"/>
    <w:rsid w:val="00A752BC"/>
    <w:rsid w:val="00A775EC"/>
    <w:rsid w:val="00A77C84"/>
    <w:rsid w:val="00A85EA0"/>
    <w:rsid w:val="00A96B39"/>
    <w:rsid w:val="00AA40E6"/>
    <w:rsid w:val="00AD294C"/>
    <w:rsid w:val="00AE4650"/>
    <w:rsid w:val="00B0641D"/>
    <w:rsid w:val="00B11A5D"/>
    <w:rsid w:val="00B15558"/>
    <w:rsid w:val="00B254DA"/>
    <w:rsid w:val="00B43A64"/>
    <w:rsid w:val="00B44538"/>
    <w:rsid w:val="00B4500F"/>
    <w:rsid w:val="00B602B4"/>
    <w:rsid w:val="00B6303B"/>
    <w:rsid w:val="00B66B4F"/>
    <w:rsid w:val="00B6741B"/>
    <w:rsid w:val="00B802FE"/>
    <w:rsid w:val="00B80EA6"/>
    <w:rsid w:val="00BA09A3"/>
    <w:rsid w:val="00BA204E"/>
    <w:rsid w:val="00BA2806"/>
    <w:rsid w:val="00BA409F"/>
    <w:rsid w:val="00BA415D"/>
    <w:rsid w:val="00BB0098"/>
    <w:rsid w:val="00BD1A51"/>
    <w:rsid w:val="00BD7932"/>
    <w:rsid w:val="00BF57CC"/>
    <w:rsid w:val="00BF620D"/>
    <w:rsid w:val="00BF6AD8"/>
    <w:rsid w:val="00C05822"/>
    <w:rsid w:val="00C112CD"/>
    <w:rsid w:val="00C12587"/>
    <w:rsid w:val="00C16ACF"/>
    <w:rsid w:val="00C17457"/>
    <w:rsid w:val="00C202F4"/>
    <w:rsid w:val="00C203B0"/>
    <w:rsid w:val="00C215C7"/>
    <w:rsid w:val="00C21B35"/>
    <w:rsid w:val="00C232F8"/>
    <w:rsid w:val="00C25A94"/>
    <w:rsid w:val="00C306F3"/>
    <w:rsid w:val="00C344AB"/>
    <w:rsid w:val="00C3594A"/>
    <w:rsid w:val="00C43845"/>
    <w:rsid w:val="00C52ECF"/>
    <w:rsid w:val="00C5680A"/>
    <w:rsid w:val="00C63339"/>
    <w:rsid w:val="00C64928"/>
    <w:rsid w:val="00C67864"/>
    <w:rsid w:val="00C85617"/>
    <w:rsid w:val="00C93259"/>
    <w:rsid w:val="00CA76FC"/>
    <w:rsid w:val="00CC2CC9"/>
    <w:rsid w:val="00CC4DF7"/>
    <w:rsid w:val="00CF174B"/>
    <w:rsid w:val="00CF3884"/>
    <w:rsid w:val="00D27D73"/>
    <w:rsid w:val="00D52267"/>
    <w:rsid w:val="00D56722"/>
    <w:rsid w:val="00D61CC2"/>
    <w:rsid w:val="00D627D4"/>
    <w:rsid w:val="00D65061"/>
    <w:rsid w:val="00D65627"/>
    <w:rsid w:val="00D74EE4"/>
    <w:rsid w:val="00D830CF"/>
    <w:rsid w:val="00D83600"/>
    <w:rsid w:val="00D854D3"/>
    <w:rsid w:val="00D8641C"/>
    <w:rsid w:val="00D874B1"/>
    <w:rsid w:val="00D964D8"/>
    <w:rsid w:val="00DA0590"/>
    <w:rsid w:val="00DA163A"/>
    <w:rsid w:val="00DA3831"/>
    <w:rsid w:val="00DA44FD"/>
    <w:rsid w:val="00DA4E66"/>
    <w:rsid w:val="00DB0A98"/>
    <w:rsid w:val="00DB1E58"/>
    <w:rsid w:val="00DC711F"/>
    <w:rsid w:val="00DD1B47"/>
    <w:rsid w:val="00DD35AC"/>
    <w:rsid w:val="00DD70DC"/>
    <w:rsid w:val="00DE5AA5"/>
    <w:rsid w:val="00DE5C21"/>
    <w:rsid w:val="00DF0FDF"/>
    <w:rsid w:val="00DF2650"/>
    <w:rsid w:val="00DF2962"/>
    <w:rsid w:val="00DF69EF"/>
    <w:rsid w:val="00E10E18"/>
    <w:rsid w:val="00E11D19"/>
    <w:rsid w:val="00E17C54"/>
    <w:rsid w:val="00E2078F"/>
    <w:rsid w:val="00E22DC6"/>
    <w:rsid w:val="00E273B9"/>
    <w:rsid w:val="00E273D1"/>
    <w:rsid w:val="00E32B41"/>
    <w:rsid w:val="00E34082"/>
    <w:rsid w:val="00E35645"/>
    <w:rsid w:val="00E401AE"/>
    <w:rsid w:val="00E50EE6"/>
    <w:rsid w:val="00E60DBC"/>
    <w:rsid w:val="00E64F9E"/>
    <w:rsid w:val="00E70DBB"/>
    <w:rsid w:val="00E71ADB"/>
    <w:rsid w:val="00E84262"/>
    <w:rsid w:val="00E86217"/>
    <w:rsid w:val="00E9203C"/>
    <w:rsid w:val="00E948E3"/>
    <w:rsid w:val="00E96D96"/>
    <w:rsid w:val="00EA2655"/>
    <w:rsid w:val="00EB43AD"/>
    <w:rsid w:val="00EC13BF"/>
    <w:rsid w:val="00EC472D"/>
    <w:rsid w:val="00ED0E79"/>
    <w:rsid w:val="00ED6B07"/>
    <w:rsid w:val="00EE5267"/>
    <w:rsid w:val="00EE5866"/>
    <w:rsid w:val="00EF6483"/>
    <w:rsid w:val="00F03013"/>
    <w:rsid w:val="00F039B5"/>
    <w:rsid w:val="00F04988"/>
    <w:rsid w:val="00F06535"/>
    <w:rsid w:val="00F07BDC"/>
    <w:rsid w:val="00F124B3"/>
    <w:rsid w:val="00F15608"/>
    <w:rsid w:val="00F2220E"/>
    <w:rsid w:val="00F2420F"/>
    <w:rsid w:val="00F27213"/>
    <w:rsid w:val="00F27EFB"/>
    <w:rsid w:val="00F30E2A"/>
    <w:rsid w:val="00F4614B"/>
    <w:rsid w:val="00F55366"/>
    <w:rsid w:val="00F57C02"/>
    <w:rsid w:val="00F65F76"/>
    <w:rsid w:val="00F728CC"/>
    <w:rsid w:val="00F735DE"/>
    <w:rsid w:val="00F74F43"/>
    <w:rsid w:val="00F76B6B"/>
    <w:rsid w:val="00F925BF"/>
    <w:rsid w:val="00F9432C"/>
    <w:rsid w:val="00F944B7"/>
    <w:rsid w:val="00F94811"/>
    <w:rsid w:val="00FA0830"/>
    <w:rsid w:val="00FA0A0E"/>
    <w:rsid w:val="00FB31E4"/>
    <w:rsid w:val="00FB7DD5"/>
    <w:rsid w:val="00FC240B"/>
    <w:rsid w:val="00FC392B"/>
    <w:rsid w:val="00FE253C"/>
    <w:rsid w:val="00FE40AA"/>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2</cp:revision>
  <cp:lastPrinted>2021-07-20T07:37:00Z</cp:lastPrinted>
  <dcterms:created xsi:type="dcterms:W3CDTF">2021-08-27T07:06:00Z</dcterms:created>
  <dcterms:modified xsi:type="dcterms:W3CDTF">2021-08-27T07:06:00Z</dcterms:modified>
</cp:coreProperties>
</file>