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31C" w:rsidRDefault="0025431C" w:rsidP="0025431C">
      <w:pPr>
        <w:spacing w:line="360" w:lineRule="auto"/>
        <w:jc w:val="both"/>
        <w:rPr>
          <w:b/>
          <w:sz w:val="22"/>
          <w:szCs w:val="22"/>
        </w:rPr>
      </w:pPr>
      <w:r>
        <w:rPr>
          <w:b/>
          <w:sz w:val="22"/>
          <w:szCs w:val="22"/>
        </w:rPr>
        <w:t>IN THE LABOUR COURT OF ZIMBABWE</w:t>
      </w:r>
      <w:r>
        <w:rPr>
          <w:b/>
          <w:sz w:val="22"/>
          <w:szCs w:val="22"/>
        </w:rPr>
        <w:tab/>
        <w:t xml:space="preserve">                 JUDGMENT NO. LC/H/</w:t>
      </w:r>
      <w:r w:rsidR="00F83A44">
        <w:rPr>
          <w:b/>
          <w:sz w:val="22"/>
          <w:szCs w:val="22"/>
        </w:rPr>
        <w:t>505</w:t>
      </w:r>
      <w:r>
        <w:rPr>
          <w:b/>
          <w:sz w:val="22"/>
          <w:szCs w:val="22"/>
        </w:rPr>
        <w:t>/2016</w:t>
      </w:r>
    </w:p>
    <w:p w:rsidR="0025431C" w:rsidRDefault="0025431C" w:rsidP="0025431C">
      <w:pPr>
        <w:spacing w:line="360" w:lineRule="auto"/>
        <w:jc w:val="both"/>
        <w:rPr>
          <w:b/>
          <w:sz w:val="22"/>
          <w:szCs w:val="22"/>
        </w:rPr>
      </w:pPr>
      <w:r>
        <w:rPr>
          <w:b/>
          <w:sz w:val="22"/>
          <w:szCs w:val="22"/>
        </w:rPr>
        <w:t>HARARE, 5 JULY 2016</w:t>
      </w:r>
      <w:r>
        <w:rPr>
          <w:b/>
          <w:sz w:val="22"/>
          <w:szCs w:val="22"/>
        </w:rPr>
        <w:tab/>
      </w:r>
      <w:r>
        <w:rPr>
          <w:b/>
          <w:sz w:val="22"/>
          <w:szCs w:val="22"/>
        </w:rPr>
        <w:tab/>
      </w:r>
      <w:r>
        <w:rPr>
          <w:b/>
          <w:sz w:val="22"/>
          <w:szCs w:val="22"/>
        </w:rPr>
        <w:tab/>
        <w:t xml:space="preserve">          </w:t>
      </w:r>
      <w:r>
        <w:rPr>
          <w:b/>
          <w:sz w:val="22"/>
          <w:szCs w:val="22"/>
        </w:rPr>
        <w:tab/>
        <w:t xml:space="preserve">       CASE NO. LC/H/APP/1365/15</w:t>
      </w:r>
    </w:p>
    <w:p w:rsidR="0025431C" w:rsidRDefault="0025431C" w:rsidP="0025431C">
      <w:pPr>
        <w:spacing w:line="360" w:lineRule="auto"/>
        <w:jc w:val="both"/>
        <w:rPr>
          <w:b/>
          <w:sz w:val="22"/>
          <w:szCs w:val="22"/>
        </w:rPr>
      </w:pPr>
      <w:r>
        <w:rPr>
          <w:b/>
          <w:sz w:val="22"/>
          <w:szCs w:val="22"/>
        </w:rPr>
        <w:t xml:space="preserve">AND </w:t>
      </w:r>
      <w:r w:rsidR="00F83A44">
        <w:rPr>
          <w:b/>
          <w:sz w:val="22"/>
          <w:szCs w:val="22"/>
        </w:rPr>
        <w:t xml:space="preserve">9 SEPTEMBER </w:t>
      </w:r>
      <w:bookmarkStart w:id="0" w:name="_GoBack"/>
      <w:bookmarkEnd w:id="0"/>
      <w:r>
        <w:rPr>
          <w:b/>
          <w:sz w:val="22"/>
          <w:szCs w:val="22"/>
        </w:rPr>
        <w:t>2016</w:t>
      </w:r>
    </w:p>
    <w:p w:rsidR="0025431C" w:rsidRDefault="0025431C" w:rsidP="0025431C">
      <w:pPr>
        <w:spacing w:line="360" w:lineRule="auto"/>
        <w:jc w:val="both"/>
      </w:pPr>
      <w:r>
        <w:t>In the matter between:-</w:t>
      </w:r>
    </w:p>
    <w:p w:rsidR="0025431C" w:rsidRDefault="0025431C" w:rsidP="0025431C">
      <w:pPr>
        <w:spacing w:line="360" w:lineRule="auto"/>
        <w:jc w:val="both"/>
      </w:pPr>
    </w:p>
    <w:p w:rsidR="0025431C" w:rsidRDefault="00181B69" w:rsidP="0025431C">
      <w:pPr>
        <w:spacing w:line="360" w:lineRule="auto"/>
        <w:jc w:val="both"/>
        <w:rPr>
          <w:b/>
        </w:rPr>
      </w:pPr>
      <w:r>
        <w:rPr>
          <w:b/>
        </w:rPr>
        <w:t>SHAISANO ZHANGARE &amp; 12 OTH</w:t>
      </w:r>
      <w:r w:rsidR="008175C6">
        <w:rPr>
          <w:b/>
        </w:rPr>
        <w:t>ER</w:t>
      </w:r>
      <w:r>
        <w:rPr>
          <w:b/>
        </w:rPr>
        <w:t>S</w:t>
      </w:r>
      <w:r>
        <w:rPr>
          <w:b/>
        </w:rPr>
        <w:tab/>
      </w:r>
      <w:r>
        <w:rPr>
          <w:b/>
        </w:rPr>
        <w:tab/>
      </w:r>
      <w:r>
        <w:rPr>
          <w:b/>
        </w:rPr>
        <w:tab/>
      </w:r>
      <w:r>
        <w:rPr>
          <w:b/>
        </w:rPr>
        <w:tab/>
      </w:r>
      <w:r w:rsidR="0025431C">
        <w:rPr>
          <w:b/>
        </w:rPr>
        <w:t>Applicant</w:t>
      </w:r>
      <w:r w:rsidR="006430DA">
        <w:rPr>
          <w:b/>
        </w:rPr>
        <w:t>s</w:t>
      </w:r>
      <w:r w:rsidR="0025431C">
        <w:rPr>
          <w:b/>
        </w:rPr>
        <w:t xml:space="preserve"> </w:t>
      </w:r>
    </w:p>
    <w:p w:rsidR="0025431C" w:rsidRDefault="0025431C" w:rsidP="0025431C">
      <w:pPr>
        <w:spacing w:line="360" w:lineRule="auto"/>
        <w:jc w:val="both"/>
        <w:rPr>
          <w:sz w:val="22"/>
          <w:szCs w:val="22"/>
        </w:rPr>
      </w:pPr>
      <w:r>
        <w:rPr>
          <w:sz w:val="22"/>
          <w:szCs w:val="22"/>
        </w:rPr>
        <w:t>And</w:t>
      </w:r>
    </w:p>
    <w:p w:rsidR="0025431C" w:rsidRDefault="00181B69" w:rsidP="0025431C">
      <w:pPr>
        <w:spacing w:line="360" w:lineRule="auto"/>
        <w:jc w:val="both"/>
        <w:rPr>
          <w:b/>
        </w:rPr>
      </w:pPr>
      <w:proofErr w:type="gramStart"/>
      <w:r>
        <w:rPr>
          <w:b/>
        </w:rPr>
        <w:t>APPEALS CHAIRMAN N.O.</w:t>
      </w:r>
      <w:proofErr w:type="gramEnd"/>
      <w:r>
        <w:rPr>
          <w:b/>
        </w:rPr>
        <w:tab/>
      </w:r>
      <w:r w:rsidR="008175C6">
        <w:rPr>
          <w:b/>
        </w:rPr>
        <w:tab/>
      </w:r>
      <w:r>
        <w:rPr>
          <w:b/>
        </w:rPr>
        <w:tab/>
      </w:r>
      <w:r>
        <w:rPr>
          <w:b/>
        </w:rPr>
        <w:tab/>
      </w:r>
      <w:r>
        <w:rPr>
          <w:b/>
        </w:rPr>
        <w:tab/>
      </w:r>
      <w:r>
        <w:rPr>
          <w:b/>
        </w:rPr>
        <w:tab/>
      </w:r>
      <w:r w:rsidR="0025431C">
        <w:rPr>
          <w:b/>
        </w:rPr>
        <w:t>Respondent</w:t>
      </w:r>
      <w:r>
        <w:rPr>
          <w:b/>
        </w:rPr>
        <w:t>s</w:t>
      </w:r>
    </w:p>
    <w:p w:rsidR="00181B69" w:rsidRDefault="00181B69" w:rsidP="0025431C">
      <w:pPr>
        <w:spacing w:line="360" w:lineRule="auto"/>
        <w:jc w:val="both"/>
        <w:rPr>
          <w:b/>
        </w:rPr>
      </w:pPr>
      <w:r>
        <w:rPr>
          <w:b/>
        </w:rPr>
        <w:t>FREDA REBECCA GOLD MINE LTD &amp; ANOR</w:t>
      </w:r>
      <w:r>
        <w:rPr>
          <w:b/>
        </w:rPr>
        <w:tab/>
      </w:r>
    </w:p>
    <w:p w:rsidR="0025431C" w:rsidRDefault="0025431C" w:rsidP="0025431C">
      <w:pPr>
        <w:spacing w:line="360" w:lineRule="auto"/>
        <w:jc w:val="both"/>
        <w:rPr>
          <w:b/>
        </w:rPr>
      </w:pPr>
    </w:p>
    <w:p w:rsidR="0025431C" w:rsidRDefault="0025431C" w:rsidP="0025431C">
      <w:pPr>
        <w:spacing w:line="360" w:lineRule="auto"/>
        <w:jc w:val="both"/>
      </w:pPr>
      <w:r>
        <w:t>Before The Honourable F.C. Maxwell, Judge</w:t>
      </w:r>
    </w:p>
    <w:p w:rsidR="0025431C" w:rsidRDefault="0025431C" w:rsidP="0025431C">
      <w:pPr>
        <w:spacing w:line="360" w:lineRule="auto"/>
        <w:jc w:val="both"/>
      </w:pPr>
    </w:p>
    <w:p w:rsidR="0025431C" w:rsidRDefault="0025431C" w:rsidP="0025431C">
      <w:pPr>
        <w:spacing w:line="360" w:lineRule="auto"/>
        <w:jc w:val="both"/>
        <w:rPr>
          <w:b/>
        </w:rPr>
      </w:pPr>
      <w:r>
        <w:rPr>
          <w:b/>
        </w:rPr>
        <w:t>For Applicant</w:t>
      </w:r>
      <w:r w:rsidR="006430DA">
        <w:rPr>
          <w:b/>
        </w:rPr>
        <w:t>s</w:t>
      </w:r>
      <w:r w:rsidR="00D74462">
        <w:rPr>
          <w:b/>
        </w:rPr>
        <w:tab/>
      </w:r>
      <w:r w:rsidR="00D74462">
        <w:rPr>
          <w:b/>
        </w:rPr>
        <w:tab/>
        <w:t>Mr J.Bamu (Legal Practitioner)</w:t>
      </w:r>
      <w:r>
        <w:rPr>
          <w:b/>
        </w:rPr>
        <w:tab/>
      </w:r>
      <w:r>
        <w:rPr>
          <w:b/>
        </w:rPr>
        <w:tab/>
      </w:r>
      <w:r>
        <w:rPr>
          <w:b/>
        </w:rPr>
        <w:tab/>
      </w:r>
    </w:p>
    <w:p w:rsidR="0025431C" w:rsidRDefault="0025431C" w:rsidP="0025431C">
      <w:pPr>
        <w:spacing w:line="360" w:lineRule="auto"/>
        <w:jc w:val="both"/>
        <w:rPr>
          <w:b/>
        </w:rPr>
      </w:pPr>
      <w:r>
        <w:rPr>
          <w:b/>
        </w:rPr>
        <w:t>For Respondent</w:t>
      </w:r>
      <w:r w:rsidR="00D74462">
        <w:rPr>
          <w:b/>
        </w:rPr>
        <w:t>s</w:t>
      </w:r>
      <w:r>
        <w:rPr>
          <w:b/>
        </w:rPr>
        <w:tab/>
      </w:r>
      <w:r w:rsidR="00D74462">
        <w:rPr>
          <w:b/>
        </w:rPr>
        <w:tab/>
        <w:t xml:space="preserve">Mr C. </w:t>
      </w:r>
      <w:r w:rsidR="00BA3992">
        <w:rPr>
          <w:b/>
        </w:rPr>
        <w:t>Kwirira (Legal Practitioner)</w:t>
      </w:r>
      <w:r>
        <w:rPr>
          <w:b/>
        </w:rPr>
        <w:tab/>
      </w:r>
    </w:p>
    <w:p w:rsidR="0025431C" w:rsidRDefault="0025431C" w:rsidP="0025431C">
      <w:pPr>
        <w:spacing w:line="360" w:lineRule="auto"/>
        <w:jc w:val="both"/>
        <w:rPr>
          <w:b/>
          <w:sz w:val="28"/>
          <w:szCs w:val="28"/>
        </w:rPr>
      </w:pPr>
    </w:p>
    <w:p w:rsidR="0025431C" w:rsidRDefault="0025431C" w:rsidP="0025431C">
      <w:pPr>
        <w:rPr>
          <w:b/>
        </w:rPr>
      </w:pPr>
      <w:r>
        <w:rPr>
          <w:b/>
        </w:rPr>
        <w:t>MAXWELL, J</w:t>
      </w:r>
    </w:p>
    <w:p w:rsidR="00300925" w:rsidRDefault="00300925" w:rsidP="009A61A8">
      <w:pPr>
        <w:jc w:val="both"/>
      </w:pPr>
    </w:p>
    <w:p w:rsidR="009A61A8" w:rsidRDefault="009A61A8" w:rsidP="009A61A8">
      <w:pPr>
        <w:spacing w:line="360" w:lineRule="auto"/>
        <w:jc w:val="both"/>
      </w:pPr>
    </w:p>
    <w:p w:rsidR="009A61A8" w:rsidRDefault="007835CE" w:rsidP="007835CE">
      <w:pPr>
        <w:spacing w:line="360" w:lineRule="auto"/>
        <w:ind w:firstLine="720"/>
        <w:jc w:val="both"/>
      </w:pPr>
      <w:r>
        <w:t xml:space="preserve">At the hearing of this matter respondents raised a number of points </w:t>
      </w:r>
      <w:r w:rsidRPr="006430DA">
        <w:rPr>
          <w:i/>
        </w:rPr>
        <w:t>in limine</w:t>
      </w:r>
      <w:r>
        <w:t xml:space="preserve"> which are the subject of this judgment.</w:t>
      </w:r>
    </w:p>
    <w:p w:rsidR="00042483" w:rsidRDefault="00042483" w:rsidP="000042F9">
      <w:pPr>
        <w:ind w:firstLine="720"/>
        <w:jc w:val="both"/>
      </w:pPr>
    </w:p>
    <w:p w:rsidR="00042483" w:rsidRDefault="00042483" w:rsidP="007835CE">
      <w:pPr>
        <w:spacing w:line="360" w:lineRule="auto"/>
        <w:ind w:firstLine="720"/>
        <w:jc w:val="both"/>
      </w:pPr>
      <w:r>
        <w:t>On 12 November 2015 applicants filed an application for condonation for late filing of an application for review.  The founding affidavit was deposed to by 1</w:t>
      </w:r>
      <w:r w:rsidRPr="00042483">
        <w:rPr>
          <w:vertAlign w:val="superscript"/>
        </w:rPr>
        <w:t>st</w:t>
      </w:r>
      <w:r>
        <w:t xml:space="preserve"> applicant.  </w:t>
      </w:r>
      <w:r w:rsidR="0030256F">
        <w:t xml:space="preserve">11 </w:t>
      </w:r>
      <w:r w:rsidR="00BF2F2B">
        <w:t xml:space="preserve">affidavits were filed in support of the founding affidavit.  Applicants place the blame for not complying with the rules of Court </w:t>
      </w:r>
      <w:r w:rsidR="00F00C91">
        <w:t xml:space="preserve">on their erstwhile legal practitioner </w:t>
      </w:r>
      <w:r w:rsidR="00DA3CAE">
        <w:t>who</w:t>
      </w:r>
      <w:r w:rsidR="00F00C91">
        <w:t xml:space="preserve"> renounced agency.  On 25 November 2015 respondents filed their notice of opposition.  They raised a point </w:t>
      </w:r>
      <w:r w:rsidR="00F00C91" w:rsidRPr="00951890">
        <w:rPr>
          <w:i/>
        </w:rPr>
        <w:t>in limine</w:t>
      </w:r>
      <w:r w:rsidR="00F00C91">
        <w:t xml:space="preserve"> that first respondent was improperly cited as there is no office of an </w:t>
      </w:r>
      <w:r w:rsidR="008E0163">
        <w:t>appeals c</w:t>
      </w:r>
      <w:r w:rsidR="00941096">
        <w:t>hairman at the 2</w:t>
      </w:r>
      <w:r w:rsidR="00941096" w:rsidRPr="00941096">
        <w:rPr>
          <w:vertAlign w:val="superscript"/>
        </w:rPr>
        <w:t>nd</w:t>
      </w:r>
      <w:r w:rsidR="008E0163">
        <w:t xml:space="preserve"> Respondent.  An appeals c</w:t>
      </w:r>
      <w:r w:rsidR="00941096">
        <w:t xml:space="preserve">ommittee is appointed on an </w:t>
      </w:r>
      <w:r w:rsidR="00941096" w:rsidRPr="00941096">
        <w:rPr>
          <w:i/>
        </w:rPr>
        <w:t>ad hoc</w:t>
      </w:r>
      <w:r w:rsidR="00941096">
        <w:t xml:space="preserve"> basis as and when the need arises therefore applicants ought to have cited the actual </w:t>
      </w:r>
      <w:r w:rsidR="006430DA">
        <w:t>person who</w:t>
      </w:r>
      <w:r w:rsidR="008E0163">
        <w:t xml:space="preserve"> acted as the appeals </w:t>
      </w:r>
      <w:r w:rsidR="00802AF1">
        <w:t>chairman</w:t>
      </w:r>
      <w:r w:rsidR="00CC7B0C">
        <w:t>.  On the merits of the application, respondents averred that the explanation given for the delay is not reasonable.</w:t>
      </w:r>
    </w:p>
    <w:p w:rsidR="00B252D6" w:rsidRDefault="00B252D6" w:rsidP="007835CE">
      <w:pPr>
        <w:spacing w:line="360" w:lineRule="auto"/>
        <w:ind w:firstLine="720"/>
        <w:jc w:val="both"/>
      </w:pPr>
    </w:p>
    <w:p w:rsidR="00B252D6" w:rsidRDefault="00B252D6" w:rsidP="00B252D6">
      <w:pPr>
        <w:spacing w:line="360" w:lineRule="auto"/>
        <w:jc w:val="both"/>
      </w:pPr>
      <w:r>
        <w:lastRenderedPageBreak/>
        <w:tab/>
        <w:t xml:space="preserve">On 21 June 2016 parties appeared before me for arguing the merits of the matter.  Respondent’s Counsel persisted with the point </w:t>
      </w:r>
      <w:r w:rsidRPr="00E904FB">
        <w:rPr>
          <w:i/>
        </w:rPr>
        <w:t>in limine</w:t>
      </w:r>
      <w:r>
        <w:t xml:space="preserve"> and </w:t>
      </w:r>
      <w:r w:rsidR="00E904FB">
        <w:t xml:space="preserve">added some more points which show that Counsel for applicants did not </w:t>
      </w:r>
      <w:r w:rsidR="004B7545">
        <w:tab/>
      </w:r>
      <w:r w:rsidR="001655C1">
        <w:t>pay much attention in the preparation of the papers filed of record.  The following issues were pointed out by respondent’s counsel;</w:t>
      </w:r>
    </w:p>
    <w:p w:rsidR="00D30A50" w:rsidRDefault="00D30A50" w:rsidP="000042F9">
      <w:pPr>
        <w:jc w:val="both"/>
      </w:pPr>
    </w:p>
    <w:p w:rsidR="00D30A50" w:rsidRDefault="00D30A50" w:rsidP="00D30A50">
      <w:pPr>
        <w:pStyle w:val="ListParagraph"/>
        <w:numPr>
          <w:ilvl w:val="0"/>
          <w:numId w:val="1"/>
        </w:numPr>
        <w:spacing w:line="360" w:lineRule="auto"/>
        <w:jc w:val="both"/>
      </w:pPr>
      <w:r>
        <w:t>Applicants ought to have cited the Appeals Chairman by name.</w:t>
      </w:r>
    </w:p>
    <w:p w:rsidR="00D30A50" w:rsidRDefault="00D30A50" w:rsidP="00D30A50">
      <w:pPr>
        <w:pStyle w:val="ListParagraph"/>
        <w:numPr>
          <w:ilvl w:val="0"/>
          <w:numId w:val="1"/>
        </w:numPr>
        <w:spacing w:line="360" w:lineRule="auto"/>
        <w:jc w:val="both"/>
      </w:pPr>
      <w:r>
        <w:t xml:space="preserve">12 affidavits are filed of record yet the citation is </w:t>
      </w:r>
      <w:r w:rsidR="00337947">
        <w:t>“</w:t>
      </w:r>
      <w:r w:rsidR="00337947" w:rsidRPr="00DC37DF">
        <w:rPr>
          <w:i/>
        </w:rPr>
        <w:t>Zhangare and 12 Others</w:t>
      </w:r>
      <w:r w:rsidR="00337947">
        <w:t>” therefore there are supposed to be 13 applicants.</w:t>
      </w:r>
    </w:p>
    <w:p w:rsidR="006C7366" w:rsidRDefault="001242F5" w:rsidP="00337947">
      <w:pPr>
        <w:pStyle w:val="ListParagraph"/>
        <w:numPr>
          <w:ilvl w:val="0"/>
          <w:numId w:val="2"/>
        </w:numPr>
        <w:spacing w:line="360" w:lineRule="auto"/>
        <w:jc w:val="both"/>
      </w:pPr>
      <w:r>
        <w:t>Thomas</w:t>
      </w:r>
      <w:r w:rsidR="00337947">
        <w:t xml:space="preserve"> Mapanzure is </w:t>
      </w:r>
      <w:r>
        <w:t>listed</w:t>
      </w:r>
      <w:r w:rsidR="00337947">
        <w:t xml:space="preserve"> as the 12</w:t>
      </w:r>
      <w:r w:rsidR="00337947" w:rsidRPr="00337947">
        <w:rPr>
          <w:vertAlign w:val="superscript"/>
        </w:rPr>
        <w:t>th</w:t>
      </w:r>
      <w:r w:rsidR="00337947">
        <w:t xml:space="preserve"> applica</w:t>
      </w:r>
      <w:r>
        <w:t>n</w:t>
      </w:r>
      <w:r w:rsidR="00337947">
        <w:t>t</w:t>
      </w:r>
      <w:r w:rsidR="0030256F">
        <w:t xml:space="preserve"> but he did not depose to a</w:t>
      </w:r>
      <w:r w:rsidR="006C7366">
        <w:t xml:space="preserve"> supporting affidavit.</w:t>
      </w:r>
    </w:p>
    <w:p w:rsidR="006C7366" w:rsidRDefault="006C7366" w:rsidP="00337947">
      <w:pPr>
        <w:pStyle w:val="ListParagraph"/>
        <w:numPr>
          <w:ilvl w:val="0"/>
          <w:numId w:val="2"/>
        </w:numPr>
        <w:spacing w:line="360" w:lineRule="auto"/>
        <w:jc w:val="both"/>
      </w:pPr>
      <w:r>
        <w:t>Ronnie Ndlovu is the 4</w:t>
      </w:r>
      <w:r w:rsidRPr="006C7366">
        <w:rPr>
          <w:vertAlign w:val="superscript"/>
        </w:rPr>
        <w:t>th</w:t>
      </w:r>
      <w:r>
        <w:t xml:space="preserve"> applicant.  The rest of the applicants state in their supporting affidavits that they are </w:t>
      </w:r>
      <w:r w:rsidR="004B2AA7">
        <w:t>the</w:t>
      </w:r>
      <w:r>
        <w:t xml:space="preserve"> 4</w:t>
      </w:r>
      <w:r w:rsidRPr="006C7366">
        <w:rPr>
          <w:vertAlign w:val="superscript"/>
        </w:rPr>
        <w:t>th</w:t>
      </w:r>
      <w:r>
        <w:t xml:space="preserve"> applicants.</w:t>
      </w:r>
    </w:p>
    <w:p w:rsidR="00337947" w:rsidRDefault="00A32705" w:rsidP="00337947">
      <w:pPr>
        <w:pStyle w:val="ListParagraph"/>
        <w:numPr>
          <w:ilvl w:val="0"/>
          <w:numId w:val="2"/>
        </w:numPr>
        <w:spacing w:line="360" w:lineRule="auto"/>
        <w:jc w:val="both"/>
      </w:pPr>
      <w:r>
        <w:t>The citation has “Lazarus” as the 13</w:t>
      </w:r>
      <w:r w:rsidRPr="00A32705">
        <w:rPr>
          <w:vertAlign w:val="superscript"/>
        </w:rPr>
        <w:t>th</w:t>
      </w:r>
      <w:r>
        <w:t xml:space="preserve"> applicant.  There is a</w:t>
      </w:r>
      <w:r w:rsidR="0030256F">
        <w:t xml:space="preserve"> </w:t>
      </w:r>
      <w:r w:rsidR="008D1CE7">
        <w:t xml:space="preserve">supporting affidavit by </w:t>
      </w:r>
      <w:r w:rsidR="0000791F">
        <w:t>Lazarus Chatamuka.  One is left to assume that “Lazarus”</w:t>
      </w:r>
      <w:r w:rsidR="003B3F08">
        <w:t xml:space="preserve"> </w:t>
      </w:r>
      <w:r w:rsidR="0000791F">
        <w:t xml:space="preserve">is the same as Lazarus </w:t>
      </w:r>
      <w:r w:rsidR="003B3F08">
        <w:t>Chatamuka.  At law there is no basis to assume that it is one</w:t>
      </w:r>
      <w:r w:rsidR="00A54E75">
        <w:t xml:space="preserve"> and the same person</w:t>
      </w:r>
      <w:r w:rsidR="001647C7">
        <w:t>.</w:t>
      </w:r>
    </w:p>
    <w:p w:rsidR="001647C7" w:rsidRDefault="001647C7" w:rsidP="001647C7">
      <w:pPr>
        <w:pStyle w:val="ListParagraph"/>
        <w:numPr>
          <w:ilvl w:val="0"/>
          <w:numId w:val="1"/>
        </w:numPr>
        <w:spacing w:line="360" w:lineRule="auto"/>
        <w:jc w:val="both"/>
      </w:pPr>
      <w:r>
        <w:t>Applicants cannot seek to derive benefit from proceedings that they were not party to.</w:t>
      </w:r>
    </w:p>
    <w:p w:rsidR="001647C7" w:rsidRDefault="004C3E78" w:rsidP="001647C7">
      <w:pPr>
        <w:pStyle w:val="ListParagraph"/>
        <w:numPr>
          <w:ilvl w:val="0"/>
          <w:numId w:val="3"/>
        </w:numPr>
        <w:spacing w:line="360" w:lineRule="auto"/>
        <w:jc w:val="both"/>
      </w:pPr>
      <w:r>
        <w:t>Applicant</w:t>
      </w:r>
      <w:r w:rsidR="00DB026E">
        <w:t>s seek to rely on an award by M.C</w:t>
      </w:r>
      <w:r w:rsidR="006C6A2A">
        <w:t>.</w:t>
      </w:r>
      <w:r>
        <w:t xml:space="preserve"> </w:t>
      </w:r>
      <w:proofErr w:type="spellStart"/>
      <w:r>
        <w:t>Kare</w:t>
      </w:r>
      <w:proofErr w:type="spellEnd"/>
      <w:r>
        <w:t xml:space="preserve">.  The award involved the second respondent and the Association of Mine Workers Union (AMUZ).  </w:t>
      </w:r>
      <w:r w:rsidR="00F00CB0">
        <w:t>Non</w:t>
      </w:r>
      <w:r w:rsidR="006D4C2A">
        <w:t>e of applicants is cited as a pa</w:t>
      </w:r>
      <w:r w:rsidR="00F00CB0">
        <w:t>rty to the proceedings before M.C</w:t>
      </w:r>
      <w:r w:rsidR="006C6A2A">
        <w:t>.</w:t>
      </w:r>
      <w:r w:rsidR="006D4C2A">
        <w:t xml:space="preserve"> </w:t>
      </w:r>
      <w:proofErr w:type="spellStart"/>
      <w:r w:rsidR="006D4C2A">
        <w:t>Kare</w:t>
      </w:r>
      <w:proofErr w:type="spellEnd"/>
      <w:r w:rsidR="006D4C2A">
        <w:t>.</w:t>
      </w:r>
    </w:p>
    <w:p w:rsidR="006D4C2A" w:rsidRDefault="006D4C2A" w:rsidP="001647C7">
      <w:pPr>
        <w:pStyle w:val="ListParagraph"/>
        <w:numPr>
          <w:ilvl w:val="0"/>
          <w:numId w:val="3"/>
        </w:numPr>
        <w:spacing w:line="360" w:lineRule="auto"/>
        <w:jc w:val="both"/>
      </w:pPr>
      <w:r>
        <w:t>Applicants seek to rely on LC/H/329</w:t>
      </w:r>
      <w:r w:rsidR="00F66198">
        <w:t>/10 which involved 2</w:t>
      </w:r>
      <w:r w:rsidR="00F66198" w:rsidRPr="00F66198">
        <w:rPr>
          <w:vertAlign w:val="superscript"/>
        </w:rPr>
        <w:t>nd</w:t>
      </w:r>
      <w:r w:rsidR="00F66198">
        <w:t xml:space="preserve"> respondent and AMUZ.  Again none of them is cited as a party to these proceedings.</w:t>
      </w:r>
    </w:p>
    <w:p w:rsidR="00F66198" w:rsidRDefault="00F66198" w:rsidP="001647C7">
      <w:pPr>
        <w:pStyle w:val="ListParagraph"/>
        <w:numPr>
          <w:ilvl w:val="0"/>
          <w:numId w:val="3"/>
        </w:numPr>
        <w:spacing w:line="360" w:lineRule="auto"/>
        <w:jc w:val="both"/>
      </w:pPr>
      <w:r>
        <w:t>Interdict LC/H/ORD/H/106/11</w:t>
      </w:r>
      <w:r w:rsidR="00C450C8">
        <w:t xml:space="preserve"> involved Jucha Mwanza and 21 Others.  There is no proof that apart from Jucha Mwanza, the Other applicants were party to those proceedings.</w:t>
      </w:r>
    </w:p>
    <w:p w:rsidR="006F582C" w:rsidRDefault="006F582C" w:rsidP="000042F9">
      <w:pPr>
        <w:jc w:val="both"/>
      </w:pPr>
    </w:p>
    <w:p w:rsidR="006F582C" w:rsidRDefault="006F582C" w:rsidP="00E82F25">
      <w:pPr>
        <w:spacing w:line="360" w:lineRule="auto"/>
        <w:ind w:firstLine="720"/>
        <w:jc w:val="both"/>
      </w:pPr>
      <w:r>
        <w:t>Counsel for respond</w:t>
      </w:r>
      <w:r w:rsidR="00F00CB0">
        <w:t>ents submitted that the applica</w:t>
      </w:r>
      <w:r>
        <w:t>t</w:t>
      </w:r>
      <w:r w:rsidR="00F00CB0">
        <w:t>ion</w:t>
      </w:r>
      <w:r>
        <w:t xml:space="preserve"> should be dismissed as it is incurably bad at law.  </w:t>
      </w:r>
      <w:r w:rsidR="00861142">
        <w:t>Counsel</w:t>
      </w:r>
      <w:r>
        <w:t xml:space="preserve"> for applicants protested that he had not been given n</w:t>
      </w:r>
      <w:r w:rsidR="00511866">
        <w:t>otice of the objections raised except the first one.  He needed time to prepare</w:t>
      </w:r>
      <w:r w:rsidR="00097226">
        <w:t xml:space="preserve"> </w:t>
      </w:r>
      <w:r w:rsidR="008461F9">
        <w:t>the response.  The matter was therefore postponed to 5 July 2016.  The following was his response to the preliminary issues.</w:t>
      </w:r>
    </w:p>
    <w:p w:rsidR="008461F9" w:rsidRDefault="008461F9" w:rsidP="00C87B5C">
      <w:pPr>
        <w:jc w:val="both"/>
      </w:pPr>
    </w:p>
    <w:p w:rsidR="00982B4C" w:rsidRDefault="008461F9" w:rsidP="00982B4C">
      <w:pPr>
        <w:pStyle w:val="ListParagraph"/>
        <w:numPr>
          <w:ilvl w:val="0"/>
          <w:numId w:val="4"/>
        </w:numPr>
        <w:spacing w:line="360" w:lineRule="auto"/>
        <w:jc w:val="both"/>
      </w:pPr>
      <w:r>
        <w:t xml:space="preserve">Order 33 </w:t>
      </w:r>
      <w:proofErr w:type="gramStart"/>
      <w:r>
        <w:t>rule</w:t>
      </w:r>
      <w:proofErr w:type="gramEnd"/>
      <w:r>
        <w:t xml:space="preserve"> 256 of the High Court rules</w:t>
      </w:r>
      <w:r w:rsidR="00E82F25">
        <w:t>,</w:t>
      </w:r>
      <w:r>
        <w:t xml:space="preserve"> 1971</w:t>
      </w:r>
      <w:r w:rsidR="00B411A7">
        <w:t>, i</w:t>
      </w:r>
      <w:r w:rsidR="00E82F25">
        <w:t>s applicable to these proceedings.  Failure to mention 1</w:t>
      </w:r>
      <w:r w:rsidR="00E82F25" w:rsidRPr="00E82F25">
        <w:rPr>
          <w:vertAlign w:val="superscript"/>
        </w:rPr>
        <w:t>st</w:t>
      </w:r>
      <w:r w:rsidR="00E82F25">
        <w:t xml:space="preserve"> respondent by name is immaterial as what is required is </w:t>
      </w:r>
      <w:r w:rsidR="00DC37DF">
        <w:t>that</w:t>
      </w:r>
      <w:r w:rsidR="00E82F25">
        <w:t xml:space="preserve"> a copy of the application be delivered or directed to the presiding officer, chairman of the court</w:t>
      </w:r>
      <w:r w:rsidR="00982B4C">
        <w:t>, tribunal or board as the case may be.</w:t>
      </w:r>
    </w:p>
    <w:p w:rsidR="00982B4C" w:rsidRDefault="00982B4C" w:rsidP="00C87B5C">
      <w:pPr>
        <w:pStyle w:val="ListParagraph"/>
        <w:jc w:val="both"/>
      </w:pPr>
    </w:p>
    <w:p w:rsidR="00982B4C" w:rsidRDefault="00982B4C" w:rsidP="00982B4C">
      <w:pPr>
        <w:pStyle w:val="ListParagraph"/>
        <w:numPr>
          <w:ilvl w:val="0"/>
          <w:numId w:val="4"/>
        </w:numPr>
        <w:spacing w:line="360" w:lineRule="auto"/>
        <w:jc w:val="both"/>
      </w:pPr>
      <w:r>
        <w:t>On the issue of the supporting affidavits, no prejudice would be suffered by respondent if the position of each of the deponents is clarified.  Rule 24 of the Labour Court rules allows a judge to request for a written notice clar</w:t>
      </w:r>
      <w:r w:rsidR="000C6F5F">
        <w:t>ifying or amplifying any statement contained in notice of application lodged by such party.</w:t>
      </w:r>
    </w:p>
    <w:p w:rsidR="00F47FC5" w:rsidRDefault="00F47FC5" w:rsidP="00F47FC5">
      <w:pPr>
        <w:pStyle w:val="ListParagraph"/>
      </w:pPr>
    </w:p>
    <w:p w:rsidR="00611EFB" w:rsidRDefault="00F47FC5" w:rsidP="00982B4C">
      <w:pPr>
        <w:pStyle w:val="ListParagraph"/>
        <w:numPr>
          <w:ilvl w:val="0"/>
          <w:numId w:val="4"/>
        </w:numPr>
        <w:spacing w:line="360" w:lineRule="auto"/>
        <w:jc w:val="both"/>
      </w:pPr>
      <w:r>
        <w:t xml:space="preserve">AMUZ was representing mine workers at Freda Rebecca Mine.  </w:t>
      </w:r>
      <w:r w:rsidR="00C70454">
        <w:t>The arbitral award is clear on that.  The same applies to proceedings in LC/H/392/10.  Error in LC/H/392/10</w:t>
      </w:r>
      <w:r w:rsidR="00695241">
        <w:t xml:space="preserve"> was corrected in LC/H/ORD/106/11 by c</w:t>
      </w:r>
      <w:r w:rsidR="00D51FA6">
        <w:t>i</w:t>
      </w:r>
      <w:r w:rsidR="00695241">
        <w:t xml:space="preserve">ting the beneficiaries in their </w:t>
      </w:r>
      <w:r w:rsidR="00D51FA6">
        <w:t>n</w:t>
      </w:r>
      <w:r w:rsidR="00695241">
        <w:t>ames.  The order citing individual benefi</w:t>
      </w:r>
      <w:r w:rsidR="00D51FA6">
        <w:t>ciaries has not been challenged and is extant.</w:t>
      </w:r>
      <w:r w:rsidR="00970568">
        <w:t xml:space="preserve"> Respondents can simply peruse that record to find out</w:t>
      </w:r>
      <w:r w:rsidR="003E2C4E">
        <w:t xml:space="preserve"> which applicants were not party to the previous proceedings.  In any event 2</w:t>
      </w:r>
      <w:r w:rsidR="003E2C4E" w:rsidRPr="003E2C4E">
        <w:rPr>
          <w:vertAlign w:val="superscript"/>
        </w:rPr>
        <w:t>nd</w:t>
      </w:r>
      <w:r w:rsidR="003E2C4E">
        <w:t xml:space="preserve"> Respondent in an affidavit in LC/H</w:t>
      </w:r>
      <w:r w:rsidR="004F2689">
        <w:t xml:space="preserve">/APP/248/16 conceded that the present matter and LC/H/REV/15/16 </w:t>
      </w:r>
      <w:r w:rsidR="00B411A7">
        <w:t>emanate</w:t>
      </w:r>
      <w:r w:rsidR="0021469E">
        <w:t xml:space="preserve"> from the same award by M</w:t>
      </w:r>
      <w:r w:rsidR="00B411A7">
        <w:t>.</w:t>
      </w:r>
      <w:r w:rsidR="0021469E">
        <w:t>C</w:t>
      </w:r>
      <w:r w:rsidR="006C6A2A">
        <w:t>.</w:t>
      </w:r>
      <w:r w:rsidR="0021469E">
        <w:t xml:space="preserve"> </w:t>
      </w:r>
      <w:proofErr w:type="spellStart"/>
      <w:r w:rsidR="0021469E">
        <w:t>Kare</w:t>
      </w:r>
      <w:proofErr w:type="spellEnd"/>
      <w:r w:rsidR="0021469E">
        <w:t>. 2</w:t>
      </w:r>
      <w:r w:rsidR="0021469E" w:rsidRPr="0021469E">
        <w:rPr>
          <w:vertAlign w:val="superscript"/>
        </w:rPr>
        <w:t>nd</w:t>
      </w:r>
      <w:r w:rsidR="00B411A7">
        <w:t xml:space="preserve"> respondent cannot blow h</w:t>
      </w:r>
      <w:r w:rsidR="0021469E">
        <w:t xml:space="preserve">ot and cold </w:t>
      </w:r>
      <w:r w:rsidR="006C6A2A">
        <w:t>at</w:t>
      </w:r>
      <w:r w:rsidR="0021469E">
        <w:t xml:space="preserve"> the same time, making concessions</w:t>
      </w:r>
      <w:r w:rsidR="00611EFB">
        <w:t xml:space="preserve"> in one matter in a sworn affidavit and seek to </w:t>
      </w:r>
      <w:r w:rsidR="00DC37DF">
        <w:t>turn</w:t>
      </w:r>
      <w:r w:rsidR="00611EFB">
        <w:t xml:space="preserve"> around in another matter and seek to adopt a </w:t>
      </w:r>
      <w:r w:rsidR="00846243">
        <w:t>contrary</w:t>
      </w:r>
      <w:r w:rsidR="00611EFB">
        <w:t xml:space="preserve"> </w:t>
      </w:r>
      <w:r w:rsidR="00846243">
        <w:t>position</w:t>
      </w:r>
      <w:r w:rsidR="00611EFB">
        <w:t>.</w:t>
      </w:r>
    </w:p>
    <w:p w:rsidR="00611EFB" w:rsidRDefault="00611EFB" w:rsidP="00611EFB">
      <w:pPr>
        <w:pStyle w:val="ListParagraph"/>
      </w:pPr>
    </w:p>
    <w:p w:rsidR="008E6BBB" w:rsidRDefault="00846243" w:rsidP="00982B4C">
      <w:pPr>
        <w:pStyle w:val="ListParagraph"/>
        <w:numPr>
          <w:ilvl w:val="0"/>
          <w:numId w:val="4"/>
        </w:numPr>
        <w:spacing w:line="360" w:lineRule="auto"/>
        <w:jc w:val="both"/>
      </w:pPr>
      <w:r>
        <w:t>Whilst the supporting affidavit</w:t>
      </w:r>
      <w:r w:rsidR="00D51FA6">
        <w:t xml:space="preserve"> </w:t>
      </w:r>
      <w:r w:rsidR="00E53888">
        <w:t>of Thomas Mapanzure was regrettably not included, he was pre</w:t>
      </w:r>
      <w:r w:rsidR="000F5C13">
        <w:t>sent in person and can confirm t</w:t>
      </w:r>
      <w:r w:rsidR="00E53888">
        <w:t xml:space="preserve">hat he duly authorized the proceedings on his behalf.  </w:t>
      </w:r>
      <w:r w:rsidR="008E6BBB">
        <w:t>Alternatively he can subsequently depose to a supporting affidavit as opposed to requiring him to institute fresh proceedings.</w:t>
      </w:r>
    </w:p>
    <w:p w:rsidR="008E6BBB" w:rsidRDefault="008E6BBB" w:rsidP="008E6BBB">
      <w:pPr>
        <w:pStyle w:val="ListParagraph"/>
      </w:pPr>
    </w:p>
    <w:p w:rsidR="00767F07" w:rsidRDefault="008E6BBB" w:rsidP="008E6BBB">
      <w:pPr>
        <w:spacing w:line="360" w:lineRule="auto"/>
        <w:jc w:val="both"/>
      </w:pPr>
      <w:r>
        <w:t xml:space="preserve">Counsel for applicants confirmed </w:t>
      </w:r>
      <w:r w:rsidR="00767F07">
        <w:t xml:space="preserve">that </w:t>
      </w:r>
      <w:r w:rsidR="001419E0">
        <w:t>applicants</w:t>
      </w:r>
      <w:r w:rsidR="00767F07">
        <w:t xml:space="preserve"> appeared before the disciplinary committee individually and the appeals were dealt with separately but by one person.</w:t>
      </w:r>
    </w:p>
    <w:p w:rsidR="00767F07" w:rsidRDefault="00767F07" w:rsidP="00C87B5C">
      <w:pPr>
        <w:jc w:val="both"/>
      </w:pPr>
    </w:p>
    <w:p w:rsidR="00767F07" w:rsidRPr="00AC5C0B" w:rsidRDefault="00767F07" w:rsidP="008E6BBB">
      <w:pPr>
        <w:spacing w:line="360" w:lineRule="auto"/>
        <w:jc w:val="both"/>
        <w:rPr>
          <w:u w:val="single"/>
        </w:rPr>
      </w:pPr>
      <w:r w:rsidRPr="00AC5C0B">
        <w:rPr>
          <w:u w:val="single"/>
        </w:rPr>
        <w:t>CITATION OF 1</w:t>
      </w:r>
      <w:r w:rsidRPr="00AC5C0B">
        <w:rPr>
          <w:u w:val="single"/>
          <w:vertAlign w:val="superscript"/>
        </w:rPr>
        <w:t>ST</w:t>
      </w:r>
      <w:r w:rsidRPr="00AC5C0B">
        <w:rPr>
          <w:u w:val="single"/>
        </w:rPr>
        <w:t xml:space="preserve"> RESPONDENT</w:t>
      </w:r>
    </w:p>
    <w:p w:rsidR="00767F07" w:rsidRDefault="00767F07" w:rsidP="00C87B5C">
      <w:pPr>
        <w:jc w:val="both"/>
      </w:pPr>
    </w:p>
    <w:p w:rsidR="00F47FC5" w:rsidRDefault="00344B25" w:rsidP="008E6BBB">
      <w:pPr>
        <w:spacing w:line="360" w:lineRule="auto"/>
        <w:jc w:val="both"/>
      </w:pPr>
      <w:r>
        <w:tab/>
        <w:t>I did not hear counsel for respondent disputing that the appeals for the applicants were dealt with by one person.  Even though there might not</w:t>
      </w:r>
      <w:r w:rsidR="00795082">
        <w:t xml:space="preserve"> be a permanent office of the Appeals Chairman, I am not convinced that in the circumstances of this case </w:t>
      </w:r>
      <w:r w:rsidR="001419E0">
        <w:t>i</w:t>
      </w:r>
      <w:r w:rsidR="00795082">
        <w:t>t would be difficult to identify the</w:t>
      </w:r>
      <w:r w:rsidR="00EA3803">
        <w:t xml:space="preserve"> individual involved.  The whole purpose for proper citation is that the Respondent can identify the rightful person to</w:t>
      </w:r>
      <w:r w:rsidR="00A44C81">
        <w:t xml:space="preserve"> input into the response.  </w:t>
      </w:r>
      <w:r w:rsidR="00A44C81" w:rsidRPr="00A44C81">
        <w:rPr>
          <w:i/>
        </w:rPr>
        <w:t>In casu</w:t>
      </w:r>
      <w:r w:rsidR="00A44C81">
        <w:t xml:space="preserve"> no prejudice has been alleged by the responde</w:t>
      </w:r>
      <w:r w:rsidR="00F11AF9">
        <w:t>n</w:t>
      </w:r>
      <w:r w:rsidR="00A44C81">
        <w:t>t.</w:t>
      </w:r>
      <w:r w:rsidR="00F11AF9">
        <w:t xml:space="preserve"> Whilst it would be ideal to provide the name of the individual involved, I find that the failure to do so cannot be held to vitiate proceedings in this case</w:t>
      </w:r>
      <w:r w:rsidR="00AC5C0B">
        <w:t xml:space="preserve">.  I therefore dismiss the first point </w:t>
      </w:r>
      <w:r w:rsidR="00AC5C0B" w:rsidRPr="00AC5C0B">
        <w:rPr>
          <w:i/>
        </w:rPr>
        <w:t>in limine</w:t>
      </w:r>
      <w:r w:rsidR="00AC5C0B">
        <w:t>.</w:t>
      </w:r>
      <w:r w:rsidR="00D51FA6">
        <w:t xml:space="preserve"> </w:t>
      </w:r>
    </w:p>
    <w:p w:rsidR="00AC5C0B" w:rsidRDefault="00AC5C0B" w:rsidP="00C87B5C">
      <w:pPr>
        <w:jc w:val="both"/>
      </w:pPr>
    </w:p>
    <w:p w:rsidR="00AC5C0B" w:rsidRPr="00C87B5C" w:rsidRDefault="00AC5C0B" w:rsidP="008E6BBB">
      <w:pPr>
        <w:spacing w:line="360" w:lineRule="auto"/>
        <w:jc w:val="both"/>
        <w:rPr>
          <w:u w:val="single"/>
        </w:rPr>
      </w:pPr>
      <w:r w:rsidRPr="00C87B5C">
        <w:rPr>
          <w:u w:val="single"/>
        </w:rPr>
        <w:t>APPLICANTS WHO ARE BEFORE THE COURT</w:t>
      </w:r>
    </w:p>
    <w:p w:rsidR="00AC5C0B" w:rsidRDefault="00AC5C0B" w:rsidP="00C87B5C">
      <w:pPr>
        <w:jc w:val="both"/>
      </w:pPr>
    </w:p>
    <w:p w:rsidR="00AC5C0B" w:rsidRDefault="00AC5C0B" w:rsidP="008E6BBB">
      <w:pPr>
        <w:spacing w:line="360" w:lineRule="auto"/>
        <w:jc w:val="both"/>
      </w:pPr>
      <w:r>
        <w:tab/>
        <w:t xml:space="preserve">Even though the citation is </w:t>
      </w:r>
      <w:r w:rsidRPr="00DC37DF">
        <w:rPr>
          <w:i/>
        </w:rPr>
        <w:t>Shaisano Zhangare and 12 Others</w:t>
      </w:r>
      <w:r>
        <w:t xml:space="preserve">, I </w:t>
      </w:r>
      <w:r w:rsidR="00195669">
        <w:t>find that they are only two applicants who are properly before the court.  It is trite that an application stands or falls on the fou</w:t>
      </w:r>
      <w:r w:rsidR="008901D6">
        <w:t xml:space="preserve">nding and supporting affidavits. Counsel for applicants seems </w:t>
      </w:r>
      <w:r w:rsidR="001419E0">
        <w:t>to</w:t>
      </w:r>
      <w:r w:rsidR="008901D6">
        <w:t xml:space="preserve"> downplay the effect of the errors that are</w:t>
      </w:r>
      <w:r w:rsidR="001419E0">
        <w:t xml:space="preserve"> in</w:t>
      </w:r>
      <w:r w:rsidR="008901D6">
        <w:t xml:space="preserve"> the</w:t>
      </w:r>
      <w:r w:rsidR="001A21A5">
        <w:t xml:space="preserve"> supporting affidavits.  He gives the impression that it’s a matter of just clarifying the correct position of </w:t>
      </w:r>
      <w:r w:rsidR="005B6926">
        <w:t>each</w:t>
      </w:r>
      <w:r w:rsidR="001A21A5">
        <w:t xml:space="preserve"> of the applicants.  I hold a different view.  The Court cannot overlook a blatant</w:t>
      </w:r>
      <w:r w:rsidR="00B51B5B">
        <w:t xml:space="preserve"> lie in a sworn statement.  It would have been a different issue if we were talking of ordinary pleadings</w:t>
      </w:r>
      <w:r w:rsidR="00A534D3">
        <w:t xml:space="preserve"> which are not sworn statements.  I therefore find that all those affidavits of persons claiming to be fourth applicant in this matter when they are not</w:t>
      </w:r>
      <w:r w:rsidR="00460FB4">
        <w:t xml:space="preserve"> are improper.  They t</w:t>
      </w:r>
      <w:r w:rsidR="008433B4">
        <w:t>ell a lie and cannot be the basis of proper legal proceedings.</w:t>
      </w:r>
    </w:p>
    <w:p w:rsidR="002F4D27" w:rsidRDefault="002F4D27" w:rsidP="00C87B5C">
      <w:pPr>
        <w:jc w:val="both"/>
      </w:pPr>
    </w:p>
    <w:p w:rsidR="002F4D27" w:rsidRDefault="002F4D27" w:rsidP="008E6BBB">
      <w:pPr>
        <w:spacing w:line="360" w:lineRule="auto"/>
        <w:jc w:val="both"/>
      </w:pPr>
      <w:r>
        <w:tab/>
        <w:t xml:space="preserve">After the irregularity was pointed out to counsel </w:t>
      </w:r>
      <w:r w:rsidR="00DC37DF">
        <w:t>for</w:t>
      </w:r>
      <w:r>
        <w:t xml:space="preserve"> appellant,</w:t>
      </w:r>
      <w:r w:rsidR="00EF7074">
        <w:t xml:space="preserve"> he had from 22 June 2016 to 4 July 2016 to decide on the best way forwar</w:t>
      </w:r>
      <w:r w:rsidR="00460FB4">
        <w:t>d.  Nothing precluded him from ta</w:t>
      </w:r>
      <w:r w:rsidR="003512CA">
        <w:t>king corrective action a</w:t>
      </w:r>
      <w:r w:rsidR="00BD22FB">
        <w:t>n</w:t>
      </w:r>
      <w:r w:rsidR="003512CA">
        <w:t>d applying for the leave to file corrected supporting affidavits.  I am of the view that</w:t>
      </w:r>
      <w:r w:rsidR="005F3855">
        <w:t xml:space="preserve"> an error in an affidavit cannot be corrected by word of mouth.  It requires another affidavit which explains the error in the sworn statement.  For one to j</w:t>
      </w:r>
      <w:r w:rsidR="00117925">
        <w:t xml:space="preserve">ust say it was copying and pasting from the bar is not </w:t>
      </w:r>
      <w:r w:rsidR="00117925">
        <w:lastRenderedPageBreak/>
        <w:t xml:space="preserve">sufficient.  I therefore find that only Shaisano Zhangare and Ronny Ndlovu are properly </w:t>
      </w:r>
      <w:r w:rsidR="00267789">
        <w:t>before</w:t>
      </w:r>
      <w:r w:rsidR="00117925">
        <w:t xml:space="preserve"> the Court.</w:t>
      </w:r>
    </w:p>
    <w:p w:rsidR="00644C59" w:rsidRDefault="00644C59" w:rsidP="00C87B5C">
      <w:pPr>
        <w:jc w:val="both"/>
      </w:pPr>
    </w:p>
    <w:p w:rsidR="00644C59" w:rsidRPr="00BC5B96" w:rsidRDefault="00644C59" w:rsidP="008E6BBB">
      <w:pPr>
        <w:spacing w:line="360" w:lineRule="auto"/>
        <w:jc w:val="both"/>
        <w:rPr>
          <w:u w:val="single"/>
        </w:rPr>
      </w:pPr>
      <w:r w:rsidRPr="00BC5B96">
        <w:rPr>
          <w:u w:val="single"/>
        </w:rPr>
        <w:t>WHETHER APPLICANTS CAN BENEFIT FROM PROCEEDINGS IN WHICH AMUZ WAS A PARTY AND IN WHICH THEY WERE NOT CITED</w:t>
      </w:r>
    </w:p>
    <w:p w:rsidR="00644C59" w:rsidRDefault="00644C59" w:rsidP="00C87B5C">
      <w:pPr>
        <w:jc w:val="both"/>
      </w:pPr>
    </w:p>
    <w:p w:rsidR="00F227F7" w:rsidRDefault="006C6A2A" w:rsidP="00C87B5C">
      <w:pPr>
        <w:spacing w:line="360" w:lineRule="auto"/>
        <w:jc w:val="both"/>
      </w:pPr>
      <w:r>
        <w:tab/>
        <w:t>The award by M.C.</w:t>
      </w:r>
      <w:r w:rsidR="00644C59">
        <w:t xml:space="preserve"> Kare mentions</w:t>
      </w:r>
      <w:r w:rsidR="006E44B1">
        <w:t xml:space="preserve"> only three people as affected employees who attended the proceedings at some stage.  These are J. Mwanza, C. Njinga and A. Magarasadza.  As the record will show</w:t>
      </w:r>
      <w:r w:rsidR="00BC5B96">
        <w:t xml:space="preserve">, A Magarasadza and C. </w:t>
      </w:r>
      <w:proofErr w:type="spellStart"/>
      <w:r w:rsidR="00BC5B96">
        <w:t>Njinga</w:t>
      </w:r>
      <w:proofErr w:type="spellEnd"/>
      <w:r w:rsidR="000D5D34">
        <w:t xml:space="preserve"> were not</w:t>
      </w:r>
      <w:r w:rsidR="00BC5B96">
        <w:t xml:space="preserve"> among those who approached this Court in these proceedings. </w:t>
      </w:r>
      <w:r w:rsidR="000A781E">
        <w:t xml:space="preserve"> J Mwanza is among the group that</w:t>
      </w:r>
      <w:r w:rsidR="000D5D34">
        <w:t xml:space="preserve"> I</w:t>
      </w:r>
      <w:r w:rsidR="000A781E">
        <w:t xml:space="preserve"> have ruled are not before this Court.  The question is whether Shaisano Zhang</w:t>
      </w:r>
      <w:r w:rsidR="00047B75">
        <w:t>are and Ronny Ndlovu can derive benefit from proceedings in which they were not cited.  In my view</w:t>
      </w:r>
      <w:r w:rsidR="000A3A5E">
        <w:t xml:space="preserve"> they cannot.  As was stated in </w:t>
      </w:r>
      <w:r w:rsidR="000A3A5E" w:rsidRPr="00340FAE">
        <w:rPr>
          <w:i/>
        </w:rPr>
        <w:t>Gweru Water Workers Committee</w:t>
      </w:r>
      <w:r w:rsidR="000A3A5E">
        <w:t xml:space="preserve"> v </w:t>
      </w:r>
      <w:r w:rsidR="000A3A5E" w:rsidRPr="00340FAE">
        <w:rPr>
          <w:i/>
        </w:rPr>
        <w:t>City of Gweru</w:t>
      </w:r>
      <w:r w:rsidR="000A3A5E">
        <w:t xml:space="preserve"> SC 25/15, th</w:t>
      </w:r>
      <w:r w:rsidR="00C828ED">
        <w:t>e</w:t>
      </w:r>
      <w:r w:rsidR="000A3A5E">
        <w:t xml:space="preserve"> right to sue accrues to the employees and </w:t>
      </w:r>
      <w:r w:rsidR="00340FAE">
        <w:t xml:space="preserve">the </w:t>
      </w:r>
      <w:r w:rsidR="00C76829">
        <w:t xml:space="preserve">employees in their individual </w:t>
      </w:r>
      <w:r w:rsidR="005E38CD">
        <w:t>c</w:t>
      </w:r>
      <w:r w:rsidR="00C828ED">
        <w:t>apacities</w:t>
      </w:r>
      <w:r w:rsidR="00C76829">
        <w:t xml:space="preserve"> can enforce the rights</w:t>
      </w:r>
      <w:r w:rsidR="00C828ED">
        <w:t xml:space="preserve">. </w:t>
      </w:r>
      <w:r w:rsidR="00B346A4">
        <w:t>Representation in terms</w:t>
      </w:r>
      <w:r w:rsidR="006D2487">
        <w:t xml:space="preserve"> of section 24 (1) of the Labour</w:t>
      </w:r>
      <w:r w:rsidR="00B346A4">
        <w:t xml:space="preserve"> Act [Chapter 28:01] does not mean that a person or a</w:t>
      </w:r>
      <w:r w:rsidR="005E18BD">
        <w:t xml:space="preserve"> body would have the right to substitute itself in place of the employees as a party to the proceedings.  On the</w:t>
      </w:r>
      <w:r w:rsidR="00E911D9">
        <w:t xml:space="preserve"> record before me there is no proof that the two applicants were party to the proceedings.  Neither is there proof that </w:t>
      </w:r>
      <w:r w:rsidR="000F3430">
        <w:t xml:space="preserve">AMUZ instituted the </w:t>
      </w:r>
      <w:r w:rsidR="00DC2592">
        <w:t>proceedings on their behalf.  There is no specific mention of them individually.  I therefore find that there is no established link between the proceedings s</w:t>
      </w:r>
      <w:r w:rsidR="008835C6">
        <w:t>o</w:t>
      </w:r>
      <w:r w:rsidR="00DC2592">
        <w:t>ught to be relied</w:t>
      </w:r>
      <w:r w:rsidR="00F227F7">
        <w:t xml:space="preserve"> </w:t>
      </w:r>
      <w:r w:rsidR="00B43646">
        <w:t>on</w:t>
      </w:r>
      <w:r w:rsidR="00F227F7">
        <w:t xml:space="preserve"> and the applicants.  As such there is no basis for the application consequently the application cannot succeed.</w:t>
      </w:r>
    </w:p>
    <w:p w:rsidR="00F227F7" w:rsidRDefault="00F227F7" w:rsidP="008E6BBB">
      <w:pPr>
        <w:spacing w:line="360" w:lineRule="auto"/>
        <w:jc w:val="both"/>
      </w:pPr>
    </w:p>
    <w:p w:rsidR="00644C59" w:rsidRDefault="00F227F7" w:rsidP="008E6BBB">
      <w:pPr>
        <w:spacing w:line="360" w:lineRule="auto"/>
        <w:jc w:val="both"/>
      </w:pPr>
      <w:r>
        <w:tab/>
        <w:t>I</w:t>
      </w:r>
      <w:r w:rsidR="00293F62">
        <w:t xml:space="preserve">n </w:t>
      </w:r>
      <w:r w:rsidR="00D303AD">
        <w:t>the fi</w:t>
      </w:r>
      <w:r w:rsidR="006F62BF">
        <w:t>n</w:t>
      </w:r>
      <w:r w:rsidR="00D303AD">
        <w:t xml:space="preserve">al analysis, even though the first point </w:t>
      </w:r>
      <w:r w:rsidR="00D303AD" w:rsidRPr="006F62BF">
        <w:rPr>
          <w:i/>
        </w:rPr>
        <w:t>in limine</w:t>
      </w:r>
      <w:r w:rsidR="00D303AD">
        <w:t xml:space="preserve"> was dismissed there</w:t>
      </w:r>
      <w:r w:rsidR="006F62BF">
        <w:t xml:space="preserve"> has been a finding that two applicants are before the Court properly, the third point </w:t>
      </w:r>
      <w:r w:rsidR="006F62BF" w:rsidRPr="002838E0">
        <w:rPr>
          <w:i/>
        </w:rPr>
        <w:t>in limine</w:t>
      </w:r>
      <w:r w:rsidR="002838E0">
        <w:t xml:space="preserve"> </w:t>
      </w:r>
      <w:r w:rsidR="00D67B88">
        <w:t>disposes of</w:t>
      </w:r>
      <w:r w:rsidR="001F3BC9">
        <w:t xml:space="preserve"> the matter.  Though the two applicants are properly cited, the basis of their application </w:t>
      </w:r>
      <w:r w:rsidR="00D67B88">
        <w:t xml:space="preserve">is </w:t>
      </w:r>
      <w:r w:rsidR="00FE5904">
        <w:t>faulty.  They cannot seek to derive benefit from proceedings that they have not shown to have been party to.  I therefore</w:t>
      </w:r>
      <w:r w:rsidR="007A00C8">
        <w:t xml:space="preserve"> uphold the last point </w:t>
      </w:r>
      <w:r w:rsidR="007A00C8" w:rsidRPr="007A00C8">
        <w:rPr>
          <w:i/>
        </w:rPr>
        <w:t>in limine</w:t>
      </w:r>
      <w:r w:rsidR="007A00C8">
        <w:t xml:space="preserve"> and the application has to fail.</w:t>
      </w:r>
      <w:r w:rsidR="00C828ED">
        <w:t xml:space="preserve"> </w:t>
      </w:r>
    </w:p>
    <w:p w:rsidR="007A00C8" w:rsidRDefault="007A00C8" w:rsidP="00C87B5C">
      <w:pPr>
        <w:jc w:val="both"/>
      </w:pPr>
    </w:p>
    <w:p w:rsidR="007A00C8" w:rsidRDefault="007A00C8" w:rsidP="008E6BBB">
      <w:pPr>
        <w:spacing w:line="360" w:lineRule="auto"/>
        <w:jc w:val="both"/>
      </w:pPr>
      <w:r>
        <w:t>The following order is therefore appropriate;</w:t>
      </w:r>
    </w:p>
    <w:p w:rsidR="007A00C8" w:rsidRDefault="007A00C8" w:rsidP="00C87B5C">
      <w:pPr>
        <w:jc w:val="both"/>
      </w:pPr>
    </w:p>
    <w:p w:rsidR="007A00C8" w:rsidRDefault="007A00C8" w:rsidP="007A00C8">
      <w:pPr>
        <w:pStyle w:val="ListParagraph"/>
        <w:numPr>
          <w:ilvl w:val="0"/>
          <w:numId w:val="5"/>
        </w:numPr>
        <w:spacing w:line="360" w:lineRule="auto"/>
        <w:jc w:val="both"/>
      </w:pPr>
      <w:r>
        <w:lastRenderedPageBreak/>
        <w:t xml:space="preserve">The application be and is hereby struck </w:t>
      </w:r>
      <w:r w:rsidR="003E0D54">
        <w:t>off the roll for being improperly before the Court.</w:t>
      </w:r>
    </w:p>
    <w:p w:rsidR="001279F0" w:rsidRDefault="003E0D54" w:rsidP="001279F0">
      <w:pPr>
        <w:pStyle w:val="ListParagraph"/>
        <w:numPr>
          <w:ilvl w:val="0"/>
          <w:numId w:val="5"/>
        </w:numPr>
        <w:spacing w:line="360" w:lineRule="auto"/>
        <w:jc w:val="both"/>
      </w:pPr>
      <w:r>
        <w:t>Applicants be and are hereby ordered to pay costs of sui</w:t>
      </w:r>
      <w:r w:rsidR="001279F0">
        <w:t>t.</w:t>
      </w:r>
    </w:p>
    <w:p w:rsidR="001279F0" w:rsidRDefault="001279F0" w:rsidP="001279F0">
      <w:pPr>
        <w:spacing w:line="360" w:lineRule="auto"/>
        <w:jc w:val="both"/>
      </w:pPr>
    </w:p>
    <w:p w:rsidR="001279F0" w:rsidRDefault="001279F0" w:rsidP="001279F0">
      <w:pPr>
        <w:spacing w:line="360" w:lineRule="auto"/>
        <w:jc w:val="both"/>
      </w:pPr>
    </w:p>
    <w:p w:rsidR="001279F0" w:rsidRDefault="001279F0" w:rsidP="001279F0">
      <w:pPr>
        <w:spacing w:line="360" w:lineRule="auto"/>
        <w:jc w:val="both"/>
      </w:pPr>
      <w:r w:rsidRPr="00794DAB">
        <w:rPr>
          <w:i/>
        </w:rPr>
        <w:t>Tamuka Moyo Attorneys</w:t>
      </w:r>
      <w:r>
        <w:t>, applicants</w:t>
      </w:r>
      <w:r w:rsidR="00A76629">
        <w:t>’</w:t>
      </w:r>
      <w:r>
        <w:t xml:space="preserve"> legal practitioners</w:t>
      </w:r>
    </w:p>
    <w:p w:rsidR="001279F0" w:rsidRDefault="00A76629" w:rsidP="001279F0">
      <w:pPr>
        <w:spacing w:line="360" w:lineRule="auto"/>
        <w:jc w:val="both"/>
      </w:pPr>
      <w:r w:rsidRPr="00794DAB">
        <w:rPr>
          <w:i/>
        </w:rPr>
        <w:t>Magwaliba &amp; Kwirira</w:t>
      </w:r>
      <w:r>
        <w:t>, respondents’ legal practitioners</w:t>
      </w:r>
    </w:p>
    <w:p w:rsidR="00267789" w:rsidRDefault="00267789" w:rsidP="008E6BBB">
      <w:pPr>
        <w:spacing w:line="360" w:lineRule="auto"/>
        <w:jc w:val="both"/>
      </w:pPr>
    </w:p>
    <w:p w:rsidR="00267789" w:rsidRDefault="00267789" w:rsidP="008E6BBB">
      <w:pPr>
        <w:spacing w:line="360" w:lineRule="auto"/>
        <w:jc w:val="both"/>
      </w:pPr>
    </w:p>
    <w:p w:rsidR="00337947" w:rsidRDefault="00337947" w:rsidP="00337947">
      <w:pPr>
        <w:spacing w:line="360" w:lineRule="auto"/>
        <w:jc w:val="both"/>
      </w:pPr>
    </w:p>
    <w:p w:rsidR="00337947" w:rsidRDefault="00337947" w:rsidP="00337947">
      <w:pPr>
        <w:spacing w:line="360" w:lineRule="auto"/>
        <w:jc w:val="both"/>
      </w:pPr>
    </w:p>
    <w:p w:rsidR="00337947" w:rsidRDefault="00337947" w:rsidP="00337947">
      <w:pPr>
        <w:spacing w:line="360" w:lineRule="auto"/>
        <w:jc w:val="both"/>
      </w:pPr>
    </w:p>
    <w:sectPr w:rsidR="00337947" w:rsidSect="00E25D2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366" w:rsidRDefault="00321366" w:rsidP="00E25D20">
      <w:r>
        <w:separator/>
      </w:r>
    </w:p>
  </w:endnote>
  <w:endnote w:type="continuationSeparator" w:id="0">
    <w:p w:rsidR="00321366" w:rsidRDefault="00321366" w:rsidP="00E2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425246"/>
      <w:docPartObj>
        <w:docPartGallery w:val="Page Numbers (Bottom of Page)"/>
        <w:docPartUnique/>
      </w:docPartObj>
    </w:sdtPr>
    <w:sdtEndPr>
      <w:rPr>
        <w:noProof/>
      </w:rPr>
    </w:sdtEndPr>
    <w:sdtContent>
      <w:p w:rsidR="001279F0" w:rsidRDefault="001279F0">
        <w:pPr>
          <w:pStyle w:val="Footer"/>
          <w:jc w:val="center"/>
        </w:pPr>
        <w:r>
          <w:fldChar w:fldCharType="begin"/>
        </w:r>
        <w:r>
          <w:instrText xml:space="preserve"> PAGE   \* MERGEFORMAT </w:instrText>
        </w:r>
        <w:r>
          <w:fldChar w:fldCharType="separate"/>
        </w:r>
        <w:r w:rsidR="00005075">
          <w:rPr>
            <w:noProof/>
          </w:rPr>
          <w:t>2</w:t>
        </w:r>
        <w:r>
          <w:rPr>
            <w:noProof/>
          </w:rPr>
          <w:fldChar w:fldCharType="end"/>
        </w:r>
      </w:p>
    </w:sdtContent>
  </w:sdt>
  <w:p w:rsidR="001279F0" w:rsidRDefault="00127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366" w:rsidRDefault="00321366" w:rsidP="00E25D20">
      <w:r>
        <w:separator/>
      </w:r>
    </w:p>
  </w:footnote>
  <w:footnote w:type="continuationSeparator" w:id="0">
    <w:p w:rsidR="00321366" w:rsidRDefault="00321366" w:rsidP="00E25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F0" w:rsidRPr="00E25D20" w:rsidRDefault="001279F0">
    <w:pPr>
      <w:pStyle w:val="Header"/>
      <w:rPr>
        <w:lang w:val="en-ZW"/>
      </w:rPr>
    </w:pPr>
    <w:r>
      <w:rPr>
        <w:lang w:val="en-ZW"/>
      </w:rPr>
      <w:tab/>
    </w:r>
    <w:r>
      <w:rPr>
        <w:lang w:val="en-ZW"/>
      </w:rPr>
      <w:tab/>
      <w:t>JUDGMENT NO. LC/H/</w:t>
    </w:r>
    <w:r w:rsidR="00005075">
      <w:rPr>
        <w:lang w:val="en-ZW"/>
      </w:rPr>
      <w:t>505</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91E24"/>
    <w:multiLevelType w:val="hybridMultilevel"/>
    <w:tmpl w:val="44249D96"/>
    <w:lvl w:ilvl="0" w:tplc="5D8646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795473C"/>
    <w:multiLevelType w:val="hybridMultilevel"/>
    <w:tmpl w:val="EFC62940"/>
    <w:lvl w:ilvl="0" w:tplc="61382C0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65C48C9"/>
    <w:multiLevelType w:val="hybridMultilevel"/>
    <w:tmpl w:val="B3D8EF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A8944E9"/>
    <w:multiLevelType w:val="hybridMultilevel"/>
    <w:tmpl w:val="A686DEB6"/>
    <w:lvl w:ilvl="0" w:tplc="8C32E1B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42E617E"/>
    <w:multiLevelType w:val="hybridMultilevel"/>
    <w:tmpl w:val="87F43786"/>
    <w:lvl w:ilvl="0" w:tplc="C7A0FD2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31C"/>
    <w:rsid w:val="000042F9"/>
    <w:rsid w:val="00005075"/>
    <w:rsid w:val="0000791F"/>
    <w:rsid w:val="00042483"/>
    <w:rsid w:val="00047B75"/>
    <w:rsid w:val="00097226"/>
    <w:rsid w:val="000A3A5E"/>
    <w:rsid w:val="000A781E"/>
    <w:rsid w:val="000C6F5F"/>
    <w:rsid w:val="000D5D34"/>
    <w:rsid w:val="000F3430"/>
    <w:rsid w:val="000F5C13"/>
    <w:rsid w:val="00117925"/>
    <w:rsid w:val="001242F5"/>
    <w:rsid w:val="001279F0"/>
    <w:rsid w:val="001419E0"/>
    <w:rsid w:val="001647C7"/>
    <w:rsid w:val="001655C1"/>
    <w:rsid w:val="00181B69"/>
    <w:rsid w:val="00195669"/>
    <w:rsid w:val="001A21A5"/>
    <w:rsid w:val="001F3BC9"/>
    <w:rsid w:val="0021469E"/>
    <w:rsid w:val="0025431C"/>
    <w:rsid w:val="00267789"/>
    <w:rsid w:val="002838E0"/>
    <w:rsid w:val="00293F62"/>
    <w:rsid w:val="002F4D27"/>
    <w:rsid w:val="00300925"/>
    <w:rsid w:val="0030256F"/>
    <w:rsid w:val="00321366"/>
    <w:rsid w:val="00333D30"/>
    <w:rsid w:val="00337947"/>
    <w:rsid w:val="00340FAE"/>
    <w:rsid w:val="00344B25"/>
    <w:rsid w:val="003512CA"/>
    <w:rsid w:val="003900DA"/>
    <w:rsid w:val="003B3F08"/>
    <w:rsid w:val="003E0D54"/>
    <w:rsid w:val="003E2C4E"/>
    <w:rsid w:val="00460FB4"/>
    <w:rsid w:val="00470D59"/>
    <w:rsid w:val="004B2AA7"/>
    <w:rsid w:val="004B7545"/>
    <w:rsid w:val="004C3E78"/>
    <w:rsid w:val="004F2689"/>
    <w:rsid w:val="00511866"/>
    <w:rsid w:val="005B6926"/>
    <w:rsid w:val="005E18BD"/>
    <w:rsid w:val="005E38CD"/>
    <w:rsid w:val="005F3855"/>
    <w:rsid w:val="00611EFB"/>
    <w:rsid w:val="006430DA"/>
    <w:rsid w:val="00644C59"/>
    <w:rsid w:val="00695241"/>
    <w:rsid w:val="006C6A2A"/>
    <w:rsid w:val="006C7366"/>
    <w:rsid w:val="006D2487"/>
    <w:rsid w:val="006D4C2A"/>
    <w:rsid w:val="006E44B1"/>
    <w:rsid w:val="006F582C"/>
    <w:rsid w:val="006F62BF"/>
    <w:rsid w:val="00767F07"/>
    <w:rsid w:val="007835CE"/>
    <w:rsid w:val="00794DAB"/>
    <w:rsid w:val="00795082"/>
    <w:rsid w:val="007A00C8"/>
    <w:rsid w:val="007A4D0D"/>
    <w:rsid w:val="00802AF1"/>
    <w:rsid w:val="008175C6"/>
    <w:rsid w:val="008433B4"/>
    <w:rsid w:val="008461F9"/>
    <w:rsid w:val="00846243"/>
    <w:rsid w:val="00861142"/>
    <w:rsid w:val="008835C6"/>
    <w:rsid w:val="008901D6"/>
    <w:rsid w:val="008D1CE7"/>
    <w:rsid w:val="008E0163"/>
    <w:rsid w:val="008E6BBB"/>
    <w:rsid w:val="008F3297"/>
    <w:rsid w:val="00941096"/>
    <w:rsid w:val="00951890"/>
    <w:rsid w:val="00970568"/>
    <w:rsid w:val="00982B4C"/>
    <w:rsid w:val="009A61A8"/>
    <w:rsid w:val="00A00143"/>
    <w:rsid w:val="00A32705"/>
    <w:rsid w:val="00A44C81"/>
    <w:rsid w:val="00A534D3"/>
    <w:rsid w:val="00A54E75"/>
    <w:rsid w:val="00A76629"/>
    <w:rsid w:val="00AC5C0B"/>
    <w:rsid w:val="00AE2FBA"/>
    <w:rsid w:val="00B252D6"/>
    <w:rsid w:val="00B346A4"/>
    <w:rsid w:val="00B411A7"/>
    <w:rsid w:val="00B43646"/>
    <w:rsid w:val="00B51B5B"/>
    <w:rsid w:val="00BA3992"/>
    <w:rsid w:val="00BC5B96"/>
    <w:rsid w:val="00BD22FB"/>
    <w:rsid w:val="00BF2F2B"/>
    <w:rsid w:val="00C450C8"/>
    <w:rsid w:val="00C70454"/>
    <w:rsid w:val="00C76829"/>
    <w:rsid w:val="00C828ED"/>
    <w:rsid w:val="00C87B5C"/>
    <w:rsid w:val="00CC7B0C"/>
    <w:rsid w:val="00D303AD"/>
    <w:rsid w:val="00D30A50"/>
    <w:rsid w:val="00D51FA6"/>
    <w:rsid w:val="00D67B88"/>
    <w:rsid w:val="00D74462"/>
    <w:rsid w:val="00DA3CAE"/>
    <w:rsid w:val="00DB026E"/>
    <w:rsid w:val="00DC2592"/>
    <w:rsid w:val="00DC37DF"/>
    <w:rsid w:val="00E25D20"/>
    <w:rsid w:val="00E53888"/>
    <w:rsid w:val="00E82F25"/>
    <w:rsid w:val="00E904FB"/>
    <w:rsid w:val="00E911D9"/>
    <w:rsid w:val="00EA3803"/>
    <w:rsid w:val="00EF7074"/>
    <w:rsid w:val="00F00C91"/>
    <w:rsid w:val="00F00CB0"/>
    <w:rsid w:val="00F11AF9"/>
    <w:rsid w:val="00F227F7"/>
    <w:rsid w:val="00F47FC5"/>
    <w:rsid w:val="00F66198"/>
    <w:rsid w:val="00F83A44"/>
    <w:rsid w:val="00FE59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31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D20"/>
    <w:pPr>
      <w:tabs>
        <w:tab w:val="center" w:pos="4513"/>
        <w:tab w:val="right" w:pos="9026"/>
      </w:tabs>
    </w:pPr>
  </w:style>
  <w:style w:type="character" w:customStyle="1" w:styleId="HeaderChar">
    <w:name w:val="Header Char"/>
    <w:basedOn w:val="DefaultParagraphFont"/>
    <w:link w:val="Header"/>
    <w:uiPriority w:val="99"/>
    <w:rsid w:val="00E25D20"/>
    <w:rPr>
      <w:rFonts w:ascii="Tahoma" w:eastAsia="Times New Roman" w:hAnsi="Tahoma" w:cs="Times New Roman"/>
      <w:sz w:val="24"/>
      <w:szCs w:val="24"/>
      <w:lang w:val="en-US"/>
    </w:rPr>
  </w:style>
  <w:style w:type="paragraph" w:styleId="Footer">
    <w:name w:val="footer"/>
    <w:basedOn w:val="Normal"/>
    <w:link w:val="FooterChar"/>
    <w:uiPriority w:val="99"/>
    <w:unhideWhenUsed/>
    <w:rsid w:val="00E25D20"/>
    <w:pPr>
      <w:tabs>
        <w:tab w:val="center" w:pos="4513"/>
        <w:tab w:val="right" w:pos="9026"/>
      </w:tabs>
    </w:pPr>
  </w:style>
  <w:style w:type="character" w:customStyle="1" w:styleId="FooterChar">
    <w:name w:val="Footer Char"/>
    <w:basedOn w:val="DefaultParagraphFont"/>
    <w:link w:val="Footer"/>
    <w:uiPriority w:val="99"/>
    <w:rsid w:val="00E25D20"/>
    <w:rPr>
      <w:rFonts w:ascii="Tahoma" w:eastAsia="Times New Roman" w:hAnsi="Tahoma" w:cs="Times New Roman"/>
      <w:sz w:val="24"/>
      <w:szCs w:val="24"/>
      <w:lang w:val="en-US"/>
    </w:rPr>
  </w:style>
  <w:style w:type="paragraph" w:styleId="ListParagraph">
    <w:name w:val="List Paragraph"/>
    <w:basedOn w:val="Normal"/>
    <w:uiPriority w:val="34"/>
    <w:qFormat/>
    <w:rsid w:val="00D30A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31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D20"/>
    <w:pPr>
      <w:tabs>
        <w:tab w:val="center" w:pos="4513"/>
        <w:tab w:val="right" w:pos="9026"/>
      </w:tabs>
    </w:pPr>
  </w:style>
  <w:style w:type="character" w:customStyle="1" w:styleId="HeaderChar">
    <w:name w:val="Header Char"/>
    <w:basedOn w:val="DefaultParagraphFont"/>
    <w:link w:val="Header"/>
    <w:uiPriority w:val="99"/>
    <w:rsid w:val="00E25D20"/>
    <w:rPr>
      <w:rFonts w:ascii="Tahoma" w:eastAsia="Times New Roman" w:hAnsi="Tahoma" w:cs="Times New Roman"/>
      <w:sz w:val="24"/>
      <w:szCs w:val="24"/>
      <w:lang w:val="en-US"/>
    </w:rPr>
  </w:style>
  <w:style w:type="paragraph" w:styleId="Footer">
    <w:name w:val="footer"/>
    <w:basedOn w:val="Normal"/>
    <w:link w:val="FooterChar"/>
    <w:uiPriority w:val="99"/>
    <w:unhideWhenUsed/>
    <w:rsid w:val="00E25D20"/>
    <w:pPr>
      <w:tabs>
        <w:tab w:val="center" w:pos="4513"/>
        <w:tab w:val="right" w:pos="9026"/>
      </w:tabs>
    </w:pPr>
  </w:style>
  <w:style w:type="character" w:customStyle="1" w:styleId="FooterChar">
    <w:name w:val="Footer Char"/>
    <w:basedOn w:val="DefaultParagraphFont"/>
    <w:link w:val="Footer"/>
    <w:uiPriority w:val="99"/>
    <w:rsid w:val="00E25D20"/>
    <w:rPr>
      <w:rFonts w:ascii="Tahoma" w:eastAsia="Times New Roman" w:hAnsi="Tahoma" w:cs="Times New Roman"/>
      <w:sz w:val="24"/>
      <w:szCs w:val="24"/>
      <w:lang w:val="en-US"/>
    </w:rPr>
  </w:style>
  <w:style w:type="paragraph" w:styleId="ListParagraph">
    <w:name w:val="List Paragraph"/>
    <w:basedOn w:val="Normal"/>
    <w:uiPriority w:val="34"/>
    <w:qFormat/>
    <w:rsid w:val="00D30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59</cp:revision>
  <dcterms:created xsi:type="dcterms:W3CDTF">2016-08-15T10:34:00Z</dcterms:created>
  <dcterms:modified xsi:type="dcterms:W3CDTF">2016-08-24T06:55:00Z</dcterms:modified>
</cp:coreProperties>
</file>