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09" w:rsidRDefault="006D1009" w:rsidP="00FE4102">
      <w:r>
        <w:tab/>
      </w:r>
      <w:r>
        <w:tab/>
      </w:r>
      <w:r>
        <w:tab/>
      </w:r>
      <w:r>
        <w:tab/>
      </w:r>
      <w:r>
        <w:tab/>
      </w:r>
      <w:r>
        <w:tab/>
      </w:r>
      <w:r>
        <w:tab/>
      </w:r>
      <w:r>
        <w:tab/>
      </w:r>
      <w:r>
        <w:tab/>
      </w:r>
      <w:r>
        <w:tab/>
      </w:r>
      <w:r>
        <w:tab/>
      </w:r>
    </w:p>
    <w:p w:rsidR="00805CE3" w:rsidRDefault="00B9217F" w:rsidP="00613A4F">
      <w:r>
        <w:t>SERGEANT BOTORO</w:t>
      </w:r>
      <w:r w:rsidR="006D1009">
        <w:t xml:space="preserve"> 056068</w:t>
      </w:r>
    </w:p>
    <w:p w:rsidR="006D1009" w:rsidRDefault="006D1009" w:rsidP="00613A4F">
      <w:r>
        <w:t>Versus</w:t>
      </w:r>
    </w:p>
    <w:p w:rsidR="006D1009" w:rsidRDefault="006D1009" w:rsidP="00613A4F">
      <w:r>
        <w:t>THE COMMISSIONER GENERAL OF POLICE</w:t>
      </w:r>
    </w:p>
    <w:p w:rsidR="006D1009" w:rsidRDefault="006D1009" w:rsidP="00613A4F">
      <w:r>
        <w:t>And</w:t>
      </w:r>
    </w:p>
    <w:p w:rsidR="00413716" w:rsidRDefault="00413716" w:rsidP="00613A4F">
      <w:r>
        <w:t>THE POLICE SERVICE COMMISSION</w:t>
      </w:r>
    </w:p>
    <w:p w:rsidR="00413716" w:rsidRDefault="00413716" w:rsidP="00613A4F">
      <w:r>
        <w:t xml:space="preserve">And </w:t>
      </w:r>
    </w:p>
    <w:p w:rsidR="006D1009" w:rsidRDefault="006D1009" w:rsidP="00613A4F">
      <w:r>
        <w:t>SUPERINTENDENT NYONI (The trial officer)</w:t>
      </w:r>
    </w:p>
    <w:p w:rsidR="00613A4F" w:rsidRDefault="00613A4F" w:rsidP="00613A4F"/>
    <w:p w:rsidR="006D1009" w:rsidRDefault="006D1009" w:rsidP="00613A4F"/>
    <w:p w:rsidR="006D1009" w:rsidRDefault="006D1009" w:rsidP="00613A4F">
      <w:r>
        <w:t>HIGH COURT OF ZIMBABWE</w:t>
      </w:r>
    </w:p>
    <w:p w:rsidR="006D1009" w:rsidRDefault="006D1009" w:rsidP="00613A4F">
      <w:r>
        <w:t>BACHI MZAWAZ J</w:t>
      </w:r>
    </w:p>
    <w:p w:rsidR="006D1009" w:rsidRDefault="00A31F57" w:rsidP="00613A4F">
      <w:r>
        <w:t xml:space="preserve">HARARE, 17 January 2021 &amp; </w:t>
      </w:r>
      <w:bookmarkStart w:id="0" w:name="_GoBack"/>
      <w:bookmarkEnd w:id="0"/>
      <w:r w:rsidR="006D1009">
        <w:t>8 February,2023</w:t>
      </w:r>
    </w:p>
    <w:p w:rsidR="00613A4F" w:rsidRDefault="00613A4F" w:rsidP="00613A4F"/>
    <w:p w:rsidR="00613A4F" w:rsidRDefault="00613A4F" w:rsidP="00613A4F"/>
    <w:p w:rsidR="006D1009" w:rsidRDefault="006D1009" w:rsidP="00613A4F">
      <w:pPr>
        <w:rPr>
          <w:b/>
        </w:rPr>
      </w:pPr>
      <w:r w:rsidRPr="006D1009">
        <w:rPr>
          <w:b/>
        </w:rPr>
        <w:t xml:space="preserve">Opposed application for </w:t>
      </w:r>
      <w:r>
        <w:rPr>
          <w:b/>
        </w:rPr>
        <w:t>R</w:t>
      </w:r>
      <w:r w:rsidRPr="006D1009">
        <w:rPr>
          <w:b/>
        </w:rPr>
        <w:t>eview</w:t>
      </w:r>
    </w:p>
    <w:p w:rsidR="00613A4F" w:rsidRDefault="00613A4F" w:rsidP="00613A4F">
      <w:pPr>
        <w:rPr>
          <w:b/>
        </w:rPr>
      </w:pPr>
    </w:p>
    <w:p w:rsidR="006D1009" w:rsidRDefault="006D1009" w:rsidP="00613A4F">
      <w:r w:rsidRPr="00413716">
        <w:rPr>
          <w:i/>
        </w:rPr>
        <w:t xml:space="preserve">T. </w:t>
      </w:r>
      <w:proofErr w:type="spellStart"/>
      <w:r w:rsidRPr="00413716">
        <w:rPr>
          <w:i/>
        </w:rPr>
        <w:t>Muv</w:t>
      </w:r>
      <w:r w:rsidR="00413716" w:rsidRPr="00413716">
        <w:rPr>
          <w:i/>
        </w:rPr>
        <w:t>hami</w:t>
      </w:r>
      <w:proofErr w:type="spellEnd"/>
      <w:r w:rsidR="00413716">
        <w:t>, for the applicant</w:t>
      </w:r>
    </w:p>
    <w:p w:rsidR="00413716" w:rsidRDefault="00413716" w:rsidP="00613A4F">
      <w:r w:rsidRPr="00413716">
        <w:rPr>
          <w:i/>
        </w:rPr>
        <w:t xml:space="preserve">D. </w:t>
      </w:r>
      <w:proofErr w:type="spellStart"/>
      <w:r w:rsidRPr="00413716">
        <w:rPr>
          <w:i/>
        </w:rPr>
        <w:t>Jaricha</w:t>
      </w:r>
      <w:proofErr w:type="spellEnd"/>
      <w:r>
        <w:rPr>
          <w:i/>
        </w:rPr>
        <w:t>,</w:t>
      </w:r>
      <w:r>
        <w:t xml:space="preserve"> for the respondents</w:t>
      </w:r>
    </w:p>
    <w:p w:rsidR="00413716" w:rsidRDefault="00413716" w:rsidP="006D1009">
      <w:pPr>
        <w:spacing w:line="360" w:lineRule="auto"/>
      </w:pPr>
    </w:p>
    <w:p w:rsidR="007732B1" w:rsidRDefault="00413716" w:rsidP="00FE4102">
      <w:pPr>
        <w:spacing w:line="360" w:lineRule="auto"/>
        <w:ind w:firstLine="360"/>
        <w:jc w:val="both"/>
      </w:pPr>
      <w:r w:rsidRPr="00FE4102">
        <w:rPr>
          <w:b/>
          <w:bCs/>
        </w:rPr>
        <w:t>BACHI MZAWAZI J</w:t>
      </w:r>
      <w:r>
        <w:t xml:space="preserve">: </w:t>
      </w:r>
      <w:r w:rsidR="007732B1">
        <w:t xml:space="preserve">In this </w:t>
      </w:r>
      <w:r w:rsidR="003E5715">
        <w:t xml:space="preserve">opposed </w:t>
      </w:r>
      <w:r w:rsidR="007732B1">
        <w:t xml:space="preserve">application for </w:t>
      </w:r>
      <w:r w:rsidR="003D46CC">
        <w:t>review, applicant</w:t>
      </w:r>
      <w:r w:rsidR="007732B1">
        <w:t xml:space="preserve"> is seeking an order for the setting aside of both the conviction and sentence imposed on him by the </w:t>
      </w:r>
      <w:r w:rsidR="00BE5D0F">
        <w:t>respondents, the</w:t>
      </w:r>
      <w:r w:rsidR="007732B1">
        <w:t xml:space="preserve"> permanent stay of the prosecution of his offence in violation of paragraph 34 of the schedule to the Police Act</w:t>
      </w:r>
      <w:r w:rsidR="00BE5D0F">
        <w:t xml:space="preserve"> [</w:t>
      </w:r>
      <w:r w:rsidR="007732B1">
        <w:t>Chapter</w:t>
      </w:r>
      <w:r w:rsidR="00BE5D0F">
        <w:t>11:08], a</w:t>
      </w:r>
      <w:r w:rsidR="007732B1">
        <w:t>nd cost of suit.</w:t>
      </w:r>
      <w:r w:rsidR="003E5715">
        <w:t xml:space="preserve"> The </w:t>
      </w:r>
      <w:r w:rsidR="003D46CC">
        <w:t>unpolished grounds</w:t>
      </w:r>
      <w:r w:rsidR="003E5715">
        <w:t xml:space="preserve"> for review are as follow</w:t>
      </w:r>
      <w:r w:rsidR="004E1193">
        <w:t>s</w:t>
      </w:r>
      <w:r w:rsidR="003E5715">
        <w:t>;</w:t>
      </w:r>
    </w:p>
    <w:p w:rsidR="00B64CAA" w:rsidRDefault="00B64CAA" w:rsidP="00FE4102">
      <w:pPr>
        <w:spacing w:line="360" w:lineRule="auto"/>
        <w:jc w:val="both"/>
      </w:pPr>
    </w:p>
    <w:p w:rsidR="00B64CAA" w:rsidRDefault="00B64CAA" w:rsidP="00FE4102">
      <w:pPr>
        <w:pStyle w:val="ListParagraph"/>
        <w:numPr>
          <w:ilvl w:val="0"/>
          <w:numId w:val="8"/>
        </w:numPr>
        <w:spacing w:line="360" w:lineRule="auto"/>
        <w:jc w:val="both"/>
      </w:pPr>
      <w:r>
        <w:t>The 3</w:t>
      </w:r>
      <w:r w:rsidRPr="00B64CAA">
        <w:rPr>
          <w:vertAlign w:val="superscript"/>
        </w:rPr>
        <w:t>rd</w:t>
      </w:r>
      <w:r>
        <w:t xml:space="preserve"> Respondent did not give reasons for sentence. As it stands the sentence remains guesswork. The 1</w:t>
      </w:r>
      <w:r w:rsidRPr="00B64CAA">
        <w:rPr>
          <w:vertAlign w:val="superscript"/>
        </w:rPr>
        <w:t>st</w:t>
      </w:r>
      <w:r>
        <w:t xml:space="preserve"> respondent surprisingly appears to have accepted that fatal irregularity.</w:t>
      </w:r>
    </w:p>
    <w:p w:rsidR="00B64CAA" w:rsidRDefault="00B64CAA" w:rsidP="00FE4102">
      <w:pPr>
        <w:pStyle w:val="ListParagraph"/>
        <w:numPr>
          <w:ilvl w:val="0"/>
          <w:numId w:val="8"/>
        </w:numPr>
        <w:spacing w:line="360" w:lineRule="auto"/>
        <w:jc w:val="both"/>
      </w:pPr>
      <w:r>
        <w:t>The 3</w:t>
      </w:r>
      <w:r w:rsidRPr="00B64CAA">
        <w:rPr>
          <w:vertAlign w:val="superscript"/>
        </w:rPr>
        <w:t>rd</w:t>
      </w:r>
      <w:r>
        <w:t xml:space="preserve"> Respondent failed to treat the trial court as a court of record. That alone constitutes a gross irregularity which is fatal. It is mind boggling how the first respondent condoned that conduct.</w:t>
      </w:r>
    </w:p>
    <w:p w:rsidR="00241640" w:rsidRDefault="00B64CAA" w:rsidP="00FE4102">
      <w:pPr>
        <w:pStyle w:val="ListParagraph"/>
        <w:numPr>
          <w:ilvl w:val="0"/>
          <w:numId w:val="8"/>
        </w:numPr>
        <w:spacing w:line="360" w:lineRule="auto"/>
        <w:jc w:val="both"/>
      </w:pPr>
      <w:r>
        <w:t>The 1</w:t>
      </w:r>
      <w:r w:rsidRPr="00B64CAA">
        <w:rPr>
          <w:vertAlign w:val="superscript"/>
        </w:rPr>
        <w:t>st</w:t>
      </w:r>
      <w:r>
        <w:t xml:space="preserve"> respondent allowed </w:t>
      </w:r>
      <w:r w:rsidR="00241640">
        <w:t>a conviction of the Applicant where there is no nexus between the elements of the offence and the Applicant.</w:t>
      </w:r>
    </w:p>
    <w:p w:rsidR="00241640" w:rsidRDefault="00241640" w:rsidP="00FE4102">
      <w:pPr>
        <w:pStyle w:val="ListParagraph"/>
        <w:numPr>
          <w:ilvl w:val="0"/>
          <w:numId w:val="8"/>
        </w:numPr>
        <w:spacing w:line="360" w:lineRule="auto"/>
        <w:jc w:val="both"/>
      </w:pPr>
      <w:r>
        <w:t>The 1</w:t>
      </w:r>
      <w:r w:rsidRPr="00241640">
        <w:rPr>
          <w:vertAlign w:val="superscript"/>
        </w:rPr>
        <w:t>st</w:t>
      </w:r>
      <w:r>
        <w:t xml:space="preserve"> respondent disposed of the appeal without hearing the applicant contrary to provisions of section 69 of the Constitution.</w:t>
      </w:r>
      <w:r w:rsidR="007732B1">
        <w:t xml:space="preserve"> </w:t>
      </w:r>
    </w:p>
    <w:p w:rsidR="003D46CC" w:rsidRDefault="003D46CC" w:rsidP="00FE4102">
      <w:pPr>
        <w:spacing w:line="360" w:lineRule="auto"/>
        <w:ind w:left="360"/>
        <w:jc w:val="both"/>
      </w:pPr>
    </w:p>
    <w:p w:rsidR="002901C1" w:rsidRDefault="00241640" w:rsidP="00FE4102">
      <w:pPr>
        <w:spacing w:line="360" w:lineRule="auto"/>
        <w:ind w:left="360" w:firstLine="349"/>
        <w:jc w:val="both"/>
      </w:pPr>
      <w:r>
        <w:t xml:space="preserve">At the hearing of the matter, the first ground of appeal was abandoned and accordingly struck off.  An application for condonation for the late filing of heads of argument and the upliftment of </w:t>
      </w:r>
      <w:r w:rsidR="002901C1">
        <w:t>the automatic bar</w:t>
      </w:r>
      <w:r>
        <w:t xml:space="preserve"> was</w:t>
      </w:r>
      <w:r w:rsidR="002901C1">
        <w:t xml:space="preserve"> through the consensus of the parties granted.</w:t>
      </w:r>
      <w:r w:rsidR="00BE5D0F">
        <w:t xml:space="preserve"> Both parties abided by their written submissions.</w:t>
      </w:r>
    </w:p>
    <w:p w:rsidR="00BE5D0F" w:rsidRDefault="00BE5D0F" w:rsidP="00FE4102">
      <w:pPr>
        <w:spacing w:line="360" w:lineRule="auto"/>
        <w:ind w:left="360"/>
        <w:jc w:val="both"/>
      </w:pPr>
    </w:p>
    <w:p w:rsidR="003E5715" w:rsidRDefault="003E5715" w:rsidP="00FE4102">
      <w:pPr>
        <w:spacing w:line="360" w:lineRule="auto"/>
        <w:ind w:left="360"/>
        <w:jc w:val="both"/>
      </w:pPr>
      <w:r>
        <w:lastRenderedPageBreak/>
        <w:t xml:space="preserve">This is one of those applications where the court, if not for the </w:t>
      </w:r>
      <w:r w:rsidR="00A8334E">
        <w:t>interests</w:t>
      </w:r>
      <w:r>
        <w:t xml:space="preserve"> of justice and finality to litigation would not have entertained. The papers are in disarray and it shows lack of seriousness on the part of the legal practitioner concerned.  In future the court will not hesitate to have the matter struck off the roll.</w:t>
      </w:r>
    </w:p>
    <w:p w:rsidR="003E5715" w:rsidRDefault="003E5715" w:rsidP="00FE4102">
      <w:pPr>
        <w:spacing w:line="360" w:lineRule="auto"/>
        <w:ind w:left="360"/>
        <w:jc w:val="both"/>
      </w:pPr>
    </w:p>
    <w:p w:rsidR="002901C1" w:rsidRDefault="003E5715" w:rsidP="00FE4102">
      <w:pPr>
        <w:spacing w:line="360" w:lineRule="auto"/>
        <w:ind w:left="360" w:firstLine="349"/>
        <w:jc w:val="both"/>
      </w:pPr>
      <w:r>
        <w:t xml:space="preserve">Briefly, </w:t>
      </w:r>
      <w:r w:rsidR="002901C1">
        <w:t xml:space="preserve">the applicant, a member of the police force was charged and </w:t>
      </w:r>
      <w:r>
        <w:t>convicted for</w:t>
      </w:r>
      <w:r w:rsidR="00FE4102">
        <w:t xml:space="preserve"> </w:t>
      </w:r>
      <w:r w:rsidR="00B9217F">
        <w:t>contravening paragraph 34 of the schedule to the Police Act Chapter 11:10 section 29 and 30 of</w:t>
      </w:r>
      <w:r w:rsidR="00FE4102">
        <w:t xml:space="preserve"> </w:t>
      </w:r>
      <w:r w:rsidR="00B9217F">
        <w:t>the said</w:t>
      </w:r>
      <w:r w:rsidR="002901C1">
        <w:t xml:space="preserve"> Police Act </w:t>
      </w:r>
      <w:r w:rsidR="00BE5D0F">
        <w:t>[</w:t>
      </w:r>
      <w:r w:rsidR="002901C1">
        <w:t>Chapter</w:t>
      </w:r>
      <w:r w:rsidR="00BE5D0F">
        <w:t xml:space="preserve">, 10:11], </w:t>
      </w:r>
      <w:r w:rsidR="002901C1">
        <w:t>by the 3</w:t>
      </w:r>
      <w:r w:rsidR="002901C1" w:rsidRPr="002901C1">
        <w:rPr>
          <w:vertAlign w:val="superscript"/>
        </w:rPr>
        <w:t>rd</w:t>
      </w:r>
      <w:r w:rsidR="002901C1">
        <w:t xml:space="preserve"> respondent in</w:t>
      </w:r>
      <w:r w:rsidR="00BE5D0F">
        <w:t xml:space="preserve"> a</w:t>
      </w:r>
      <w:r w:rsidR="002901C1">
        <w:t xml:space="preserve"> disciplinary </w:t>
      </w:r>
      <w:r w:rsidR="00BE5D0F">
        <w:t>trial</w:t>
      </w:r>
      <w:r w:rsidR="002901C1">
        <w:t xml:space="preserve"> convened for that purpose.</w:t>
      </w:r>
      <w:r w:rsidR="00B9217F">
        <w:t xml:space="preserve"> </w:t>
      </w:r>
      <w:r w:rsidR="002901C1">
        <w:t xml:space="preserve"> The charge was framed as </w:t>
      </w:r>
      <w:r w:rsidR="00B9217F">
        <w:t xml:space="preserve">“Performing any duty in an improper manner”. </w:t>
      </w:r>
      <w:r w:rsidR="002901C1">
        <w:t xml:space="preserve"> The allegations being that applicant</w:t>
      </w:r>
      <w:r w:rsidR="00B9217F">
        <w:t xml:space="preserve"> performed duty in an improper manner by clearing two oxen in the name of </w:t>
      </w:r>
      <w:proofErr w:type="spellStart"/>
      <w:r w:rsidR="00B9217F">
        <w:t>Elphas</w:t>
      </w:r>
      <w:proofErr w:type="spellEnd"/>
      <w:r w:rsidR="00B9217F">
        <w:t xml:space="preserve"> </w:t>
      </w:r>
      <w:proofErr w:type="spellStart"/>
      <w:r w:rsidR="00B9217F">
        <w:t>Mafoti</w:t>
      </w:r>
      <w:proofErr w:type="spellEnd"/>
      <w:r w:rsidR="00B9217F">
        <w:t xml:space="preserve"> on ZRP Form 392 serial number 3004369 without following the Police Service clearance procedures as stipulated by ZRP circular 04/2009. </w:t>
      </w:r>
      <w:r>
        <w:t xml:space="preserve">   </w:t>
      </w:r>
    </w:p>
    <w:p w:rsidR="00805CE3" w:rsidRDefault="00805CE3" w:rsidP="00FE4102">
      <w:pPr>
        <w:spacing w:line="360" w:lineRule="auto"/>
        <w:jc w:val="both"/>
      </w:pPr>
    </w:p>
    <w:p w:rsidR="00805CE3" w:rsidRDefault="002901C1" w:rsidP="00FE4102">
      <w:pPr>
        <w:spacing w:line="360" w:lineRule="auto"/>
        <w:ind w:firstLine="360"/>
        <w:jc w:val="both"/>
      </w:pPr>
      <w:r>
        <w:t>The</w:t>
      </w:r>
      <w:r w:rsidR="003E5715">
        <w:t xml:space="preserve"> factual</w:t>
      </w:r>
      <w:r>
        <w:t xml:space="preserve"> background is that, the applicant who was in charge of anti</w:t>
      </w:r>
      <w:r w:rsidR="00BE5D0F">
        <w:t>-</w:t>
      </w:r>
      <w:r>
        <w:t>stock theft,</w:t>
      </w:r>
      <w:r w:rsidR="00577DA5">
        <w:t xml:space="preserve"> procedurally</w:t>
      </w:r>
      <w:r>
        <w:t xml:space="preserve"> issued out a stock cle</w:t>
      </w:r>
      <w:r w:rsidR="00577DA5">
        <w:t xml:space="preserve">arance certificate to one </w:t>
      </w:r>
      <w:proofErr w:type="spellStart"/>
      <w:r w:rsidR="00577DA5">
        <w:t>Elphas</w:t>
      </w:r>
      <w:proofErr w:type="spellEnd"/>
      <w:r w:rsidR="00577DA5">
        <w:t xml:space="preserve"> </w:t>
      </w:r>
      <w:proofErr w:type="spellStart"/>
      <w:r w:rsidR="00577DA5">
        <w:t>Mafoti</w:t>
      </w:r>
      <w:proofErr w:type="spellEnd"/>
      <w:r w:rsidR="00577DA5">
        <w:t>. It is alleged that, the livestock clearance</w:t>
      </w:r>
      <w:r w:rsidR="00BE5D0F">
        <w:t xml:space="preserve"> certificate</w:t>
      </w:r>
      <w:r w:rsidR="00577DA5">
        <w:t xml:space="preserve"> showed that the seller was the same as the buyer yet the applicant was supposed to visit the kraal were the alleged beasts where, ascertain the owner of the beast as reflected on the stock card and confirm with the village head that indeed the owner of the beast is the one disposing of the livestock.  In addition, it was the applicant’s duty to carry the permits book to the said kraal and enter the requisite details in triplicate.</w:t>
      </w:r>
    </w:p>
    <w:p w:rsidR="00577DA5" w:rsidRDefault="00577DA5" w:rsidP="00FE4102">
      <w:pPr>
        <w:spacing w:line="360" w:lineRule="auto"/>
        <w:jc w:val="both"/>
      </w:pPr>
    </w:p>
    <w:p w:rsidR="00805CE3" w:rsidRDefault="003E5715" w:rsidP="00FE4102">
      <w:pPr>
        <w:spacing w:line="360" w:lineRule="auto"/>
        <w:ind w:firstLine="360"/>
        <w:jc w:val="both"/>
      </w:pPr>
      <w:r>
        <w:t xml:space="preserve">It is </w:t>
      </w:r>
      <w:r w:rsidR="00577DA5">
        <w:t>common ca</w:t>
      </w:r>
      <w:r w:rsidR="00BE5D0F">
        <w:t>u</w:t>
      </w:r>
      <w:r w:rsidR="00577DA5">
        <w:t>se that</w:t>
      </w:r>
      <w:r w:rsidR="00BE5D0F">
        <w:t>,</w:t>
      </w:r>
      <w:r w:rsidR="00577DA5">
        <w:t xml:space="preserve"> the evidence which was led by the </w:t>
      </w:r>
      <w:r w:rsidR="00BE5D0F">
        <w:t>State</w:t>
      </w:r>
      <w:r w:rsidR="00577DA5">
        <w:t xml:space="preserve"> revealed that the name of the village head entered by the applicant in the said documents was non-existent.  The person to whom the beasts were cleared to had no cattle pen at his homestead nor did he have any cattle of his own.  There were also discrepancies on the triplicate copies issued out by applicant with the original and the duplicate indicating forgery and tampering.</w:t>
      </w:r>
      <w:r w:rsidR="006D1BC1">
        <w:t xml:space="preserve"> Evidence led also linked the applicant to the seller in that there was an exchange of an amount of $50.00 eco cash in between them. </w:t>
      </w:r>
    </w:p>
    <w:p w:rsidR="00805CE3" w:rsidRDefault="00805CE3" w:rsidP="00FE4102">
      <w:pPr>
        <w:jc w:val="both"/>
      </w:pPr>
    </w:p>
    <w:p w:rsidR="00805CE3" w:rsidRDefault="003E5715" w:rsidP="00FE4102">
      <w:pPr>
        <w:spacing w:line="360" w:lineRule="auto"/>
        <w:ind w:firstLine="360"/>
        <w:jc w:val="both"/>
      </w:pPr>
      <w:r>
        <w:t>A</w:t>
      </w:r>
      <w:r w:rsidR="006D1BC1">
        <w:t xml:space="preserve">pplicant admitted clearing one beast to </w:t>
      </w:r>
      <w:proofErr w:type="spellStart"/>
      <w:r w:rsidR="006D1BC1">
        <w:t>Eliphas</w:t>
      </w:r>
      <w:proofErr w:type="spellEnd"/>
      <w:r w:rsidR="006D1BC1">
        <w:t xml:space="preserve"> </w:t>
      </w:r>
      <w:proofErr w:type="spellStart"/>
      <w:r w:rsidR="006D1BC1">
        <w:t>Mafoti’s</w:t>
      </w:r>
      <w:proofErr w:type="spellEnd"/>
      <w:r w:rsidR="006D1BC1">
        <w:t xml:space="preserve"> but denied any wrong doing but that he was being framed by this second witness, the alleged buyer who was convicted of the theft of the same beasts by the criminal court.</w:t>
      </w:r>
      <w:r w:rsidR="00B9217F">
        <w:t xml:space="preserve"> </w:t>
      </w:r>
      <w:r w:rsidR="006D1BC1">
        <w:t>H</w:t>
      </w:r>
      <w:r w:rsidR="00B9217F">
        <w:t>e</w:t>
      </w:r>
      <w:r w:rsidR="006D1BC1">
        <w:t xml:space="preserve"> stated that </w:t>
      </w:r>
      <w:r w:rsidR="00B9217F">
        <w:t xml:space="preserve">he followed all procedural requirements as per circular 04/2009. He indicated that he physically went to </w:t>
      </w:r>
      <w:proofErr w:type="spellStart"/>
      <w:r w:rsidR="00B9217F">
        <w:t>Eliphas</w:t>
      </w:r>
      <w:proofErr w:type="spellEnd"/>
      <w:r w:rsidR="00B9217F">
        <w:t xml:space="preserve"> </w:t>
      </w:r>
      <w:proofErr w:type="spellStart"/>
      <w:r w:rsidR="00B9217F">
        <w:t>Mafoti’s</w:t>
      </w:r>
      <w:proofErr w:type="spellEnd"/>
      <w:r w:rsidR="00B9217F">
        <w:t xml:space="preserve"> homestead and physically checked the cow and a witness (</w:t>
      </w:r>
      <w:r w:rsidR="00300D7D">
        <w:t>w</w:t>
      </w:r>
      <w:r w:rsidR="00B9217F">
        <w:t xml:space="preserve">ho was not mentioned) confirmed ownership and clearance was done. The </w:t>
      </w:r>
      <w:r w:rsidR="006D1BC1">
        <w:t>applicant</w:t>
      </w:r>
      <w:r w:rsidR="00300D7D">
        <w:t xml:space="preserve"> further indicated</w:t>
      </w:r>
      <w:r w:rsidR="00B9217F">
        <w:t xml:space="preserve"> that he gave </w:t>
      </w:r>
      <w:proofErr w:type="spellStart"/>
      <w:r w:rsidR="00B9217F">
        <w:t>Elphas</w:t>
      </w:r>
      <w:proofErr w:type="spellEnd"/>
      <w:r w:rsidR="00B9217F">
        <w:t xml:space="preserve"> </w:t>
      </w:r>
      <w:proofErr w:type="spellStart"/>
      <w:r w:rsidR="00B9217F">
        <w:t>Mafoti</w:t>
      </w:r>
      <w:proofErr w:type="spellEnd"/>
      <w:r w:rsidR="00B9217F">
        <w:t xml:space="preserve"> two copies of completed Form 392 which had exactly the same information as the fast copy. </w:t>
      </w:r>
      <w:r w:rsidR="006D1BC1">
        <w:t>He told the trial officer, that</w:t>
      </w:r>
      <w:r w:rsidR="00B9217F">
        <w:t xml:space="preserve"> that an amount </w:t>
      </w:r>
      <w:r w:rsidR="00B9217F">
        <w:lastRenderedPageBreak/>
        <w:t xml:space="preserve">of RTGS$50.00 was payment of money he had given to </w:t>
      </w:r>
      <w:proofErr w:type="spellStart"/>
      <w:r w:rsidR="00B9217F">
        <w:t>Elphas</w:t>
      </w:r>
      <w:proofErr w:type="spellEnd"/>
      <w:r w:rsidR="00B9217F">
        <w:t xml:space="preserve"> </w:t>
      </w:r>
      <w:proofErr w:type="spellStart"/>
      <w:r w:rsidR="00B9217F">
        <w:t>Mafoti</w:t>
      </w:r>
      <w:proofErr w:type="spellEnd"/>
      <w:r w:rsidR="00B9217F">
        <w:t xml:space="preserve"> for fuel since fuel dealers demanded cash as payment. </w:t>
      </w:r>
      <w:r w:rsidR="006D1BC1">
        <w:t xml:space="preserve">He also denied the initial allegations that he was an accomplice to the stock theft as </w:t>
      </w:r>
      <w:proofErr w:type="spellStart"/>
      <w:r w:rsidR="006D1BC1">
        <w:t>hei</w:t>
      </w:r>
      <w:proofErr w:type="spellEnd"/>
      <w:r w:rsidR="006D1BC1">
        <w:t xml:space="preserve"> the one who had sold the beasts to the said </w:t>
      </w:r>
      <w:proofErr w:type="spellStart"/>
      <w:r w:rsidR="006D1BC1">
        <w:t>Mafoti</w:t>
      </w:r>
      <w:proofErr w:type="spellEnd"/>
      <w:r w:rsidR="006D1BC1">
        <w:t>. He further refuted</w:t>
      </w:r>
      <w:r w:rsidR="00B9217F">
        <w:t xml:space="preserve"> ever receiving USD500.00</w:t>
      </w:r>
    </w:p>
    <w:p w:rsidR="00805CE3" w:rsidRDefault="00805CE3" w:rsidP="00FE4102">
      <w:pPr>
        <w:jc w:val="both"/>
      </w:pPr>
    </w:p>
    <w:p w:rsidR="00C7008C" w:rsidRDefault="0042058E" w:rsidP="00FE4102">
      <w:pPr>
        <w:spacing w:line="360" w:lineRule="auto"/>
        <w:ind w:firstLine="360"/>
        <w:jc w:val="both"/>
        <w:rPr>
          <w:bCs/>
        </w:rPr>
      </w:pPr>
      <w:r>
        <w:rPr>
          <w:bCs/>
        </w:rPr>
        <w:t xml:space="preserve">Nevertheless, </w:t>
      </w:r>
      <w:r w:rsidR="00C7008C" w:rsidRPr="00C7008C">
        <w:rPr>
          <w:bCs/>
        </w:rPr>
        <w:t>Applicant was convicted and sentenced to 10 days imprisonment at Chikurubi Detention Barracks.</w:t>
      </w:r>
      <w:r w:rsidR="003E5715">
        <w:rPr>
          <w:bCs/>
        </w:rPr>
        <w:t xml:space="preserve"> </w:t>
      </w:r>
      <w:r w:rsidR="00C7008C" w:rsidRPr="00C7008C">
        <w:rPr>
          <w:bCs/>
        </w:rPr>
        <w:t>His appeal to the 1</w:t>
      </w:r>
      <w:r w:rsidR="00C7008C" w:rsidRPr="00C7008C">
        <w:rPr>
          <w:bCs/>
          <w:vertAlign w:val="superscript"/>
        </w:rPr>
        <w:t>st</w:t>
      </w:r>
      <w:r w:rsidR="00C7008C" w:rsidRPr="00C7008C">
        <w:rPr>
          <w:bCs/>
        </w:rPr>
        <w:t xml:space="preserve"> Respondent </w:t>
      </w:r>
      <w:r w:rsidR="00C7008C">
        <w:rPr>
          <w:bCs/>
        </w:rPr>
        <w:t xml:space="preserve">in term of section 37 of </w:t>
      </w:r>
      <w:r w:rsidR="00BE5D0F">
        <w:rPr>
          <w:bCs/>
        </w:rPr>
        <w:t>the Police</w:t>
      </w:r>
      <w:r w:rsidR="00C7008C">
        <w:rPr>
          <w:bCs/>
        </w:rPr>
        <w:t xml:space="preserve"> Act,</w:t>
      </w:r>
      <w:r w:rsidR="00BE5D0F">
        <w:rPr>
          <w:bCs/>
        </w:rPr>
        <w:t xml:space="preserve"> [Chapter, 11:08]</w:t>
      </w:r>
      <w:r w:rsidR="00C7008C">
        <w:rPr>
          <w:bCs/>
        </w:rPr>
        <w:t xml:space="preserve"> </w:t>
      </w:r>
      <w:r w:rsidR="00C7008C" w:rsidRPr="00C7008C">
        <w:rPr>
          <w:bCs/>
        </w:rPr>
        <w:t>against the decision of the 3</w:t>
      </w:r>
      <w:r w:rsidR="00C7008C" w:rsidRPr="00C7008C">
        <w:rPr>
          <w:bCs/>
          <w:vertAlign w:val="superscript"/>
        </w:rPr>
        <w:t>rd</w:t>
      </w:r>
      <w:r w:rsidR="00C7008C" w:rsidRPr="00C7008C">
        <w:rPr>
          <w:bCs/>
        </w:rPr>
        <w:t xml:space="preserve"> respondent was unsuccessful. He has now approached this court challenging both decisions simultaneously. </w:t>
      </w:r>
      <w:r w:rsidR="00C7008C">
        <w:rPr>
          <w:bCs/>
        </w:rPr>
        <w:t xml:space="preserve"> </w:t>
      </w:r>
    </w:p>
    <w:p w:rsidR="00C7008C" w:rsidRDefault="00C7008C" w:rsidP="00FE4102">
      <w:pPr>
        <w:spacing w:line="360" w:lineRule="auto"/>
        <w:jc w:val="both"/>
        <w:rPr>
          <w:b/>
          <w:bCs/>
        </w:rPr>
      </w:pPr>
    </w:p>
    <w:p w:rsidR="00C7008C" w:rsidRDefault="00C7008C" w:rsidP="00FE4102">
      <w:pPr>
        <w:spacing w:line="360" w:lineRule="auto"/>
        <w:ind w:firstLine="360"/>
        <w:jc w:val="both"/>
        <w:rPr>
          <w:bCs/>
        </w:rPr>
      </w:pPr>
      <w:r w:rsidRPr="002B388D">
        <w:rPr>
          <w:bCs/>
        </w:rPr>
        <w:t>The respondents argue that</w:t>
      </w:r>
      <w:r w:rsidR="002B388D">
        <w:rPr>
          <w:bCs/>
        </w:rPr>
        <w:t xml:space="preserve"> whilst this court is empowered to review proceedings and decisions of inferior courts and </w:t>
      </w:r>
      <w:r w:rsidR="00300D7D">
        <w:rPr>
          <w:bCs/>
        </w:rPr>
        <w:t xml:space="preserve">tribunals </w:t>
      </w:r>
      <w:r w:rsidR="00300D7D" w:rsidRPr="002B388D">
        <w:rPr>
          <w:bCs/>
        </w:rPr>
        <w:t>there</w:t>
      </w:r>
      <w:r w:rsidR="002B388D" w:rsidRPr="002B388D">
        <w:rPr>
          <w:bCs/>
        </w:rPr>
        <w:t xml:space="preserve"> is no basis upon which this court can interfere with the findings of the respondents as they were not grossly irregular.</w:t>
      </w:r>
    </w:p>
    <w:p w:rsidR="00654E63" w:rsidRDefault="00654E63" w:rsidP="00FE4102">
      <w:pPr>
        <w:spacing w:line="360" w:lineRule="auto"/>
        <w:jc w:val="both"/>
        <w:rPr>
          <w:bCs/>
        </w:rPr>
      </w:pPr>
    </w:p>
    <w:p w:rsidR="00654E63" w:rsidRDefault="002B388D" w:rsidP="00FE4102">
      <w:pPr>
        <w:spacing w:line="360" w:lineRule="auto"/>
        <w:jc w:val="both"/>
        <w:rPr>
          <w:bCs/>
          <w:i/>
        </w:rPr>
      </w:pPr>
      <w:r>
        <w:rPr>
          <w:bCs/>
        </w:rPr>
        <w:t xml:space="preserve"> </w:t>
      </w:r>
      <w:r w:rsidR="00FE4102">
        <w:rPr>
          <w:bCs/>
        </w:rPr>
        <w:tab/>
      </w:r>
      <w:r>
        <w:rPr>
          <w:bCs/>
        </w:rPr>
        <w:t>On analysis, it is trite that in terms of section 26 and 27 of the High Court Act, [Chapter 7</w:t>
      </w:r>
      <w:r w:rsidR="00BE5D0F">
        <w:rPr>
          <w:bCs/>
        </w:rPr>
        <w:t>:</w:t>
      </w:r>
      <w:r>
        <w:rPr>
          <w:bCs/>
        </w:rPr>
        <w:t>06</w:t>
      </w:r>
      <w:r w:rsidR="00BE5D0F">
        <w:rPr>
          <w:bCs/>
        </w:rPr>
        <w:t>,</w:t>
      </w:r>
      <w:r>
        <w:rPr>
          <w:bCs/>
        </w:rPr>
        <w:t>]</w:t>
      </w:r>
      <w:r w:rsidR="00BE5D0F">
        <w:rPr>
          <w:bCs/>
        </w:rPr>
        <w:t xml:space="preserve"> </w:t>
      </w:r>
      <w:r>
        <w:rPr>
          <w:bCs/>
        </w:rPr>
        <w:t>this court has inherent jurisdiction to entertain o</w:t>
      </w:r>
      <w:r w:rsidR="00654E63">
        <w:rPr>
          <w:bCs/>
        </w:rPr>
        <w:t>r</w:t>
      </w:r>
      <w:r>
        <w:rPr>
          <w:bCs/>
        </w:rPr>
        <w:t xml:space="preserve"> review all proceedings and decisions as advanced by the respondents above.</w:t>
      </w:r>
      <w:r w:rsidR="00654E63">
        <w:rPr>
          <w:bCs/>
        </w:rPr>
        <w:t xml:space="preserve"> Section 27,</w:t>
      </w:r>
      <w:r w:rsidR="00E909A1">
        <w:rPr>
          <w:bCs/>
        </w:rPr>
        <w:t xml:space="preserve"> </w:t>
      </w:r>
      <w:r w:rsidR="00654E63">
        <w:rPr>
          <w:bCs/>
        </w:rPr>
        <w:t xml:space="preserve">outlines the grounds upon which the decisions of lower courts may be reviewed. It stipulates absence of jurisdiction, interest in the cause, bias, malice, </w:t>
      </w:r>
      <w:r w:rsidR="00FE4102">
        <w:rPr>
          <w:bCs/>
        </w:rPr>
        <w:t>or corruption</w:t>
      </w:r>
      <w:r w:rsidR="00654E63">
        <w:rPr>
          <w:bCs/>
        </w:rPr>
        <w:t xml:space="preserve"> and gross irregularity in the proceedings or decision concerned. Section 28 denotes </w:t>
      </w:r>
      <w:r w:rsidR="00FE4102">
        <w:rPr>
          <w:bCs/>
        </w:rPr>
        <w:t>that on</w:t>
      </w:r>
      <w:r w:rsidR="00654E63">
        <w:rPr>
          <w:bCs/>
        </w:rPr>
        <w:t xml:space="preserve"> review of any civil proceedings the High Court may set aside or correct the proceedings or decision. </w:t>
      </w:r>
      <w:r w:rsidR="00FE4102">
        <w:rPr>
          <w:bCs/>
        </w:rPr>
        <w:t>See,</w:t>
      </w:r>
      <w:r w:rsidR="00654E63">
        <w:rPr>
          <w:bCs/>
        </w:rPr>
        <w:t xml:space="preserve"> </w:t>
      </w:r>
      <w:r w:rsidR="00654E63">
        <w:rPr>
          <w:bCs/>
          <w:i/>
        </w:rPr>
        <w:t>Masvingo Rural Distric</w:t>
      </w:r>
      <w:r w:rsidR="006935A0">
        <w:rPr>
          <w:bCs/>
          <w:i/>
        </w:rPr>
        <w:t xml:space="preserve">t </w:t>
      </w:r>
      <w:r w:rsidR="00654E63">
        <w:rPr>
          <w:bCs/>
          <w:i/>
        </w:rPr>
        <w:t xml:space="preserve">Council v </w:t>
      </w:r>
      <w:proofErr w:type="spellStart"/>
      <w:r w:rsidR="00654E63">
        <w:rPr>
          <w:bCs/>
          <w:i/>
        </w:rPr>
        <w:t>Chikwenya</w:t>
      </w:r>
      <w:proofErr w:type="spellEnd"/>
      <w:r w:rsidR="00654E63">
        <w:rPr>
          <w:bCs/>
          <w:i/>
        </w:rPr>
        <w:t xml:space="preserve"> &amp; ORs 2000(</w:t>
      </w:r>
      <w:proofErr w:type="gramStart"/>
      <w:r w:rsidR="00654E63">
        <w:rPr>
          <w:bCs/>
          <w:i/>
        </w:rPr>
        <w:t>1)ZLR</w:t>
      </w:r>
      <w:proofErr w:type="gramEnd"/>
      <w:r w:rsidR="00654E63">
        <w:rPr>
          <w:bCs/>
          <w:i/>
        </w:rPr>
        <w:t>.</w:t>
      </w:r>
    </w:p>
    <w:p w:rsidR="00654E63" w:rsidRDefault="00654E63" w:rsidP="00FE4102">
      <w:pPr>
        <w:spacing w:line="360" w:lineRule="auto"/>
        <w:jc w:val="both"/>
        <w:rPr>
          <w:bCs/>
        </w:rPr>
      </w:pPr>
    </w:p>
    <w:p w:rsidR="00AD75AA" w:rsidRDefault="002B388D" w:rsidP="00FE4102">
      <w:pPr>
        <w:spacing w:line="360" w:lineRule="auto"/>
        <w:jc w:val="both"/>
        <w:rPr>
          <w:rFonts w:cs="Times New Roman"/>
        </w:rPr>
      </w:pPr>
      <w:r>
        <w:rPr>
          <w:bCs/>
        </w:rPr>
        <w:t xml:space="preserve"> </w:t>
      </w:r>
      <w:r w:rsidR="00FE4102">
        <w:rPr>
          <w:bCs/>
        </w:rPr>
        <w:tab/>
      </w:r>
      <w:r>
        <w:rPr>
          <w:bCs/>
        </w:rPr>
        <w:t xml:space="preserve">However, upper courts in general are wary to </w:t>
      </w:r>
      <w:r w:rsidR="00300D7D">
        <w:rPr>
          <w:bCs/>
        </w:rPr>
        <w:t>interfere</w:t>
      </w:r>
      <w:r>
        <w:rPr>
          <w:bCs/>
        </w:rPr>
        <w:t xml:space="preserve"> with such decisions and the autonomy of quasi- judicial bodies serve in very exceptional circumstance of grace injustices and or gross miscarriage of justice. </w:t>
      </w:r>
      <w:r w:rsidR="00AD75AA" w:rsidRPr="00905E31">
        <w:rPr>
          <w:rFonts w:cs="Times New Roman"/>
        </w:rPr>
        <w:t xml:space="preserve"> </w:t>
      </w:r>
      <w:r w:rsidR="00AD75AA">
        <w:rPr>
          <w:rFonts w:cs="Times New Roman"/>
        </w:rPr>
        <w:t xml:space="preserve"> In </w:t>
      </w:r>
      <w:proofErr w:type="spellStart"/>
      <w:r w:rsidR="00AD75AA" w:rsidRPr="00427E52">
        <w:rPr>
          <w:rFonts w:cs="Times New Roman"/>
          <w:i/>
        </w:rPr>
        <w:t>Choruma</w:t>
      </w:r>
      <w:proofErr w:type="spellEnd"/>
      <w:r w:rsidR="00AD75AA" w:rsidRPr="00427E52">
        <w:rPr>
          <w:rFonts w:cs="Times New Roman"/>
          <w:i/>
        </w:rPr>
        <w:t xml:space="preserve"> Blasting and</w:t>
      </w:r>
      <w:r w:rsidR="00AD75AA">
        <w:rPr>
          <w:rFonts w:cs="Times New Roman"/>
        </w:rPr>
        <w:t xml:space="preserve"> </w:t>
      </w:r>
      <w:r w:rsidR="00AD75AA" w:rsidRPr="00A401B3">
        <w:rPr>
          <w:rFonts w:cs="Times New Roman"/>
          <w:i/>
        </w:rPr>
        <w:t>Earthmoving Service (Pvt) Ltd</w:t>
      </w:r>
      <w:r w:rsidR="00AD75AA">
        <w:rPr>
          <w:rFonts w:cs="Times New Roman"/>
        </w:rPr>
        <w:t xml:space="preserve"> v </w:t>
      </w:r>
      <w:proofErr w:type="spellStart"/>
      <w:r w:rsidR="00AD75AA" w:rsidRPr="00A401B3">
        <w:rPr>
          <w:rFonts w:cs="Times New Roman"/>
          <w:i/>
        </w:rPr>
        <w:t>Njanja</w:t>
      </w:r>
      <w:proofErr w:type="spellEnd"/>
      <w:r w:rsidR="00AD75AA" w:rsidRPr="00A401B3">
        <w:rPr>
          <w:rFonts w:cs="Times New Roman"/>
          <w:i/>
        </w:rPr>
        <w:t xml:space="preserve"> &amp; </w:t>
      </w:r>
      <w:proofErr w:type="spellStart"/>
      <w:r w:rsidR="00AD75AA" w:rsidRPr="00A401B3">
        <w:rPr>
          <w:rFonts w:cs="Times New Roman"/>
          <w:i/>
        </w:rPr>
        <w:t>Ors</w:t>
      </w:r>
      <w:proofErr w:type="spellEnd"/>
      <w:r w:rsidR="00AD75AA">
        <w:rPr>
          <w:rFonts w:cs="Times New Roman"/>
        </w:rPr>
        <w:t xml:space="preserve"> 2000(1) ZLR 85(S), it was held that:</w:t>
      </w:r>
    </w:p>
    <w:p w:rsidR="00AD75AA" w:rsidRDefault="00AD75AA" w:rsidP="00FE4102">
      <w:pPr>
        <w:spacing w:line="276" w:lineRule="auto"/>
        <w:ind w:left="720"/>
        <w:jc w:val="both"/>
        <w:rPr>
          <w:rFonts w:cs="Times New Roman"/>
        </w:rPr>
      </w:pPr>
      <w:r>
        <w:rPr>
          <w:rFonts w:cs="Times New Roman"/>
        </w:rPr>
        <w:t>“</w:t>
      </w:r>
      <w:r w:rsidRPr="004A4CB8">
        <w:rPr>
          <w:rFonts w:cs="Times New Roman"/>
        </w:rPr>
        <w:t xml:space="preserve">An appeal court will generally not interfere with the exercise of </w:t>
      </w:r>
      <w:r>
        <w:rPr>
          <w:rFonts w:cs="Times New Roman"/>
        </w:rPr>
        <w:t xml:space="preserve">discretion by the lower </w:t>
      </w:r>
      <w:r w:rsidRPr="004A4CB8">
        <w:rPr>
          <w:rFonts w:cs="Times New Roman"/>
        </w:rPr>
        <w:t>court.  However, the appeal court is entitled to substitute its discretion for that of the lower court</w:t>
      </w:r>
    </w:p>
    <w:p w:rsidR="00AD75AA" w:rsidRPr="004A4CB8" w:rsidRDefault="00AD75AA" w:rsidP="00FE4102">
      <w:pPr>
        <w:spacing w:line="276" w:lineRule="auto"/>
        <w:ind w:left="720"/>
        <w:jc w:val="both"/>
        <w:rPr>
          <w:rFonts w:cs="Times New Roman"/>
        </w:rPr>
      </w:pPr>
      <w:r w:rsidRPr="004A4CB8">
        <w:rPr>
          <w:rFonts w:cs="Times New Roman"/>
        </w:rPr>
        <w:t xml:space="preserve">where the lower court’s exercise of its discretion was based on an error, such as where it has acted on a wrong principle, or it took into account extraneous or irrelevant matters </w:t>
      </w:r>
      <w:r w:rsidRPr="00A8334E">
        <w:rPr>
          <w:rFonts w:cs="Times New Roman"/>
        </w:rPr>
        <w:t>or did not</w:t>
      </w:r>
      <w:r w:rsidRPr="00AC4570">
        <w:rPr>
          <w:rFonts w:cs="Times New Roman"/>
          <w:u w:val="single"/>
        </w:rPr>
        <w:t xml:space="preserve"> </w:t>
      </w:r>
      <w:r w:rsidRPr="00A8334E">
        <w:rPr>
          <w:rFonts w:cs="Times New Roman"/>
        </w:rPr>
        <w:t>take into account relevant considerations</w:t>
      </w:r>
      <w:r w:rsidRPr="004A4CB8">
        <w:rPr>
          <w:rFonts w:cs="Times New Roman"/>
        </w:rPr>
        <w:t xml:space="preserve"> or it was mistaken about the facts</w:t>
      </w:r>
      <w:r>
        <w:rPr>
          <w:rFonts w:cs="Times New Roman"/>
        </w:rPr>
        <w:t>”</w:t>
      </w:r>
      <w:r w:rsidRPr="004A4CB8">
        <w:rPr>
          <w:rFonts w:cs="Times New Roman"/>
        </w:rPr>
        <w:t>.</w:t>
      </w:r>
    </w:p>
    <w:p w:rsidR="002B388D" w:rsidRDefault="00AD75AA" w:rsidP="00FE4102">
      <w:pPr>
        <w:spacing w:line="360" w:lineRule="auto"/>
        <w:jc w:val="both"/>
        <w:rPr>
          <w:bCs/>
        </w:rPr>
      </w:pPr>
      <w:r>
        <w:rPr>
          <w:rFonts w:cs="Times New Roman"/>
        </w:rPr>
        <w:tab/>
        <w:t xml:space="preserve">See </w:t>
      </w:r>
      <w:r w:rsidRPr="000F5C88">
        <w:rPr>
          <w:rFonts w:cs="Times New Roman"/>
          <w:i/>
        </w:rPr>
        <w:t xml:space="preserve">Barros of Anor </w:t>
      </w:r>
      <w:r>
        <w:rPr>
          <w:rFonts w:cs="Times New Roman"/>
        </w:rPr>
        <w:t xml:space="preserve">v </w:t>
      </w:r>
      <w:proofErr w:type="spellStart"/>
      <w:r w:rsidRPr="000F5C88">
        <w:rPr>
          <w:rFonts w:cs="Times New Roman"/>
          <w:i/>
        </w:rPr>
        <w:t>Chimphonda</w:t>
      </w:r>
      <w:proofErr w:type="spellEnd"/>
      <w:r w:rsidRPr="000F5C88">
        <w:rPr>
          <w:rFonts w:cs="Times New Roman"/>
          <w:i/>
        </w:rPr>
        <w:t xml:space="preserve"> </w:t>
      </w:r>
      <w:r>
        <w:rPr>
          <w:rFonts w:cs="Times New Roman"/>
        </w:rPr>
        <w:t xml:space="preserve">1999(1) ZLR 58(S) at p 625-63A, </w:t>
      </w:r>
      <w:r w:rsidRPr="00905E31">
        <w:rPr>
          <w:rFonts w:cs="Times New Roman"/>
          <w:i/>
        </w:rPr>
        <w:t xml:space="preserve">State </w:t>
      </w:r>
      <w:r w:rsidRPr="000F6716">
        <w:rPr>
          <w:rFonts w:cs="Times New Roman"/>
        </w:rPr>
        <w:t>v</w:t>
      </w:r>
      <w:r w:rsidRPr="00905E31">
        <w:rPr>
          <w:rFonts w:cs="Times New Roman"/>
          <w:i/>
        </w:rPr>
        <w:t xml:space="preserve"> </w:t>
      </w:r>
      <w:proofErr w:type="spellStart"/>
      <w:r w:rsidRPr="00905E31">
        <w:rPr>
          <w:rFonts w:cs="Times New Roman"/>
          <w:i/>
        </w:rPr>
        <w:t>Chikumbirike</w:t>
      </w:r>
      <w:proofErr w:type="spellEnd"/>
      <w:r>
        <w:rPr>
          <w:rFonts w:cs="Times New Roman"/>
        </w:rPr>
        <w:t xml:space="preserve"> 1986 (2) ZLR 145 (S)146F-G. </w:t>
      </w:r>
    </w:p>
    <w:p w:rsidR="00300D7D" w:rsidRDefault="002B388D" w:rsidP="00FE4102">
      <w:pPr>
        <w:spacing w:line="360" w:lineRule="auto"/>
        <w:ind w:firstLine="709"/>
        <w:jc w:val="both"/>
        <w:rPr>
          <w:bCs/>
        </w:rPr>
      </w:pPr>
      <w:r>
        <w:rPr>
          <w:bCs/>
        </w:rPr>
        <w:t>Since the first ground of review</w:t>
      </w:r>
      <w:r w:rsidR="003D46CC">
        <w:rPr>
          <w:bCs/>
        </w:rPr>
        <w:t xml:space="preserve">, which had been the corners stone of the </w:t>
      </w:r>
      <w:r w:rsidR="00FE4102">
        <w:rPr>
          <w:bCs/>
        </w:rPr>
        <w:t>applicant’s line</w:t>
      </w:r>
      <w:r w:rsidR="003D46CC">
        <w:rPr>
          <w:bCs/>
        </w:rPr>
        <w:t xml:space="preserve"> of attack,</w:t>
      </w:r>
      <w:r>
        <w:rPr>
          <w:bCs/>
        </w:rPr>
        <w:t xml:space="preserve"> has been retracted</w:t>
      </w:r>
      <w:r w:rsidR="00300D7D">
        <w:rPr>
          <w:bCs/>
        </w:rPr>
        <w:t xml:space="preserve">, the second one also automatically falls away as it speaks to one and the </w:t>
      </w:r>
      <w:r w:rsidR="00300D7D">
        <w:rPr>
          <w:bCs/>
        </w:rPr>
        <w:lastRenderedPageBreak/>
        <w:t>same thing. That being so,</w:t>
      </w:r>
      <w:r w:rsidR="00197954">
        <w:rPr>
          <w:bCs/>
        </w:rPr>
        <w:t xml:space="preserve"> the court is not satisfied that the applicant has demonstrated that he has made a case for review </w:t>
      </w:r>
      <w:r w:rsidR="00AD75AA">
        <w:rPr>
          <w:bCs/>
        </w:rPr>
        <w:t>or the</w:t>
      </w:r>
      <w:r w:rsidR="00300D7D">
        <w:rPr>
          <w:bCs/>
        </w:rPr>
        <w:t xml:space="preserve"> </w:t>
      </w:r>
      <w:r w:rsidR="00197954">
        <w:rPr>
          <w:bCs/>
        </w:rPr>
        <w:t>relief sought.</w:t>
      </w:r>
    </w:p>
    <w:p w:rsidR="00300D7D" w:rsidRDefault="00300D7D" w:rsidP="00FE4102">
      <w:pPr>
        <w:spacing w:line="360" w:lineRule="auto"/>
        <w:jc w:val="both"/>
        <w:rPr>
          <w:bCs/>
        </w:rPr>
      </w:pPr>
    </w:p>
    <w:p w:rsidR="00805CE3" w:rsidRDefault="00197954" w:rsidP="00FE4102">
      <w:pPr>
        <w:spacing w:line="360" w:lineRule="auto"/>
        <w:jc w:val="both"/>
        <w:rPr>
          <w:b/>
          <w:bCs/>
        </w:rPr>
      </w:pPr>
      <w:r>
        <w:rPr>
          <w:bCs/>
        </w:rPr>
        <w:t xml:space="preserve"> </w:t>
      </w:r>
      <w:r w:rsidR="00FE4102">
        <w:rPr>
          <w:bCs/>
        </w:rPr>
        <w:tab/>
      </w:r>
      <w:r w:rsidR="0042058E">
        <w:rPr>
          <w:bCs/>
        </w:rPr>
        <w:t>In my view, the</w:t>
      </w:r>
      <w:r>
        <w:rPr>
          <w:bCs/>
        </w:rPr>
        <w:t xml:space="preserve"> findings by the respondents cannot be faulted.</w:t>
      </w:r>
      <w:r w:rsidR="003D46CC">
        <w:rPr>
          <w:bCs/>
        </w:rPr>
        <w:t xml:space="preserve"> </w:t>
      </w:r>
      <w:r w:rsidR="001068B6">
        <w:rPr>
          <w:bCs/>
        </w:rPr>
        <w:t>There is no irregularity at all in the findings nor the sentence of the lower court.</w:t>
      </w:r>
      <w:r>
        <w:rPr>
          <w:bCs/>
        </w:rPr>
        <w:t xml:space="preserve"> There were </w:t>
      </w:r>
      <w:r w:rsidR="00300D7D">
        <w:rPr>
          <w:bCs/>
        </w:rPr>
        <w:t>inexplainable and</w:t>
      </w:r>
      <w:r>
        <w:rPr>
          <w:bCs/>
        </w:rPr>
        <w:t xml:space="preserve"> irrefutable anomalies on all the three copies of the clearance certi</w:t>
      </w:r>
      <w:r w:rsidR="00300D7D">
        <w:rPr>
          <w:bCs/>
        </w:rPr>
        <w:t>fi</w:t>
      </w:r>
      <w:r>
        <w:rPr>
          <w:bCs/>
        </w:rPr>
        <w:t>cate. The most glaring one</w:t>
      </w:r>
      <w:r w:rsidR="00300D7D">
        <w:rPr>
          <w:bCs/>
        </w:rPr>
        <w:t xml:space="preserve"> is </w:t>
      </w:r>
      <w:r w:rsidR="00AD75AA">
        <w:rPr>
          <w:bCs/>
        </w:rPr>
        <w:t>that the</w:t>
      </w:r>
      <w:r>
        <w:rPr>
          <w:bCs/>
        </w:rPr>
        <w:t xml:space="preserve"> seller and the buyer being one and the same person. </w:t>
      </w:r>
      <w:r w:rsidR="00300D7D">
        <w:rPr>
          <w:bCs/>
        </w:rPr>
        <w:t xml:space="preserve">If applicant was doing his work prudently he would not have processed the clearance certificate. </w:t>
      </w:r>
      <w:r>
        <w:rPr>
          <w:bCs/>
        </w:rPr>
        <w:t xml:space="preserve">The coincidence of lending and borrowing money as per the applicant’s defence is too much, making the applicant’s version more improbable. The most damning </w:t>
      </w:r>
      <w:r w:rsidR="00300D7D">
        <w:rPr>
          <w:bCs/>
        </w:rPr>
        <w:t>evidence was</w:t>
      </w:r>
      <w:r>
        <w:rPr>
          <w:bCs/>
        </w:rPr>
        <w:t xml:space="preserve"> the failure to comply with</w:t>
      </w:r>
      <w:r w:rsidR="00B9217F">
        <w:rPr>
          <w:b/>
          <w:bCs/>
        </w:rPr>
        <w:t xml:space="preserve"> </w:t>
      </w:r>
      <w:r w:rsidR="00B9217F" w:rsidRPr="00197954">
        <w:rPr>
          <w:bCs/>
        </w:rPr>
        <w:t>Circular 04/2009 dated 23 October 2009</w:t>
      </w:r>
      <w:r w:rsidR="00B9217F">
        <w:rPr>
          <w:b/>
          <w:bCs/>
        </w:rPr>
        <w:t>.</w:t>
      </w:r>
    </w:p>
    <w:p w:rsidR="00805CE3" w:rsidRDefault="00805CE3" w:rsidP="00FE4102">
      <w:pPr>
        <w:spacing w:line="360" w:lineRule="auto"/>
        <w:jc w:val="both"/>
      </w:pPr>
    </w:p>
    <w:p w:rsidR="00805CE3" w:rsidRDefault="00B9217F" w:rsidP="00FE4102">
      <w:pPr>
        <w:spacing w:line="360" w:lineRule="auto"/>
        <w:ind w:firstLine="709"/>
        <w:jc w:val="both"/>
        <w:rPr>
          <w:b/>
          <w:bCs/>
        </w:rPr>
      </w:pPr>
      <w:r>
        <w:t>The charge of performing duty in an improper manner is based on Zimbabwe Republic Police Circular 04/2009 issued on 23 October 2009 by the National Co–</w:t>
      </w:r>
      <w:proofErr w:type="spellStart"/>
      <w:r>
        <w:t>ordinator</w:t>
      </w:r>
      <w:proofErr w:type="spellEnd"/>
      <w:r>
        <w:t xml:space="preserve"> Anti–Stock Theft titled </w:t>
      </w:r>
      <w:r>
        <w:rPr>
          <w:b/>
          <w:bCs/>
        </w:rPr>
        <w:t>PROCEDURE ON CLEARANCE OF LIVESTOCK BY POLICE: USE OF ZRP LIVESTOCK CLEARANCE CERTIFICATE (FORM 392).</w:t>
      </w:r>
      <w:r>
        <w:t xml:space="preserve"> </w:t>
      </w:r>
      <w:r w:rsidR="00BE5D0F">
        <w:t>The trial</w:t>
      </w:r>
      <w:r w:rsidR="00197954">
        <w:t xml:space="preserve"> </w:t>
      </w:r>
      <w:r>
        <w:t xml:space="preserve">court drew attention to item 8(vi) which stipulates that: </w:t>
      </w:r>
      <w:r>
        <w:rPr>
          <w:b/>
          <w:bCs/>
        </w:rPr>
        <w:t>“No clearance should be done if the police officer is in doubt. Thorough investigations should be carried out before clearing the beast”.</w:t>
      </w:r>
    </w:p>
    <w:p w:rsidR="00197954" w:rsidRDefault="00197954" w:rsidP="00FE4102">
      <w:pPr>
        <w:spacing w:line="360" w:lineRule="auto"/>
        <w:ind w:firstLine="709"/>
        <w:jc w:val="both"/>
      </w:pPr>
      <w:r>
        <w:t xml:space="preserve">In light of the above excerpt, the applicant did not do the necessary verification of the village </w:t>
      </w:r>
      <w:r w:rsidR="00BE5D0F">
        <w:t>head,</w:t>
      </w:r>
      <w:r>
        <w:t xml:space="preserve"> the cattle pen from whence the beasts were taken or ascertain ownership with the stock cards as required by the governing regulati</w:t>
      </w:r>
      <w:r w:rsidR="00300D7D">
        <w:t>ons.</w:t>
      </w:r>
    </w:p>
    <w:p w:rsidR="00300D7D" w:rsidRDefault="00300D7D" w:rsidP="00FE4102">
      <w:pPr>
        <w:spacing w:line="360" w:lineRule="auto"/>
        <w:jc w:val="both"/>
      </w:pPr>
    </w:p>
    <w:p w:rsidR="00300D7D" w:rsidRDefault="00300D7D" w:rsidP="00FE4102">
      <w:pPr>
        <w:spacing w:line="360" w:lineRule="auto"/>
        <w:ind w:firstLine="709"/>
        <w:jc w:val="both"/>
      </w:pPr>
      <w:r>
        <w:t>T</w:t>
      </w:r>
      <w:r w:rsidR="0042058E">
        <w:t xml:space="preserve">hus, it is this court’s conclusion the </w:t>
      </w:r>
      <w:r>
        <w:t>third ground lacks merit as the 1</w:t>
      </w:r>
      <w:r w:rsidRPr="00300D7D">
        <w:rPr>
          <w:vertAlign w:val="superscript"/>
        </w:rPr>
        <w:t>st</w:t>
      </w:r>
      <w:r>
        <w:t xml:space="preserve"> respondent acted as a court of appeal. An appeal is confined to the four corners of the record. There is no Constitutional issue to talk about therefore ground four is equally meritless</w:t>
      </w:r>
      <w:r w:rsidR="00AD75AA">
        <w:t xml:space="preserve">. The sentence is not outrageous. It </w:t>
      </w:r>
      <w:r w:rsidR="0042058E">
        <w:t xml:space="preserve">is </w:t>
      </w:r>
      <w:r w:rsidR="00AD75AA">
        <w:t>within the parameters of lenient sentences.</w:t>
      </w:r>
      <w:r w:rsidR="001068B6">
        <w:t xml:space="preserve"> In conclusion the applicant has failed to</w:t>
      </w:r>
      <w:r w:rsidR="003D46CC">
        <w:t xml:space="preserve"> provide</w:t>
      </w:r>
      <w:r w:rsidR="001068B6">
        <w:t xml:space="preserve"> good grounds warranting the interference with </w:t>
      </w:r>
      <w:r w:rsidR="003D46CC">
        <w:t>the impugned</w:t>
      </w:r>
      <w:r w:rsidR="001068B6">
        <w:t xml:space="preserve"> decision. </w:t>
      </w:r>
      <w:r w:rsidR="00AD75AA">
        <w:t xml:space="preserve"> </w:t>
      </w:r>
      <w:r w:rsidR="0042058E">
        <w:t>As a result,</w:t>
      </w:r>
      <w:r w:rsidR="00AD75AA">
        <w:t xml:space="preserve"> both conviction and sentence were proper.</w:t>
      </w:r>
    </w:p>
    <w:p w:rsidR="00300D7D" w:rsidRDefault="00300D7D" w:rsidP="00FE4102">
      <w:pPr>
        <w:spacing w:line="360" w:lineRule="auto"/>
        <w:jc w:val="both"/>
      </w:pPr>
    </w:p>
    <w:p w:rsidR="00300D7D" w:rsidRDefault="00300D7D" w:rsidP="00FE4102">
      <w:pPr>
        <w:spacing w:line="360" w:lineRule="auto"/>
        <w:jc w:val="both"/>
      </w:pPr>
      <w:r>
        <w:t>Accordingly, the application is dismissed with costs.</w:t>
      </w:r>
    </w:p>
    <w:p w:rsidR="00FE4102" w:rsidRDefault="00FE4102" w:rsidP="00FE4102">
      <w:pPr>
        <w:spacing w:line="360" w:lineRule="auto"/>
        <w:jc w:val="both"/>
      </w:pPr>
    </w:p>
    <w:p w:rsidR="00FE4102" w:rsidRDefault="006F1206" w:rsidP="00A31F57">
      <w:pPr>
        <w:jc w:val="both"/>
      </w:pPr>
      <w:proofErr w:type="spellStart"/>
      <w:r w:rsidRPr="006F1206">
        <w:rPr>
          <w:i/>
        </w:rPr>
        <w:t>Mugiya</w:t>
      </w:r>
      <w:proofErr w:type="spellEnd"/>
      <w:r w:rsidRPr="006F1206">
        <w:rPr>
          <w:i/>
        </w:rPr>
        <w:t xml:space="preserve"> and </w:t>
      </w:r>
      <w:proofErr w:type="spellStart"/>
      <w:r w:rsidRPr="006F1206">
        <w:rPr>
          <w:i/>
        </w:rPr>
        <w:t>Muvhami</w:t>
      </w:r>
      <w:proofErr w:type="spellEnd"/>
      <w:r w:rsidRPr="006F1206">
        <w:rPr>
          <w:i/>
        </w:rPr>
        <w:t xml:space="preserve"> Law Chambers</w:t>
      </w:r>
      <w:r>
        <w:t>, applicant’s legal practitioners.</w:t>
      </w:r>
    </w:p>
    <w:p w:rsidR="00805CE3" w:rsidRDefault="006F1206" w:rsidP="00A31F57">
      <w:pPr>
        <w:jc w:val="both"/>
      </w:pPr>
      <w:r w:rsidRPr="006F1206">
        <w:rPr>
          <w:i/>
        </w:rPr>
        <w:t>Civil Division of the Attorney General’s</w:t>
      </w:r>
      <w:r>
        <w:t xml:space="preserve"> </w:t>
      </w:r>
      <w:r w:rsidRPr="00B9217F">
        <w:rPr>
          <w:i/>
        </w:rPr>
        <w:t>Office</w:t>
      </w:r>
      <w:r w:rsidR="00B9217F">
        <w:rPr>
          <w:i/>
        </w:rPr>
        <w:t>,</w:t>
      </w:r>
      <w:r>
        <w:t xml:space="preserve"> for the respondents.</w:t>
      </w:r>
    </w:p>
    <w:sectPr w:rsidR="00805CE3">
      <w:headerReference w:type="default" r:id="rId7"/>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842" w:rsidRDefault="00523842" w:rsidP="00FE4102">
      <w:r>
        <w:separator/>
      </w:r>
    </w:p>
  </w:endnote>
  <w:endnote w:type="continuationSeparator" w:id="0">
    <w:p w:rsidR="00523842" w:rsidRDefault="00523842" w:rsidP="00FE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842" w:rsidRDefault="00523842" w:rsidP="00FE4102">
      <w:r>
        <w:separator/>
      </w:r>
    </w:p>
  </w:footnote>
  <w:footnote w:type="continuationSeparator" w:id="0">
    <w:p w:rsidR="00523842" w:rsidRDefault="00523842" w:rsidP="00FE41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02" w:rsidRDefault="00FE4102">
    <w:pPr>
      <w:pStyle w:val="Header"/>
      <w:jc w:val="right"/>
    </w:pPr>
  </w:p>
  <w:p w:rsidR="00FE4102" w:rsidRDefault="00FE4102">
    <w:pPr>
      <w:pStyle w:val="Header"/>
      <w:jc w:val="right"/>
    </w:pPr>
  </w:p>
  <w:sdt>
    <w:sdtPr>
      <w:rPr>
        <w:rFonts w:cs="Lucida Sans"/>
        <w:szCs w:val="24"/>
      </w:rPr>
      <w:id w:val="-1480994613"/>
      <w:docPartObj>
        <w:docPartGallery w:val="Page Numbers (Top of Page)"/>
        <w:docPartUnique/>
      </w:docPartObj>
    </w:sdtPr>
    <w:sdtEndPr>
      <w:rPr>
        <w:noProof/>
      </w:rPr>
    </w:sdtEndPr>
    <w:sdtContent>
      <w:p w:rsidR="00FE4102" w:rsidRDefault="00FE4102">
        <w:pPr>
          <w:pStyle w:val="Header"/>
          <w:jc w:val="right"/>
          <w:rPr>
            <w:noProof/>
          </w:rPr>
        </w:pPr>
        <w:r>
          <w:fldChar w:fldCharType="begin"/>
        </w:r>
        <w:r>
          <w:instrText xml:space="preserve"> PAGE   \* MERGEFORMAT </w:instrText>
        </w:r>
        <w:r>
          <w:fldChar w:fldCharType="separate"/>
        </w:r>
        <w:r w:rsidR="00A31F57">
          <w:rPr>
            <w:noProof/>
          </w:rPr>
          <w:t>3</w:t>
        </w:r>
        <w:r>
          <w:rPr>
            <w:noProof/>
          </w:rPr>
          <w:fldChar w:fldCharType="end"/>
        </w:r>
      </w:p>
      <w:p w:rsidR="00FE4102" w:rsidRDefault="00FE4102" w:rsidP="00FE4102">
        <w:pPr>
          <w:jc w:val="right"/>
        </w:pPr>
        <w:r>
          <w:t>HH</w:t>
        </w:r>
        <w:r w:rsidR="00486520">
          <w:t>83</w:t>
        </w:r>
        <w:r w:rsidR="00613A4F">
          <w:t>-</w:t>
        </w:r>
        <w:r>
          <w:t>23</w:t>
        </w:r>
      </w:p>
      <w:p w:rsidR="00FE4102" w:rsidRDefault="00FE4102" w:rsidP="00FE4102">
        <w:pPr>
          <w:jc w:val="right"/>
        </w:pPr>
        <w:r>
          <w:tab/>
        </w:r>
        <w:r>
          <w:tab/>
        </w:r>
        <w:r>
          <w:tab/>
        </w:r>
        <w:r>
          <w:tab/>
        </w:r>
        <w:r>
          <w:tab/>
        </w:r>
        <w:r>
          <w:tab/>
        </w:r>
        <w:r>
          <w:tab/>
        </w:r>
        <w:r>
          <w:tab/>
        </w:r>
        <w:r>
          <w:tab/>
        </w:r>
        <w:r>
          <w:tab/>
        </w:r>
        <w:r>
          <w:tab/>
          <w:t>Ref HC4784/20</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674"/>
    <w:multiLevelType w:val="multilevel"/>
    <w:tmpl w:val="E41230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B5B4FC4"/>
    <w:multiLevelType w:val="multilevel"/>
    <w:tmpl w:val="ACC4796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21C53A3"/>
    <w:multiLevelType w:val="multilevel"/>
    <w:tmpl w:val="A3707E38"/>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3" w15:restartNumberingAfterBreak="0">
    <w:nsid w:val="54D82928"/>
    <w:multiLevelType w:val="multilevel"/>
    <w:tmpl w:val="1F30C7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1110D59"/>
    <w:multiLevelType w:val="multilevel"/>
    <w:tmpl w:val="A96AD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BC77D9E"/>
    <w:multiLevelType w:val="hybridMultilevel"/>
    <w:tmpl w:val="565C585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06357B9"/>
    <w:multiLevelType w:val="multilevel"/>
    <w:tmpl w:val="517C78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8260DD2"/>
    <w:multiLevelType w:val="multilevel"/>
    <w:tmpl w:val="AA1207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4"/>
  </w:num>
  <w:num w:numId="3">
    <w:abstractNumId w:val="7"/>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E3"/>
    <w:rsid w:val="001068B6"/>
    <w:rsid w:val="00197954"/>
    <w:rsid w:val="001B64CD"/>
    <w:rsid w:val="00241640"/>
    <w:rsid w:val="002901C1"/>
    <w:rsid w:val="002B388D"/>
    <w:rsid w:val="00300D7D"/>
    <w:rsid w:val="003D46CC"/>
    <w:rsid w:val="003E5715"/>
    <w:rsid w:val="004002FB"/>
    <w:rsid w:val="00413716"/>
    <w:rsid w:val="0042058E"/>
    <w:rsid w:val="0042289B"/>
    <w:rsid w:val="00486520"/>
    <w:rsid w:val="004E1193"/>
    <w:rsid w:val="00523842"/>
    <w:rsid w:val="00577DA5"/>
    <w:rsid w:val="00613A4F"/>
    <w:rsid w:val="00654E63"/>
    <w:rsid w:val="006935A0"/>
    <w:rsid w:val="006D1009"/>
    <w:rsid w:val="006D1BC1"/>
    <w:rsid w:val="006F1206"/>
    <w:rsid w:val="0071646D"/>
    <w:rsid w:val="007732B1"/>
    <w:rsid w:val="00805CE3"/>
    <w:rsid w:val="00A31F57"/>
    <w:rsid w:val="00A8334E"/>
    <w:rsid w:val="00AD75AA"/>
    <w:rsid w:val="00B64CAA"/>
    <w:rsid w:val="00B9217F"/>
    <w:rsid w:val="00BE5D0F"/>
    <w:rsid w:val="00C7008C"/>
    <w:rsid w:val="00E909A1"/>
    <w:rsid w:val="00F06335"/>
    <w:rsid w:val="00FE41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CE70"/>
  <w15:docId w15:val="{B7F17E07-8061-4924-9C79-B5FFFB7D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 w:val="24"/>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B64CAA"/>
    <w:pPr>
      <w:ind w:left="720"/>
      <w:contextualSpacing/>
    </w:pPr>
    <w:rPr>
      <w:rFonts w:cs="Mangal"/>
      <w:szCs w:val="21"/>
    </w:rPr>
  </w:style>
  <w:style w:type="paragraph" w:styleId="Header">
    <w:name w:val="header"/>
    <w:basedOn w:val="Normal"/>
    <w:link w:val="HeaderChar"/>
    <w:uiPriority w:val="99"/>
    <w:unhideWhenUsed/>
    <w:rsid w:val="00FE410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E4102"/>
    <w:rPr>
      <w:rFonts w:cs="Mangal"/>
      <w:szCs w:val="21"/>
    </w:rPr>
  </w:style>
  <w:style w:type="paragraph" w:styleId="Footer">
    <w:name w:val="footer"/>
    <w:basedOn w:val="Normal"/>
    <w:link w:val="FooterChar"/>
    <w:uiPriority w:val="99"/>
    <w:unhideWhenUsed/>
    <w:rsid w:val="00FE4102"/>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E410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3</cp:revision>
  <cp:lastPrinted>2023-02-07T08:47:00Z</cp:lastPrinted>
  <dcterms:created xsi:type="dcterms:W3CDTF">2023-02-15T13:19:00Z</dcterms:created>
  <dcterms:modified xsi:type="dcterms:W3CDTF">2023-02-15T13:21:00Z</dcterms:modified>
  <dc:language>en-ZW</dc:language>
</cp:coreProperties>
</file>