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E20" w:rsidRDefault="00877E20" w:rsidP="00877E20">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SEKAI SIMANGO</w:t>
      </w:r>
    </w:p>
    <w:p w:rsidR="00877E20" w:rsidRDefault="00877E20" w:rsidP="00877E20">
      <w:pPr>
        <w:spacing w:after="0" w:line="240" w:lineRule="auto"/>
        <w:jc w:val="both"/>
        <w:rPr>
          <w:rFonts w:ascii="Times New Roman" w:hAnsi="Times New Roman" w:cs="Times New Roman"/>
          <w:sz w:val="24"/>
        </w:rPr>
      </w:pPr>
      <w:r>
        <w:rPr>
          <w:rFonts w:ascii="Times New Roman" w:hAnsi="Times New Roman" w:cs="Times New Roman"/>
          <w:sz w:val="24"/>
        </w:rPr>
        <w:t>versus</w:t>
      </w:r>
    </w:p>
    <w:p w:rsidR="00877E20" w:rsidRDefault="00877E20" w:rsidP="00877E20">
      <w:pPr>
        <w:spacing w:after="0" w:line="240" w:lineRule="auto"/>
        <w:jc w:val="both"/>
        <w:rPr>
          <w:rFonts w:ascii="Times New Roman" w:hAnsi="Times New Roman" w:cs="Times New Roman"/>
          <w:sz w:val="24"/>
        </w:rPr>
      </w:pPr>
      <w:r>
        <w:rPr>
          <w:rFonts w:ascii="Times New Roman" w:hAnsi="Times New Roman" w:cs="Times New Roman"/>
          <w:sz w:val="24"/>
        </w:rPr>
        <w:t xml:space="preserve">THE STATE </w:t>
      </w:r>
    </w:p>
    <w:p w:rsidR="00877E20" w:rsidRDefault="00877E20" w:rsidP="00877E20">
      <w:pPr>
        <w:spacing w:after="0" w:line="240" w:lineRule="auto"/>
        <w:jc w:val="both"/>
        <w:rPr>
          <w:rFonts w:ascii="Times New Roman" w:hAnsi="Times New Roman" w:cs="Times New Roman"/>
          <w:sz w:val="24"/>
        </w:rPr>
      </w:pPr>
    </w:p>
    <w:p w:rsidR="00877E20" w:rsidRDefault="00877E20" w:rsidP="00877E20">
      <w:pPr>
        <w:spacing w:after="0" w:line="240" w:lineRule="auto"/>
        <w:jc w:val="both"/>
        <w:rPr>
          <w:rFonts w:ascii="Times New Roman" w:hAnsi="Times New Roman" w:cs="Times New Roman"/>
          <w:sz w:val="24"/>
        </w:rPr>
      </w:pPr>
    </w:p>
    <w:p w:rsidR="00877E20" w:rsidRDefault="00877E20" w:rsidP="00877E20">
      <w:pPr>
        <w:spacing w:after="0" w:line="240" w:lineRule="auto"/>
        <w:jc w:val="both"/>
        <w:rPr>
          <w:rFonts w:ascii="Times New Roman" w:hAnsi="Times New Roman" w:cs="Times New Roman"/>
          <w:sz w:val="24"/>
        </w:rPr>
      </w:pPr>
      <w:r>
        <w:rPr>
          <w:rFonts w:ascii="Times New Roman" w:hAnsi="Times New Roman" w:cs="Times New Roman"/>
          <w:sz w:val="24"/>
        </w:rPr>
        <w:t xml:space="preserve">HIGH COURT OF ZIMBABWE </w:t>
      </w:r>
    </w:p>
    <w:p w:rsidR="00877E20" w:rsidRDefault="00877E20" w:rsidP="00877E20">
      <w:pPr>
        <w:spacing w:after="0" w:line="240" w:lineRule="auto"/>
        <w:jc w:val="both"/>
        <w:rPr>
          <w:rFonts w:ascii="Times New Roman" w:hAnsi="Times New Roman" w:cs="Times New Roman"/>
          <w:sz w:val="24"/>
        </w:rPr>
      </w:pPr>
      <w:r>
        <w:rPr>
          <w:rFonts w:ascii="Times New Roman" w:hAnsi="Times New Roman" w:cs="Times New Roman"/>
          <w:sz w:val="24"/>
        </w:rPr>
        <w:t>MWAYERA J</w:t>
      </w:r>
    </w:p>
    <w:p w:rsidR="00877E20" w:rsidRDefault="00877E20" w:rsidP="00877E20">
      <w:pPr>
        <w:spacing w:after="0" w:line="240" w:lineRule="auto"/>
        <w:jc w:val="both"/>
        <w:rPr>
          <w:rFonts w:ascii="Times New Roman" w:hAnsi="Times New Roman" w:cs="Times New Roman"/>
          <w:sz w:val="24"/>
        </w:rPr>
      </w:pPr>
      <w:r>
        <w:rPr>
          <w:rFonts w:ascii="Times New Roman" w:hAnsi="Times New Roman" w:cs="Times New Roman"/>
          <w:sz w:val="24"/>
        </w:rPr>
        <w:t>MUTARE, 13 May 2021</w:t>
      </w:r>
    </w:p>
    <w:p w:rsidR="00877E20" w:rsidRDefault="00877E20" w:rsidP="00877E20">
      <w:pPr>
        <w:spacing w:after="0" w:line="240" w:lineRule="auto"/>
        <w:jc w:val="both"/>
        <w:rPr>
          <w:rFonts w:ascii="Times New Roman" w:hAnsi="Times New Roman" w:cs="Times New Roman"/>
          <w:sz w:val="24"/>
        </w:rPr>
      </w:pPr>
    </w:p>
    <w:p w:rsidR="00877E20" w:rsidRDefault="00877E20" w:rsidP="00877E20">
      <w:pPr>
        <w:spacing w:after="0" w:line="240" w:lineRule="auto"/>
        <w:jc w:val="both"/>
        <w:rPr>
          <w:rFonts w:ascii="Times New Roman" w:hAnsi="Times New Roman" w:cs="Times New Roman"/>
          <w:sz w:val="24"/>
        </w:rPr>
      </w:pPr>
    </w:p>
    <w:p w:rsidR="00877E20" w:rsidRDefault="00877E20" w:rsidP="00877E20">
      <w:pPr>
        <w:spacing w:after="0" w:line="240" w:lineRule="auto"/>
        <w:jc w:val="both"/>
        <w:rPr>
          <w:rFonts w:ascii="Times New Roman" w:hAnsi="Times New Roman" w:cs="Times New Roman"/>
          <w:b/>
          <w:sz w:val="24"/>
        </w:rPr>
      </w:pPr>
      <w:r>
        <w:rPr>
          <w:rFonts w:ascii="Times New Roman" w:hAnsi="Times New Roman" w:cs="Times New Roman"/>
          <w:b/>
          <w:sz w:val="24"/>
        </w:rPr>
        <w:t>Bail Pending Trial</w:t>
      </w:r>
    </w:p>
    <w:p w:rsidR="00877E20" w:rsidRDefault="00877E20" w:rsidP="00877E20">
      <w:pPr>
        <w:spacing w:after="0" w:line="240" w:lineRule="auto"/>
        <w:jc w:val="both"/>
        <w:rPr>
          <w:rFonts w:ascii="Times New Roman" w:hAnsi="Times New Roman" w:cs="Times New Roman"/>
          <w:b/>
          <w:sz w:val="24"/>
        </w:rPr>
      </w:pPr>
    </w:p>
    <w:p w:rsidR="00877E20" w:rsidRDefault="00877E20" w:rsidP="00877E20">
      <w:pPr>
        <w:spacing w:after="0" w:line="240" w:lineRule="auto"/>
        <w:jc w:val="both"/>
        <w:rPr>
          <w:rFonts w:ascii="Times New Roman" w:hAnsi="Times New Roman" w:cs="Times New Roman"/>
          <w:b/>
          <w:sz w:val="24"/>
        </w:rPr>
      </w:pPr>
    </w:p>
    <w:p w:rsidR="00877E20" w:rsidRDefault="00877E20" w:rsidP="00877E20">
      <w:pPr>
        <w:spacing w:after="0" w:line="240" w:lineRule="auto"/>
        <w:jc w:val="both"/>
        <w:rPr>
          <w:rFonts w:ascii="Times New Roman" w:hAnsi="Times New Roman" w:cs="Times New Roman"/>
          <w:sz w:val="24"/>
        </w:rPr>
      </w:pPr>
      <w:r>
        <w:rPr>
          <w:rFonts w:ascii="Times New Roman" w:hAnsi="Times New Roman" w:cs="Times New Roman"/>
          <w:i/>
          <w:sz w:val="24"/>
        </w:rPr>
        <w:t>T Musara</w:t>
      </w:r>
      <w:r>
        <w:rPr>
          <w:rFonts w:ascii="Times New Roman" w:hAnsi="Times New Roman" w:cs="Times New Roman"/>
          <w:sz w:val="24"/>
        </w:rPr>
        <w:t xml:space="preserve">, for the applicant </w:t>
      </w:r>
    </w:p>
    <w:p w:rsidR="00127655" w:rsidRDefault="00877E20" w:rsidP="00877E20">
      <w:pPr>
        <w:spacing w:after="0" w:line="240" w:lineRule="auto"/>
        <w:jc w:val="both"/>
        <w:rPr>
          <w:rFonts w:ascii="Times New Roman" w:hAnsi="Times New Roman" w:cs="Times New Roman"/>
          <w:sz w:val="24"/>
        </w:rPr>
      </w:pPr>
      <w:r>
        <w:rPr>
          <w:rFonts w:ascii="Times New Roman" w:hAnsi="Times New Roman" w:cs="Times New Roman"/>
          <w:sz w:val="24"/>
        </w:rPr>
        <w:t xml:space="preserve">Mrs </w:t>
      </w:r>
      <w:r>
        <w:rPr>
          <w:rFonts w:ascii="Times New Roman" w:hAnsi="Times New Roman" w:cs="Times New Roman"/>
          <w:i/>
          <w:sz w:val="24"/>
        </w:rPr>
        <w:t>J Matsikidze</w:t>
      </w:r>
      <w:r>
        <w:rPr>
          <w:rFonts w:ascii="Times New Roman" w:hAnsi="Times New Roman" w:cs="Times New Roman"/>
          <w:sz w:val="24"/>
        </w:rPr>
        <w:t xml:space="preserve">, for the respondent </w:t>
      </w:r>
    </w:p>
    <w:p w:rsidR="00127655" w:rsidRDefault="00127655" w:rsidP="00877E20">
      <w:pPr>
        <w:spacing w:after="0" w:line="240" w:lineRule="auto"/>
        <w:jc w:val="both"/>
        <w:rPr>
          <w:rFonts w:ascii="Times New Roman" w:hAnsi="Times New Roman" w:cs="Times New Roman"/>
          <w:sz w:val="24"/>
        </w:rPr>
      </w:pPr>
    </w:p>
    <w:p w:rsidR="00127655" w:rsidRDefault="0022226F" w:rsidP="0022226F">
      <w:pPr>
        <w:spacing w:after="0" w:line="360" w:lineRule="auto"/>
        <w:jc w:val="both"/>
        <w:rPr>
          <w:rFonts w:ascii="Times New Roman" w:hAnsi="Times New Roman" w:cs="Times New Roman"/>
          <w:sz w:val="24"/>
        </w:rPr>
      </w:pPr>
      <w:r>
        <w:rPr>
          <w:rFonts w:ascii="Times New Roman" w:hAnsi="Times New Roman" w:cs="Times New Roman"/>
          <w:sz w:val="24"/>
        </w:rPr>
        <w:tab/>
      </w:r>
      <w:r w:rsidR="00636D74">
        <w:rPr>
          <w:rFonts w:ascii="Times New Roman" w:hAnsi="Times New Roman" w:cs="Times New Roman"/>
          <w:sz w:val="24"/>
        </w:rPr>
        <w:t xml:space="preserve">MWAYERA J: On 13 May 2021 after considering documents filed of record and oral submissions </w:t>
      </w:r>
      <w:r w:rsidR="006A4A17">
        <w:rPr>
          <w:rFonts w:ascii="Times New Roman" w:hAnsi="Times New Roman" w:cs="Times New Roman"/>
          <w:sz w:val="24"/>
        </w:rPr>
        <w:t xml:space="preserve">I </w:t>
      </w:r>
      <w:r w:rsidR="00636D74">
        <w:rPr>
          <w:rFonts w:ascii="Times New Roman" w:hAnsi="Times New Roman" w:cs="Times New Roman"/>
          <w:sz w:val="24"/>
        </w:rPr>
        <w:t>orally outlined reasons for dismissal of the bail application, I undertook to avail written reasons for my disposition. These are they:</w:t>
      </w:r>
    </w:p>
    <w:p w:rsidR="00636D74" w:rsidRDefault="00636D74" w:rsidP="0022226F">
      <w:pPr>
        <w:spacing w:after="0" w:line="360" w:lineRule="auto"/>
        <w:jc w:val="both"/>
        <w:rPr>
          <w:rFonts w:ascii="Times New Roman" w:hAnsi="Times New Roman" w:cs="Times New Roman"/>
          <w:sz w:val="24"/>
        </w:rPr>
      </w:pPr>
      <w:r>
        <w:rPr>
          <w:rFonts w:ascii="Times New Roman" w:hAnsi="Times New Roman" w:cs="Times New Roman"/>
          <w:sz w:val="24"/>
        </w:rPr>
        <w:tab/>
        <w:t xml:space="preserve">The applicant is facing allegations of murder as defined in s 47 of the Criminal Law (Codification and Reform) </w:t>
      </w:r>
      <w:r w:rsidR="00DD451C">
        <w:rPr>
          <w:rFonts w:ascii="Times New Roman" w:hAnsi="Times New Roman" w:cs="Times New Roman"/>
          <w:sz w:val="24"/>
        </w:rPr>
        <w:t>Act [</w:t>
      </w:r>
      <w:r w:rsidR="00DD451C">
        <w:rPr>
          <w:rFonts w:ascii="Times New Roman" w:hAnsi="Times New Roman" w:cs="Times New Roman"/>
          <w:i/>
          <w:sz w:val="24"/>
        </w:rPr>
        <w:t>Chapter 9:23</w:t>
      </w:r>
      <w:r w:rsidR="00DD451C">
        <w:rPr>
          <w:rFonts w:ascii="Times New Roman" w:hAnsi="Times New Roman" w:cs="Times New Roman"/>
          <w:sz w:val="24"/>
        </w:rPr>
        <w:t>]. The brief allegations being that on 26 March 2021 at Mahachi Village, Chief Musikavanhu Chipinge the accused together with an accomplice her son assaulted the deceased several times on the head and all over the body using an iron bar. The accused persons assaulted the deceased who was selling curtains till he died. The accused suspected that the deceased had stolen their blankets hence they perpetrated the assault on him. The accused then</w:t>
      </w:r>
      <w:r w:rsidR="00521E58">
        <w:rPr>
          <w:rFonts w:ascii="Times New Roman" w:hAnsi="Times New Roman" w:cs="Times New Roman"/>
          <w:sz w:val="24"/>
        </w:rPr>
        <w:t xml:space="preserve"> </w:t>
      </w:r>
      <w:r w:rsidR="00DD451C">
        <w:rPr>
          <w:rFonts w:ascii="Times New Roman" w:hAnsi="Times New Roman" w:cs="Times New Roman"/>
          <w:sz w:val="24"/>
        </w:rPr>
        <w:t>pulled the body</w:t>
      </w:r>
      <w:r w:rsidR="00521E58">
        <w:rPr>
          <w:rFonts w:ascii="Times New Roman" w:hAnsi="Times New Roman" w:cs="Times New Roman"/>
          <w:sz w:val="24"/>
        </w:rPr>
        <w:t xml:space="preserve"> of the deceased and threw it in a disused well close to their homestead. Thereafter the accused partially fi</w:t>
      </w:r>
      <w:r w:rsidR="00FF3AFB">
        <w:rPr>
          <w:rFonts w:ascii="Times New Roman" w:hAnsi="Times New Roman" w:cs="Times New Roman"/>
          <w:sz w:val="24"/>
        </w:rPr>
        <w:t>l</w:t>
      </w:r>
      <w:r w:rsidR="00521E58">
        <w:rPr>
          <w:rFonts w:ascii="Times New Roman" w:hAnsi="Times New Roman" w:cs="Times New Roman"/>
          <w:sz w:val="24"/>
        </w:rPr>
        <w:t xml:space="preserve">led the disused well with rubbles soil and tree branches. The deceased’s body was only recovered on 7 April 2021 by the police who engaged help of local people. </w:t>
      </w:r>
      <w:r w:rsidR="00DD451C">
        <w:rPr>
          <w:rFonts w:ascii="Times New Roman" w:hAnsi="Times New Roman" w:cs="Times New Roman"/>
          <w:sz w:val="24"/>
        </w:rPr>
        <w:t xml:space="preserve"> </w:t>
      </w:r>
    </w:p>
    <w:p w:rsidR="00397F86" w:rsidRDefault="00397F86" w:rsidP="0022226F">
      <w:pPr>
        <w:spacing w:after="0" w:line="360" w:lineRule="auto"/>
        <w:jc w:val="both"/>
        <w:rPr>
          <w:rFonts w:ascii="Times New Roman" w:hAnsi="Times New Roman" w:cs="Times New Roman"/>
          <w:sz w:val="24"/>
        </w:rPr>
      </w:pPr>
      <w:r>
        <w:rPr>
          <w:rFonts w:ascii="Times New Roman" w:hAnsi="Times New Roman" w:cs="Times New Roman"/>
          <w:sz w:val="24"/>
        </w:rPr>
        <w:tab/>
        <w:t xml:space="preserve">In a bail pending trial the court is enjoined to strike a balance between the right to liberty of an individual on the other hand and the interests of administration of justice on the other hand. The right to liberty is a constitutionally guaranteed right which is premised on the time honoured presumption of innocence </w:t>
      </w:r>
      <w:r w:rsidR="006A4A17">
        <w:rPr>
          <w:rFonts w:ascii="Times New Roman" w:hAnsi="Times New Roman" w:cs="Times New Roman"/>
          <w:sz w:val="24"/>
        </w:rPr>
        <w:t>until</w:t>
      </w:r>
      <w:r>
        <w:rPr>
          <w:rFonts w:ascii="Times New Roman" w:hAnsi="Times New Roman" w:cs="Times New Roman"/>
          <w:sz w:val="24"/>
        </w:rPr>
        <w:t xml:space="preserve"> proven guilty. Section 70 of our Constitution is instructive. It states on rights of accused persons s 70(1):</w:t>
      </w:r>
    </w:p>
    <w:p w:rsidR="00397F86" w:rsidRPr="00397F86" w:rsidRDefault="00397F86" w:rsidP="00397F86">
      <w:pPr>
        <w:spacing w:after="0" w:line="240" w:lineRule="auto"/>
        <w:ind w:left="720"/>
        <w:jc w:val="both"/>
        <w:rPr>
          <w:rFonts w:ascii="Times New Roman" w:hAnsi="Times New Roman" w:cs="Times New Roman"/>
        </w:rPr>
      </w:pPr>
      <w:r w:rsidRPr="00397F86">
        <w:rPr>
          <w:rFonts w:ascii="Times New Roman" w:hAnsi="Times New Roman" w:cs="Times New Roman"/>
        </w:rPr>
        <w:t>Any person accuse</w:t>
      </w:r>
      <w:r w:rsidR="006F37A0">
        <w:rPr>
          <w:rFonts w:ascii="Times New Roman" w:hAnsi="Times New Roman" w:cs="Times New Roman"/>
        </w:rPr>
        <w:t>d</w:t>
      </w:r>
      <w:r w:rsidRPr="00397F86">
        <w:rPr>
          <w:rFonts w:ascii="Times New Roman" w:hAnsi="Times New Roman" w:cs="Times New Roman"/>
        </w:rPr>
        <w:t xml:space="preserve"> of an offence has the following rights </w:t>
      </w:r>
    </w:p>
    <w:p w:rsidR="00397F86" w:rsidRDefault="00397F86" w:rsidP="00397F86">
      <w:pPr>
        <w:spacing w:after="0" w:line="240" w:lineRule="auto"/>
        <w:ind w:left="720"/>
        <w:jc w:val="both"/>
        <w:rPr>
          <w:rFonts w:ascii="Times New Roman" w:hAnsi="Times New Roman" w:cs="Times New Roman"/>
        </w:rPr>
      </w:pPr>
      <w:r w:rsidRPr="00397F86">
        <w:rPr>
          <w:rFonts w:ascii="Times New Roman" w:hAnsi="Times New Roman" w:cs="Times New Roman"/>
        </w:rPr>
        <w:t xml:space="preserve">(a) to be presumed innocent until proved guilty…” </w:t>
      </w:r>
    </w:p>
    <w:p w:rsidR="00397F86" w:rsidRDefault="00397F86" w:rsidP="00397F86">
      <w:pPr>
        <w:spacing w:after="0" w:line="240" w:lineRule="auto"/>
        <w:jc w:val="both"/>
        <w:rPr>
          <w:rFonts w:ascii="Times New Roman" w:hAnsi="Times New Roman" w:cs="Times New Roman"/>
        </w:rPr>
      </w:pPr>
    </w:p>
    <w:p w:rsidR="00397F86" w:rsidRDefault="00397F86" w:rsidP="00397F86">
      <w:pPr>
        <w:spacing w:after="0" w:line="360" w:lineRule="auto"/>
        <w:jc w:val="both"/>
        <w:rPr>
          <w:rFonts w:ascii="Times New Roman" w:hAnsi="Times New Roman" w:cs="Times New Roman"/>
          <w:sz w:val="24"/>
        </w:rPr>
      </w:pPr>
      <w:r>
        <w:rPr>
          <w:rFonts w:ascii="Times New Roman" w:hAnsi="Times New Roman" w:cs="Times New Roman"/>
        </w:rPr>
        <w:tab/>
      </w:r>
      <w:r w:rsidR="00D86E81">
        <w:rPr>
          <w:rFonts w:ascii="Times New Roman" w:hAnsi="Times New Roman" w:cs="Times New Roman"/>
          <w:sz w:val="24"/>
        </w:rPr>
        <w:t>Section 50 o</w:t>
      </w:r>
      <w:r w:rsidR="006A4A17">
        <w:rPr>
          <w:rFonts w:ascii="Times New Roman" w:hAnsi="Times New Roman" w:cs="Times New Roman"/>
          <w:sz w:val="24"/>
        </w:rPr>
        <w:t>n</w:t>
      </w:r>
      <w:r w:rsidR="00D86E81">
        <w:rPr>
          <w:rFonts w:ascii="Times New Roman" w:hAnsi="Times New Roman" w:cs="Times New Roman"/>
          <w:sz w:val="24"/>
        </w:rPr>
        <w:t xml:space="preserve"> Right</w:t>
      </w:r>
      <w:r w:rsidR="006A4A17">
        <w:rPr>
          <w:rFonts w:ascii="Times New Roman" w:hAnsi="Times New Roman" w:cs="Times New Roman"/>
          <w:sz w:val="24"/>
        </w:rPr>
        <w:t>s</w:t>
      </w:r>
      <w:r w:rsidR="00D86E81">
        <w:rPr>
          <w:rFonts w:ascii="Times New Roman" w:hAnsi="Times New Roman" w:cs="Times New Roman"/>
          <w:sz w:val="24"/>
        </w:rPr>
        <w:t xml:space="preserve"> of Arrested and </w:t>
      </w:r>
      <w:r w:rsidR="00BD20BC">
        <w:rPr>
          <w:rFonts w:ascii="Times New Roman" w:hAnsi="Times New Roman" w:cs="Times New Roman"/>
          <w:sz w:val="24"/>
        </w:rPr>
        <w:t>Detained Persons is quite elaborate and clear, in particular s 50(1)(d) which states:</w:t>
      </w:r>
    </w:p>
    <w:p w:rsidR="00AF7B97" w:rsidRDefault="00BD20BC" w:rsidP="00AF7B97">
      <w:pPr>
        <w:spacing w:after="0" w:line="240" w:lineRule="auto"/>
        <w:ind w:left="720"/>
        <w:jc w:val="both"/>
        <w:rPr>
          <w:rFonts w:ascii="Times New Roman" w:hAnsi="Times New Roman" w:cs="Times New Roman"/>
        </w:rPr>
      </w:pPr>
      <w:r>
        <w:rPr>
          <w:rFonts w:ascii="Times New Roman" w:hAnsi="Times New Roman" w:cs="Times New Roman"/>
        </w:rPr>
        <w:lastRenderedPageBreak/>
        <w:t xml:space="preserve">“Any person who is arrested must be released unconditionally or on conditions, pending a charge or trial, unless there are compelling reasons </w:t>
      </w:r>
      <w:r w:rsidR="00AF7B97">
        <w:rPr>
          <w:rFonts w:ascii="Times New Roman" w:hAnsi="Times New Roman" w:cs="Times New Roman"/>
        </w:rPr>
        <w:t>justifying their continued detention…”</w:t>
      </w:r>
    </w:p>
    <w:p w:rsidR="00AF7B97" w:rsidRDefault="00AF7B97" w:rsidP="00AF7B97">
      <w:pPr>
        <w:spacing w:after="0" w:line="240" w:lineRule="auto"/>
        <w:jc w:val="both"/>
        <w:rPr>
          <w:rFonts w:ascii="Times New Roman" w:hAnsi="Times New Roman" w:cs="Times New Roman"/>
        </w:rPr>
      </w:pPr>
    </w:p>
    <w:p w:rsidR="00E24DA8" w:rsidRPr="005F1BA0" w:rsidRDefault="00AF7B97" w:rsidP="00AF7B97">
      <w:pPr>
        <w:spacing w:after="0" w:line="360" w:lineRule="auto"/>
        <w:jc w:val="both"/>
        <w:rPr>
          <w:rFonts w:ascii="Times New Roman" w:hAnsi="Times New Roman" w:cs="Times New Roman"/>
          <w:sz w:val="28"/>
        </w:rPr>
      </w:pPr>
      <w:r>
        <w:rPr>
          <w:rFonts w:ascii="Times New Roman" w:hAnsi="Times New Roman" w:cs="Times New Roman"/>
        </w:rPr>
        <w:tab/>
      </w:r>
      <w:r w:rsidR="000867C8">
        <w:rPr>
          <w:rFonts w:ascii="Times New Roman" w:hAnsi="Times New Roman" w:cs="Times New Roman"/>
          <w:sz w:val="24"/>
        </w:rPr>
        <w:t>It is this right to liberty which has to be balanced against the interest of administration of justice which is anchored on the societal interests to ensure that administration of justice is done by prosecution of matters to their logical conclusion. In balancing the two the court dealing with a bail application has to holistically consider the circumstances of a particular case. There is need to conjunctively consider the personal circumstances of the applicant, the nature of the case, the strength of the state case, the brief outl</w:t>
      </w:r>
      <w:r w:rsidR="00BE1654">
        <w:rPr>
          <w:rFonts w:ascii="Times New Roman" w:hAnsi="Times New Roman" w:cs="Times New Roman"/>
          <w:sz w:val="24"/>
        </w:rPr>
        <w:t xml:space="preserve">ine of defence by the applicant and </w:t>
      </w:r>
      <w:r w:rsidR="000867C8">
        <w:rPr>
          <w:rFonts w:ascii="Times New Roman" w:hAnsi="Times New Roman" w:cs="Times New Roman"/>
          <w:sz w:val="24"/>
        </w:rPr>
        <w:t>the likely sentence in the event of conviction. If there are no forceful or compelling reasons to further detain the applicant then the court ought to lean in favour of the individual liberty. Section 116, 117 and 117A of the Criminal Procedure and evidence Act [</w:t>
      </w:r>
      <w:r w:rsidR="000867C8">
        <w:rPr>
          <w:rFonts w:ascii="Times New Roman" w:hAnsi="Times New Roman" w:cs="Times New Roman"/>
          <w:i/>
          <w:sz w:val="24"/>
        </w:rPr>
        <w:t>Chapter 9:07</w:t>
      </w:r>
      <w:r w:rsidR="000867C8">
        <w:rPr>
          <w:rFonts w:ascii="Times New Roman" w:hAnsi="Times New Roman" w:cs="Times New Roman"/>
          <w:sz w:val="24"/>
        </w:rPr>
        <w:t xml:space="preserve">] provide useful guidelines on factors that the court has to consider in dealing with whether or not there are compelling reasons justifying the denial of bail. Section 117 has the following factors among others. </w:t>
      </w:r>
    </w:p>
    <w:p w:rsidR="00E24DA8" w:rsidRPr="005F1BA0" w:rsidRDefault="00E24DA8" w:rsidP="00E24DA8">
      <w:pPr>
        <w:pStyle w:val="ListParagraph"/>
        <w:numPr>
          <w:ilvl w:val="0"/>
          <w:numId w:val="1"/>
        </w:numPr>
        <w:spacing w:after="0" w:line="360" w:lineRule="auto"/>
        <w:jc w:val="both"/>
        <w:rPr>
          <w:rFonts w:ascii="Times New Roman" w:hAnsi="Times New Roman" w:cs="Times New Roman"/>
          <w:sz w:val="24"/>
        </w:rPr>
      </w:pPr>
      <w:r w:rsidRPr="005F1BA0">
        <w:rPr>
          <w:rFonts w:ascii="Times New Roman" w:hAnsi="Times New Roman" w:cs="Times New Roman"/>
          <w:sz w:val="24"/>
        </w:rPr>
        <w:t>Whether the accused if released on bail will endanger the safety of the public or any particular person or will commit an offence referred to in the first schedule.</w:t>
      </w:r>
    </w:p>
    <w:p w:rsidR="00E24DA8" w:rsidRPr="005F1BA0" w:rsidRDefault="00E24DA8" w:rsidP="00E24DA8">
      <w:pPr>
        <w:pStyle w:val="ListParagraph"/>
        <w:numPr>
          <w:ilvl w:val="0"/>
          <w:numId w:val="1"/>
        </w:numPr>
        <w:spacing w:after="0" w:line="360" w:lineRule="auto"/>
        <w:jc w:val="both"/>
        <w:rPr>
          <w:rFonts w:ascii="Times New Roman" w:hAnsi="Times New Roman" w:cs="Times New Roman"/>
          <w:sz w:val="24"/>
        </w:rPr>
      </w:pPr>
      <w:r w:rsidRPr="005F1BA0">
        <w:rPr>
          <w:rFonts w:ascii="Times New Roman" w:hAnsi="Times New Roman" w:cs="Times New Roman"/>
          <w:sz w:val="24"/>
        </w:rPr>
        <w:t>Whether the accused will attempt to influence or intimidate witnesses or to conceal or distort evidence.</w:t>
      </w:r>
    </w:p>
    <w:p w:rsidR="00E24DA8" w:rsidRPr="005F1BA0" w:rsidRDefault="00E24DA8" w:rsidP="00E24DA8">
      <w:pPr>
        <w:pStyle w:val="ListParagraph"/>
        <w:numPr>
          <w:ilvl w:val="0"/>
          <w:numId w:val="1"/>
        </w:numPr>
        <w:spacing w:after="0" w:line="360" w:lineRule="auto"/>
        <w:jc w:val="both"/>
        <w:rPr>
          <w:rFonts w:ascii="Times New Roman" w:hAnsi="Times New Roman" w:cs="Times New Roman"/>
          <w:sz w:val="24"/>
        </w:rPr>
      </w:pPr>
      <w:r w:rsidRPr="005F1BA0">
        <w:rPr>
          <w:rFonts w:ascii="Times New Roman" w:hAnsi="Times New Roman" w:cs="Times New Roman"/>
          <w:sz w:val="24"/>
        </w:rPr>
        <w:t xml:space="preserve">Whether the accused’s release </w:t>
      </w:r>
      <w:r w:rsidR="005F1BA0" w:rsidRPr="005F1BA0">
        <w:rPr>
          <w:rFonts w:ascii="Times New Roman" w:hAnsi="Times New Roman" w:cs="Times New Roman"/>
          <w:sz w:val="24"/>
        </w:rPr>
        <w:t>will undermine</w:t>
      </w:r>
      <w:r w:rsidRPr="005F1BA0">
        <w:rPr>
          <w:rFonts w:ascii="Times New Roman" w:hAnsi="Times New Roman" w:cs="Times New Roman"/>
          <w:sz w:val="24"/>
        </w:rPr>
        <w:t xml:space="preserve"> or jeopardise the objective or proper functioning of the criminal justice system inclusive of bail system. </w:t>
      </w:r>
    </w:p>
    <w:p w:rsidR="00CA0AF6" w:rsidRDefault="005F1BA0" w:rsidP="005F1BA0">
      <w:pPr>
        <w:tabs>
          <w:tab w:val="left" w:pos="851"/>
        </w:tabs>
        <w:spacing w:after="0" w:line="360" w:lineRule="auto"/>
        <w:jc w:val="both"/>
        <w:rPr>
          <w:rFonts w:ascii="Times New Roman" w:hAnsi="Times New Roman" w:cs="Times New Roman"/>
          <w:sz w:val="24"/>
        </w:rPr>
      </w:pPr>
      <w:r>
        <w:rPr>
          <w:rFonts w:ascii="Times New Roman" w:hAnsi="Times New Roman" w:cs="Times New Roman"/>
          <w:sz w:val="24"/>
        </w:rPr>
        <w:tab/>
      </w:r>
      <w:r w:rsidRPr="005F1BA0">
        <w:rPr>
          <w:rFonts w:ascii="Times New Roman" w:hAnsi="Times New Roman" w:cs="Times New Roman"/>
          <w:sz w:val="24"/>
        </w:rPr>
        <w:t xml:space="preserve">The applicant’s argument in support of the application is that the seriousness of the offence on its own is not good enough reason to deprive her of her right to liberty and admission to bail. This </w:t>
      </w:r>
      <w:r>
        <w:rPr>
          <w:rFonts w:ascii="Times New Roman" w:hAnsi="Times New Roman" w:cs="Times New Roman"/>
          <w:sz w:val="24"/>
        </w:rPr>
        <w:t>i</w:t>
      </w:r>
      <w:r w:rsidRPr="005F1BA0">
        <w:rPr>
          <w:rFonts w:ascii="Times New Roman" w:hAnsi="Times New Roman" w:cs="Times New Roman"/>
          <w:sz w:val="24"/>
        </w:rPr>
        <w:t xml:space="preserve">nfact is now the settled legal position. See </w:t>
      </w:r>
      <w:r w:rsidRPr="005F1BA0">
        <w:rPr>
          <w:rFonts w:ascii="Times New Roman" w:hAnsi="Times New Roman" w:cs="Times New Roman"/>
          <w:i/>
          <w:sz w:val="24"/>
        </w:rPr>
        <w:t xml:space="preserve">S </w:t>
      </w:r>
      <w:r w:rsidRPr="005F1BA0">
        <w:rPr>
          <w:rFonts w:ascii="Times New Roman" w:hAnsi="Times New Roman" w:cs="Times New Roman"/>
          <w:sz w:val="24"/>
        </w:rPr>
        <w:t xml:space="preserve">v </w:t>
      </w:r>
      <w:r w:rsidRPr="005F1BA0">
        <w:rPr>
          <w:rFonts w:ascii="Times New Roman" w:hAnsi="Times New Roman" w:cs="Times New Roman"/>
          <w:i/>
          <w:sz w:val="24"/>
        </w:rPr>
        <w:t>Hussey</w:t>
      </w:r>
      <w:r w:rsidRPr="005F1BA0">
        <w:rPr>
          <w:rFonts w:ascii="Times New Roman" w:hAnsi="Times New Roman" w:cs="Times New Roman"/>
          <w:sz w:val="24"/>
        </w:rPr>
        <w:t xml:space="preserve"> 1991 (2) ZLR 187 (S) and also </w:t>
      </w:r>
      <w:r w:rsidRPr="005F1BA0">
        <w:rPr>
          <w:rFonts w:ascii="Times New Roman" w:hAnsi="Times New Roman" w:cs="Times New Roman"/>
          <w:i/>
          <w:sz w:val="24"/>
        </w:rPr>
        <w:t xml:space="preserve">Putsai </w:t>
      </w:r>
      <w:r w:rsidRPr="005F1BA0">
        <w:rPr>
          <w:rFonts w:ascii="Times New Roman" w:hAnsi="Times New Roman" w:cs="Times New Roman"/>
          <w:sz w:val="24"/>
        </w:rPr>
        <w:t xml:space="preserve">v </w:t>
      </w:r>
      <w:r w:rsidRPr="005F1BA0">
        <w:rPr>
          <w:rFonts w:ascii="Times New Roman" w:hAnsi="Times New Roman" w:cs="Times New Roman"/>
          <w:i/>
          <w:sz w:val="24"/>
        </w:rPr>
        <w:t>The State</w:t>
      </w:r>
      <w:r w:rsidRPr="005F1BA0">
        <w:rPr>
          <w:rFonts w:ascii="Times New Roman" w:hAnsi="Times New Roman" w:cs="Times New Roman"/>
          <w:sz w:val="24"/>
        </w:rPr>
        <w:t>.</w:t>
      </w:r>
      <w:r>
        <w:rPr>
          <w:rFonts w:ascii="Times New Roman" w:hAnsi="Times New Roman" w:cs="Times New Roman"/>
          <w:sz w:val="24"/>
        </w:rPr>
        <w:t xml:space="preserve"> </w:t>
      </w:r>
      <w:r w:rsidR="00B26C95">
        <w:rPr>
          <w:rFonts w:ascii="Times New Roman" w:hAnsi="Times New Roman" w:cs="Times New Roman"/>
          <w:sz w:val="24"/>
        </w:rPr>
        <w:t>I</w:t>
      </w:r>
      <w:r>
        <w:rPr>
          <w:rFonts w:ascii="Times New Roman" w:hAnsi="Times New Roman" w:cs="Times New Roman"/>
          <w:sz w:val="24"/>
        </w:rPr>
        <w:t xml:space="preserve">t is also settled </w:t>
      </w:r>
      <w:r w:rsidR="00B26C95">
        <w:rPr>
          <w:rFonts w:ascii="Times New Roman" w:hAnsi="Times New Roman" w:cs="Times New Roman"/>
          <w:sz w:val="24"/>
        </w:rPr>
        <w:t xml:space="preserve">that the seriousness of the offence has to be conjunctively considered with other factors such as the nature of evidence and likely sentence in the event of conviction. A serious offence invariably attracts a stiff or heavy sentence in the event of conviction. The heavier the penalty the higher the inducement to abscond to avoid such sentence in the </w:t>
      </w:r>
      <w:r w:rsidR="00333EB8">
        <w:rPr>
          <w:rFonts w:ascii="Times New Roman" w:hAnsi="Times New Roman" w:cs="Times New Roman"/>
          <w:sz w:val="24"/>
        </w:rPr>
        <w:t>e</w:t>
      </w:r>
      <w:r w:rsidR="00B26C95">
        <w:rPr>
          <w:rFonts w:ascii="Times New Roman" w:hAnsi="Times New Roman" w:cs="Times New Roman"/>
          <w:sz w:val="24"/>
        </w:rPr>
        <w:t xml:space="preserve">vent of conviction. </w:t>
      </w:r>
      <w:r w:rsidR="00333EB8">
        <w:rPr>
          <w:rFonts w:ascii="Times New Roman" w:hAnsi="Times New Roman" w:cs="Times New Roman"/>
          <w:sz w:val="24"/>
        </w:rPr>
        <w:t xml:space="preserve">The state case in this case is strong considering the eye witnesses’ evidence of those who observed the applicant and her son </w:t>
      </w:r>
      <w:r w:rsidR="00560E82">
        <w:rPr>
          <w:rFonts w:ascii="Times New Roman" w:hAnsi="Times New Roman" w:cs="Times New Roman"/>
          <w:sz w:val="24"/>
        </w:rPr>
        <w:t>who is</w:t>
      </w:r>
      <w:r w:rsidR="00333EB8">
        <w:rPr>
          <w:rFonts w:ascii="Times New Roman" w:hAnsi="Times New Roman" w:cs="Times New Roman"/>
          <w:sz w:val="24"/>
        </w:rPr>
        <w:t xml:space="preserve"> at </w:t>
      </w:r>
      <w:r w:rsidR="00711479">
        <w:rPr>
          <w:rFonts w:ascii="Times New Roman" w:hAnsi="Times New Roman" w:cs="Times New Roman"/>
          <w:sz w:val="24"/>
        </w:rPr>
        <w:t>large</w:t>
      </w:r>
      <w:r w:rsidR="00333EB8">
        <w:rPr>
          <w:rFonts w:ascii="Times New Roman" w:hAnsi="Times New Roman" w:cs="Times New Roman"/>
          <w:sz w:val="24"/>
        </w:rPr>
        <w:t xml:space="preserve"> assault the deceased with an iron bar. The deceased’s </w:t>
      </w:r>
      <w:r w:rsidR="00560E82">
        <w:rPr>
          <w:rFonts w:ascii="Times New Roman" w:hAnsi="Times New Roman" w:cs="Times New Roman"/>
          <w:sz w:val="24"/>
        </w:rPr>
        <w:t>body was</w:t>
      </w:r>
      <w:r w:rsidR="00333EB8">
        <w:rPr>
          <w:rFonts w:ascii="Times New Roman" w:hAnsi="Times New Roman" w:cs="Times New Roman"/>
          <w:sz w:val="24"/>
        </w:rPr>
        <w:t xml:space="preserve"> concealed in a disused </w:t>
      </w:r>
      <w:r w:rsidR="00560E82">
        <w:rPr>
          <w:rFonts w:ascii="Times New Roman" w:hAnsi="Times New Roman" w:cs="Times New Roman"/>
          <w:sz w:val="24"/>
        </w:rPr>
        <w:t>well close</w:t>
      </w:r>
      <w:r w:rsidR="00333EB8">
        <w:rPr>
          <w:rFonts w:ascii="Times New Roman" w:hAnsi="Times New Roman" w:cs="Times New Roman"/>
          <w:sz w:val="24"/>
        </w:rPr>
        <w:t xml:space="preserve"> to where the witness </w:t>
      </w:r>
      <w:r w:rsidR="00560E82">
        <w:rPr>
          <w:rFonts w:ascii="Times New Roman" w:hAnsi="Times New Roman" w:cs="Times New Roman"/>
          <w:sz w:val="24"/>
        </w:rPr>
        <w:t>observed the</w:t>
      </w:r>
      <w:r w:rsidR="00333EB8">
        <w:rPr>
          <w:rFonts w:ascii="Times New Roman" w:hAnsi="Times New Roman" w:cs="Times New Roman"/>
          <w:sz w:val="24"/>
        </w:rPr>
        <w:t xml:space="preserve"> assault. The nature of the charge and strength of the state case when viewed in conjunction with the likely sentence can act as </w:t>
      </w:r>
      <w:r w:rsidR="004414E6">
        <w:rPr>
          <w:rFonts w:ascii="Times New Roman" w:hAnsi="Times New Roman" w:cs="Times New Roman"/>
          <w:sz w:val="24"/>
        </w:rPr>
        <w:t>an</w:t>
      </w:r>
      <w:r w:rsidR="00333EB8">
        <w:rPr>
          <w:rFonts w:ascii="Times New Roman" w:hAnsi="Times New Roman" w:cs="Times New Roman"/>
          <w:sz w:val="24"/>
        </w:rPr>
        <w:t xml:space="preserve"> inducement </w:t>
      </w:r>
      <w:r w:rsidR="004414E6">
        <w:rPr>
          <w:rFonts w:ascii="Times New Roman" w:hAnsi="Times New Roman" w:cs="Times New Roman"/>
          <w:sz w:val="24"/>
        </w:rPr>
        <w:t>to abscond</w:t>
      </w:r>
      <w:r w:rsidR="00711479">
        <w:rPr>
          <w:rFonts w:ascii="Times New Roman" w:hAnsi="Times New Roman" w:cs="Times New Roman"/>
          <w:sz w:val="24"/>
        </w:rPr>
        <w:t>ment</w:t>
      </w:r>
      <w:r w:rsidR="004414E6">
        <w:rPr>
          <w:rFonts w:ascii="Times New Roman" w:hAnsi="Times New Roman" w:cs="Times New Roman"/>
          <w:sz w:val="24"/>
        </w:rPr>
        <w:t xml:space="preserve">. The fears of abscondment are not farfetched when one considers that the applicant’s son fled </w:t>
      </w:r>
      <w:r w:rsidR="004414E6">
        <w:rPr>
          <w:rFonts w:ascii="Times New Roman" w:hAnsi="Times New Roman" w:cs="Times New Roman"/>
          <w:sz w:val="24"/>
        </w:rPr>
        <w:lastRenderedPageBreak/>
        <w:t>and that the applicant’s husband is in South Africa. The court further takes judicial notice of the porous nature of the Zimbabwe – Mozambique borders especially in Chipinge where it is common cause people s</w:t>
      </w:r>
      <w:r w:rsidR="0098352B">
        <w:rPr>
          <w:rFonts w:ascii="Times New Roman" w:hAnsi="Times New Roman" w:cs="Times New Roman"/>
          <w:sz w:val="24"/>
        </w:rPr>
        <w:t>t</w:t>
      </w:r>
      <w:r w:rsidR="004414E6">
        <w:rPr>
          <w:rFonts w:ascii="Times New Roman" w:hAnsi="Times New Roman" w:cs="Times New Roman"/>
          <w:sz w:val="24"/>
        </w:rPr>
        <w:t>ay in Zimbabwean side and cross over to their fields in Mozambique. Considering the nature of the alleged murder the evidence at the state’s disposal and the likely sentence in the event of conviction</w:t>
      </w:r>
      <w:r w:rsidR="00423277">
        <w:rPr>
          <w:rFonts w:ascii="Times New Roman" w:hAnsi="Times New Roman" w:cs="Times New Roman"/>
          <w:sz w:val="24"/>
        </w:rPr>
        <w:t>,</w:t>
      </w:r>
      <w:r w:rsidR="004414E6">
        <w:rPr>
          <w:rFonts w:ascii="Times New Roman" w:hAnsi="Times New Roman" w:cs="Times New Roman"/>
          <w:sz w:val="24"/>
        </w:rPr>
        <w:t xml:space="preserve"> there is high temptation to abscond. The state’s fears of likelihood of abscondment are real in this case. This is moreso when one considers that accused’s possible defence to the charge which is just a bare denial with a suggestion that deceased might have fallen in the disused well. In stalk contrast with state evidence of eye witnesses who observed iron bars being used to assault the deceased and also  the deceased’s body covered by rubbles</w:t>
      </w:r>
      <w:r w:rsidR="001768E5">
        <w:rPr>
          <w:rFonts w:ascii="Times New Roman" w:hAnsi="Times New Roman" w:cs="Times New Roman"/>
          <w:sz w:val="24"/>
        </w:rPr>
        <w:t>,</w:t>
      </w:r>
      <w:r w:rsidR="004414E6">
        <w:rPr>
          <w:rFonts w:ascii="Times New Roman" w:hAnsi="Times New Roman" w:cs="Times New Roman"/>
          <w:sz w:val="24"/>
        </w:rPr>
        <w:t xml:space="preserve"> soil and branches. </w:t>
      </w:r>
    </w:p>
    <w:p w:rsidR="00BD4FDF" w:rsidRDefault="00CA0AF6" w:rsidP="005F1BA0">
      <w:pPr>
        <w:tabs>
          <w:tab w:val="left" w:pos="851"/>
        </w:tabs>
        <w:spacing w:after="0" w:line="360" w:lineRule="auto"/>
        <w:jc w:val="both"/>
        <w:rPr>
          <w:rFonts w:ascii="Times New Roman" w:hAnsi="Times New Roman" w:cs="Times New Roman"/>
          <w:sz w:val="24"/>
        </w:rPr>
      </w:pPr>
      <w:r>
        <w:rPr>
          <w:rFonts w:ascii="Times New Roman" w:hAnsi="Times New Roman" w:cs="Times New Roman"/>
          <w:sz w:val="24"/>
        </w:rPr>
        <w:tab/>
        <w:t xml:space="preserve">In this case the fact that applicant is facing serious </w:t>
      </w:r>
      <w:r w:rsidR="006C22D1">
        <w:rPr>
          <w:rFonts w:ascii="Times New Roman" w:hAnsi="Times New Roman" w:cs="Times New Roman"/>
          <w:sz w:val="24"/>
        </w:rPr>
        <w:t>allegations</w:t>
      </w:r>
      <w:r>
        <w:rPr>
          <w:rFonts w:ascii="Times New Roman" w:hAnsi="Times New Roman" w:cs="Times New Roman"/>
          <w:sz w:val="24"/>
        </w:rPr>
        <w:t xml:space="preserve"> involving loss of life in which the concealed body was only recovered about 2 weeks later denotes a serious allegation which will</w:t>
      </w:r>
      <w:r w:rsidR="001768E5">
        <w:rPr>
          <w:rFonts w:ascii="Times New Roman" w:hAnsi="Times New Roman" w:cs="Times New Roman"/>
          <w:sz w:val="24"/>
        </w:rPr>
        <w:t>,</w:t>
      </w:r>
      <w:r>
        <w:rPr>
          <w:rFonts w:ascii="Times New Roman" w:hAnsi="Times New Roman" w:cs="Times New Roman"/>
          <w:sz w:val="24"/>
        </w:rPr>
        <w:t xml:space="preserve"> in the event of conviction</w:t>
      </w:r>
      <w:r w:rsidR="001768E5">
        <w:rPr>
          <w:rFonts w:ascii="Times New Roman" w:hAnsi="Times New Roman" w:cs="Times New Roman"/>
          <w:sz w:val="24"/>
        </w:rPr>
        <w:t>,</w:t>
      </w:r>
      <w:r>
        <w:rPr>
          <w:rFonts w:ascii="Times New Roman" w:hAnsi="Times New Roman" w:cs="Times New Roman"/>
          <w:sz w:val="24"/>
        </w:rPr>
        <w:t xml:space="preserve"> attract a </w:t>
      </w:r>
      <w:r w:rsidR="006C22D1">
        <w:rPr>
          <w:rFonts w:ascii="Times New Roman" w:hAnsi="Times New Roman" w:cs="Times New Roman"/>
          <w:sz w:val="24"/>
        </w:rPr>
        <w:t>heavy</w:t>
      </w:r>
      <w:r>
        <w:rPr>
          <w:rFonts w:ascii="Times New Roman" w:hAnsi="Times New Roman" w:cs="Times New Roman"/>
          <w:sz w:val="24"/>
        </w:rPr>
        <w:t xml:space="preserve"> penalty. That coupled with the evidence available is likely to incentivise the applicant to abscond and thus jeopardise the interest of administration of justice. See </w:t>
      </w:r>
      <w:r>
        <w:rPr>
          <w:rFonts w:ascii="Times New Roman" w:hAnsi="Times New Roman" w:cs="Times New Roman"/>
          <w:i/>
          <w:sz w:val="24"/>
        </w:rPr>
        <w:t xml:space="preserve">S </w:t>
      </w:r>
      <w:r>
        <w:rPr>
          <w:rFonts w:ascii="Times New Roman" w:hAnsi="Times New Roman" w:cs="Times New Roman"/>
          <w:sz w:val="24"/>
        </w:rPr>
        <w:t xml:space="preserve">v </w:t>
      </w:r>
      <w:r w:rsidR="006C22D1">
        <w:rPr>
          <w:rFonts w:ascii="Times New Roman" w:hAnsi="Times New Roman" w:cs="Times New Roman"/>
          <w:i/>
          <w:sz w:val="24"/>
        </w:rPr>
        <w:t xml:space="preserve">Jongwe </w:t>
      </w:r>
      <w:r w:rsidR="006C22D1">
        <w:rPr>
          <w:rFonts w:ascii="Times New Roman" w:hAnsi="Times New Roman" w:cs="Times New Roman"/>
          <w:sz w:val="24"/>
        </w:rPr>
        <w:t xml:space="preserve">SC 251/2002. </w:t>
      </w:r>
    </w:p>
    <w:p w:rsidR="00BD4FDF" w:rsidRDefault="00BD4FDF" w:rsidP="005F1BA0">
      <w:pPr>
        <w:tabs>
          <w:tab w:val="left" w:pos="851"/>
        </w:tabs>
        <w:spacing w:after="0" w:line="360" w:lineRule="auto"/>
        <w:jc w:val="both"/>
        <w:rPr>
          <w:rFonts w:ascii="Times New Roman" w:hAnsi="Times New Roman" w:cs="Times New Roman"/>
          <w:sz w:val="24"/>
        </w:rPr>
      </w:pPr>
      <w:r>
        <w:rPr>
          <w:rFonts w:ascii="Times New Roman" w:hAnsi="Times New Roman" w:cs="Times New Roman"/>
          <w:sz w:val="24"/>
        </w:rPr>
        <w:tab/>
        <w:t xml:space="preserve">I am therefore, in the circumstances of this matter satisfied that there are compelling reasons justifying continued detention of the applicant. The admission of applicant to bail would undermine the justice delivery system and bail system. </w:t>
      </w:r>
    </w:p>
    <w:p w:rsidR="00BD4FDF" w:rsidRDefault="00BD4FDF" w:rsidP="005F1BA0">
      <w:pPr>
        <w:tabs>
          <w:tab w:val="left" w:pos="851"/>
        </w:tabs>
        <w:spacing w:after="0" w:line="360" w:lineRule="auto"/>
        <w:jc w:val="both"/>
        <w:rPr>
          <w:rFonts w:ascii="Times New Roman" w:hAnsi="Times New Roman" w:cs="Times New Roman"/>
          <w:sz w:val="24"/>
        </w:rPr>
      </w:pPr>
      <w:r>
        <w:rPr>
          <w:rFonts w:ascii="Times New Roman" w:hAnsi="Times New Roman" w:cs="Times New Roman"/>
          <w:sz w:val="24"/>
        </w:rPr>
        <w:tab/>
        <w:t xml:space="preserve">In the result it is ordered that the application for bail pending trial be and is hereby dismissed. </w:t>
      </w:r>
    </w:p>
    <w:p w:rsidR="00BD4FDF" w:rsidRDefault="00BD4FDF" w:rsidP="005F1BA0">
      <w:pPr>
        <w:tabs>
          <w:tab w:val="left" w:pos="851"/>
        </w:tabs>
        <w:spacing w:after="0" w:line="360" w:lineRule="auto"/>
        <w:jc w:val="both"/>
        <w:rPr>
          <w:rFonts w:ascii="Times New Roman" w:hAnsi="Times New Roman" w:cs="Times New Roman"/>
          <w:sz w:val="24"/>
        </w:rPr>
      </w:pPr>
    </w:p>
    <w:p w:rsidR="00BD4FDF" w:rsidRDefault="00BD4FDF" w:rsidP="005F1BA0">
      <w:pPr>
        <w:tabs>
          <w:tab w:val="left" w:pos="851"/>
        </w:tabs>
        <w:spacing w:after="0" w:line="360" w:lineRule="auto"/>
        <w:jc w:val="both"/>
        <w:rPr>
          <w:rFonts w:ascii="Times New Roman" w:hAnsi="Times New Roman" w:cs="Times New Roman"/>
          <w:sz w:val="24"/>
        </w:rPr>
      </w:pPr>
    </w:p>
    <w:p w:rsidR="00BD4FDF" w:rsidRDefault="00BD4FDF" w:rsidP="005F1BA0">
      <w:pPr>
        <w:tabs>
          <w:tab w:val="left" w:pos="851"/>
        </w:tabs>
        <w:spacing w:after="0" w:line="360" w:lineRule="auto"/>
        <w:jc w:val="both"/>
        <w:rPr>
          <w:rFonts w:ascii="Times New Roman" w:hAnsi="Times New Roman" w:cs="Times New Roman"/>
          <w:sz w:val="24"/>
        </w:rPr>
      </w:pPr>
    </w:p>
    <w:p w:rsidR="00BD4FDF" w:rsidRDefault="00BD4FDF" w:rsidP="00BD4FDF">
      <w:pPr>
        <w:tabs>
          <w:tab w:val="left" w:pos="851"/>
        </w:tabs>
        <w:spacing w:after="0" w:line="240" w:lineRule="auto"/>
        <w:jc w:val="both"/>
        <w:rPr>
          <w:rFonts w:ascii="Times New Roman" w:hAnsi="Times New Roman" w:cs="Times New Roman"/>
          <w:sz w:val="24"/>
        </w:rPr>
      </w:pPr>
      <w:r>
        <w:rPr>
          <w:rFonts w:ascii="Times New Roman" w:hAnsi="Times New Roman" w:cs="Times New Roman"/>
          <w:i/>
          <w:sz w:val="24"/>
        </w:rPr>
        <w:t>Gonese and Ndlovu</w:t>
      </w:r>
      <w:r>
        <w:rPr>
          <w:rFonts w:ascii="Times New Roman" w:hAnsi="Times New Roman" w:cs="Times New Roman"/>
          <w:sz w:val="24"/>
        </w:rPr>
        <w:t xml:space="preserve">, applicant’s legal practitioners </w:t>
      </w:r>
    </w:p>
    <w:p w:rsidR="00BD20BC" w:rsidRPr="005F1BA0" w:rsidRDefault="00BD4FDF" w:rsidP="00BD4FDF">
      <w:pPr>
        <w:tabs>
          <w:tab w:val="left" w:pos="851"/>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xml:space="preserve">, respondent’s legal practitioners </w:t>
      </w:r>
      <w:r w:rsidR="004414E6">
        <w:rPr>
          <w:rFonts w:ascii="Times New Roman" w:hAnsi="Times New Roman" w:cs="Times New Roman"/>
          <w:sz w:val="24"/>
        </w:rPr>
        <w:t xml:space="preserve">   </w:t>
      </w:r>
    </w:p>
    <w:p w:rsidR="00397F86" w:rsidRPr="005F1BA0" w:rsidRDefault="00397F86" w:rsidP="00397F86">
      <w:pPr>
        <w:spacing w:after="0" w:line="240" w:lineRule="auto"/>
        <w:ind w:left="720"/>
        <w:jc w:val="both"/>
        <w:rPr>
          <w:rFonts w:ascii="Times New Roman" w:hAnsi="Times New Roman" w:cs="Times New Roman"/>
          <w:sz w:val="24"/>
        </w:rPr>
      </w:pPr>
    </w:p>
    <w:p w:rsidR="00877E20" w:rsidRPr="005F1BA0" w:rsidRDefault="00877E20" w:rsidP="00034F0F">
      <w:pPr>
        <w:spacing w:after="0" w:line="360" w:lineRule="auto"/>
        <w:jc w:val="both"/>
        <w:rPr>
          <w:rFonts w:ascii="Times New Roman" w:hAnsi="Times New Roman" w:cs="Times New Roman"/>
          <w:sz w:val="28"/>
        </w:rPr>
      </w:pPr>
    </w:p>
    <w:p w:rsidR="00877E20" w:rsidRPr="005F1BA0" w:rsidRDefault="00877E20" w:rsidP="00034F0F">
      <w:pPr>
        <w:spacing w:after="0" w:line="360" w:lineRule="auto"/>
        <w:jc w:val="both"/>
        <w:rPr>
          <w:rFonts w:ascii="Times New Roman" w:hAnsi="Times New Roman" w:cs="Times New Roman"/>
          <w:sz w:val="28"/>
        </w:rPr>
      </w:pPr>
    </w:p>
    <w:p w:rsidR="00877E20" w:rsidRPr="005F1BA0" w:rsidRDefault="00877E20" w:rsidP="00034F0F">
      <w:pPr>
        <w:spacing w:after="0" w:line="360" w:lineRule="auto"/>
        <w:jc w:val="both"/>
        <w:rPr>
          <w:rFonts w:ascii="Times New Roman" w:hAnsi="Times New Roman" w:cs="Times New Roman"/>
          <w:sz w:val="28"/>
        </w:rPr>
      </w:pPr>
    </w:p>
    <w:sectPr w:rsidR="00877E20" w:rsidRPr="005F1BA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8F3" w:rsidRDefault="006F78F3" w:rsidP="00034F0F">
      <w:pPr>
        <w:spacing w:after="0" w:line="240" w:lineRule="auto"/>
      </w:pPr>
      <w:r>
        <w:separator/>
      </w:r>
    </w:p>
  </w:endnote>
  <w:endnote w:type="continuationSeparator" w:id="0">
    <w:p w:rsidR="006F78F3" w:rsidRDefault="006F78F3" w:rsidP="0003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C2A" w:rsidRDefault="006F5C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C2A" w:rsidRDefault="006F5C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C2A" w:rsidRDefault="006F5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8F3" w:rsidRDefault="006F78F3" w:rsidP="00034F0F">
      <w:pPr>
        <w:spacing w:after="0" w:line="240" w:lineRule="auto"/>
      </w:pPr>
      <w:r>
        <w:separator/>
      </w:r>
    </w:p>
  </w:footnote>
  <w:footnote w:type="continuationSeparator" w:id="0">
    <w:p w:rsidR="006F78F3" w:rsidRDefault="006F78F3" w:rsidP="00034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C2A" w:rsidRDefault="006F5C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70802"/>
      <w:docPartObj>
        <w:docPartGallery w:val="Page Numbers (Top of Page)"/>
        <w:docPartUnique/>
      </w:docPartObj>
    </w:sdtPr>
    <w:sdtEndPr>
      <w:rPr>
        <w:noProof/>
      </w:rPr>
    </w:sdtEndPr>
    <w:sdtContent>
      <w:p w:rsidR="00034F0F" w:rsidRDefault="00034F0F">
        <w:pPr>
          <w:pStyle w:val="Header"/>
          <w:jc w:val="right"/>
          <w:rPr>
            <w:noProof/>
          </w:rPr>
        </w:pPr>
        <w:r>
          <w:fldChar w:fldCharType="begin"/>
        </w:r>
        <w:r>
          <w:instrText xml:space="preserve"> PAGE   \* MERGEFORMAT </w:instrText>
        </w:r>
        <w:r>
          <w:fldChar w:fldCharType="separate"/>
        </w:r>
        <w:r w:rsidR="008C1C06">
          <w:rPr>
            <w:noProof/>
          </w:rPr>
          <w:t>1</w:t>
        </w:r>
        <w:r>
          <w:rPr>
            <w:noProof/>
          </w:rPr>
          <w:fldChar w:fldCharType="end"/>
        </w:r>
      </w:p>
      <w:p w:rsidR="00034F0F" w:rsidRDefault="00034F0F">
        <w:pPr>
          <w:pStyle w:val="Header"/>
          <w:jc w:val="right"/>
          <w:rPr>
            <w:noProof/>
          </w:rPr>
        </w:pPr>
        <w:r>
          <w:rPr>
            <w:noProof/>
          </w:rPr>
          <w:t xml:space="preserve">HMT </w:t>
        </w:r>
        <w:r w:rsidR="006F5C2A">
          <w:rPr>
            <w:noProof/>
          </w:rPr>
          <w:t>29</w:t>
        </w:r>
        <w:r>
          <w:rPr>
            <w:noProof/>
          </w:rPr>
          <w:t>-21</w:t>
        </w:r>
      </w:p>
      <w:p w:rsidR="00034F0F" w:rsidRDefault="00034F0F">
        <w:pPr>
          <w:pStyle w:val="Header"/>
          <w:jc w:val="right"/>
        </w:pPr>
        <w:r>
          <w:rPr>
            <w:noProof/>
          </w:rPr>
          <w:t>B 46/21</w:t>
        </w:r>
      </w:p>
    </w:sdtContent>
  </w:sdt>
  <w:p w:rsidR="00034F0F" w:rsidRDefault="00034F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C2A" w:rsidRDefault="006F5C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5E6D40"/>
    <w:multiLevelType w:val="hybridMultilevel"/>
    <w:tmpl w:val="F2DEF7C2"/>
    <w:lvl w:ilvl="0" w:tplc="3009001B">
      <w:start w:val="1"/>
      <w:numFmt w:val="lowerRoman"/>
      <w:lvlText w:val="%1."/>
      <w:lvlJc w:val="righ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0E"/>
    <w:rsid w:val="00034F0F"/>
    <w:rsid w:val="000867C8"/>
    <w:rsid w:val="00127655"/>
    <w:rsid w:val="001768E5"/>
    <w:rsid w:val="0022226F"/>
    <w:rsid w:val="00333EB8"/>
    <w:rsid w:val="00397F86"/>
    <w:rsid w:val="00423277"/>
    <w:rsid w:val="004414E6"/>
    <w:rsid w:val="00521E58"/>
    <w:rsid w:val="00560E82"/>
    <w:rsid w:val="005F1BA0"/>
    <w:rsid w:val="00636D74"/>
    <w:rsid w:val="006A4A17"/>
    <w:rsid w:val="006B560E"/>
    <w:rsid w:val="006C22D1"/>
    <w:rsid w:val="006D426B"/>
    <w:rsid w:val="006F37A0"/>
    <w:rsid w:val="006F5C2A"/>
    <w:rsid w:val="006F78F3"/>
    <w:rsid w:val="00711479"/>
    <w:rsid w:val="0085771A"/>
    <w:rsid w:val="00877E20"/>
    <w:rsid w:val="008C1C06"/>
    <w:rsid w:val="0095734C"/>
    <w:rsid w:val="0098352B"/>
    <w:rsid w:val="00AF7B97"/>
    <w:rsid w:val="00B26C95"/>
    <w:rsid w:val="00BD20BC"/>
    <w:rsid w:val="00BD4FDF"/>
    <w:rsid w:val="00BE1654"/>
    <w:rsid w:val="00C23B36"/>
    <w:rsid w:val="00CA0AF6"/>
    <w:rsid w:val="00CC3F10"/>
    <w:rsid w:val="00D86E81"/>
    <w:rsid w:val="00DD451C"/>
    <w:rsid w:val="00E24DA8"/>
    <w:rsid w:val="00ED09DA"/>
    <w:rsid w:val="00EF77D3"/>
    <w:rsid w:val="00FF3A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5D92C-110B-4007-8E6F-B31E7C93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F0F"/>
  </w:style>
  <w:style w:type="paragraph" w:styleId="Footer">
    <w:name w:val="footer"/>
    <w:basedOn w:val="Normal"/>
    <w:link w:val="FooterChar"/>
    <w:uiPriority w:val="99"/>
    <w:unhideWhenUsed/>
    <w:rsid w:val="00034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F0F"/>
  </w:style>
  <w:style w:type="paragraph" w:styleId="ListParagraph">
    <w:name w:val="List Paragraph"/>
    <w:basedOn w:val="Normal"/>
    <w:uiPriority w:val="34"/>
    <w:qFormat/>
    <w:rsid w:val="00E24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2021-06-03T14:00:00Z</dcterms:created>
  <dcterms:modified xsi:type="dcterms:W3CDTF">2021-06-03T14:00:00Z</dcterms:modified>
</cp:coreProperties>
</file>