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F3" w:rsidRPr="00047C13" w:rsidRDefault="006F3CF3" w:rsidP="006F3CF3">
      <w:pPr>
        <w:spacing w:line="360" w:lineRule="auto"/>
        <w:jc w:val="both"/>
        <w:rPr>
          <w:b/>
        </w:rPr>
      </w:pPr>
      <w:r w:rsidRPr="00047C13">
        <w:rPr>
          <w:b/>
        </w:rPr>
        <w:t>IN T</w:t>
      </w:r>
      <w:r>
        <w:rPr>
          <w:b/>
        </w:rPr>
        <w:t>HE LABOUR COURT OF ZIMBABWE      JUDGMENT NO. LC/H/</w:t>
      </w:r>
      <w:r w:rsidR="00B221BC">
        <w:rPr>
          <w:b/>
        </w:rPr>
        <w:t>228</w:t>
      </w:r>
      <w:r>
        <w:rPr>
          <w:b/>
        </w:rPr>
        <w:t>/2016</w:t>
      </w:r>
    </w:p>
    <w:p w:rsidR="006F3CF3" w:rsidRDefault="006F3CF3" w:rsidP="006F3CF3">
      <w:pPr>
        <w:spacing w:line="360" w:lineRule="auto"/>
        <w:jc w:val="both"/>
        <w:rPr>
          <w:b/>
        </w:rPr>
      </w:pPr>
      <w:r w:rsidRPr="00047C13">
        <w:rPr>
          <w:b/>
        </w:rPr>
        <w:t xml:space="preserve">HARARE, </w:t>
      </w:r>
      <w:r>
        <w:rPr>
          <w:b/>
        </w:rPr>
        <w:t xml:space="preserve">14 MARCH 2016 </w:t>
      </w:r>
      <w:r>
        <w:rPr>
          <w:b/>
        </w:rPr>
        <w:tab/>
      </w:r>
      <w:r>
        <w:rPr>
          <w:b/>
        </w:rPr>
        <w:tab/>
      </w:r>
      <w:r>
        <w:rPr>
          <w:b/>
        </w:rPr>
        <w:tab/>
        <w:t xml:space="preserve">     </w:t>
      </w:r>
      <w:r>
        <w:rPr>
          <w:b/>
        </w:rPr>
        <w:tab/>
        <w:t xml:space="preserve"> </w:t>
      </w:r>
      <w:r w:rsidRPr="00047C13">
        <w:rPr>
          <w:b/>
        </w:rPr>
        <w:t>CASE NO. LC/H/</w:t>
      </w:r>
      <w:r>
        <w:rPr>
          <w:b/>
        </w:rPr>
        <w:t>78/15</w:t>
      </w:r>
    </w:p>
    <w:p w:rsidR="006F3CF3" w:rsidRDefault="006F3CF3" w:rsidP="006F3CF3">
      <w:pPr>
        <w:spacing w:line="360" w:lineRule="auto"/>
        <w:jc w:val="both"/>
        <w:rPr>
          <w:b/>
        </w:rPr>
      </w:pPr>
      <w:r>
        <w:rPr>
          <w:b/>
        </w:rPr>
        <w:t xml:space="preserve">AND </w:t>
      </w:r>
      <w:r w:rsidR="00B221BC">
        <w:rPr>
          <w:b/>
        </w:rPr>
        <w:t>22 APRIL</w:t>
      </w:r>
      <w:r>
        <w:rPr>
          <w:b/>
        </w:rPr>
        <w:t xml:space="preserve"> 2016</w:t>
      </w:r>
    </w:p>
    <w:p w:rsidR="006F3CF3" w:rsidRPr="00047C13" w:rsidRDefault="006F3CF3" w:rsidP="006F3CF3">
      <w:pPr>
        <w:spacing w:line="360" w:lineRule="auto"/>
        <w:jc w:val="both"/>
      </w:pPr>
      <w:r w:rsidRPr="00047C13">
        <w:t>In the matter between</w:t>
      </w:r>
      <w:r>
        <w:t>:-</w:t>
      </w:r>
    </w:p>
    <w:p w:rsidR="006F3CF3" w:rsidRPr="00047C13" w:rsidRDefault="006F3CF3" w:rsidP="006F3CF3">
      <w:pPr>
        <w:spacing w:line="360" w:lineRule="auto"/>
        <w:jc w:val="both"/>
      </w:pPr>
    </w:p>
    <w:p w:rsidR="006F3CF3" w:rsidRPr="00047C13" w:rsidRDefault="006F3CF3" w:rsidP="006F3CF3">
      <w:pPr>
        <w:spacing w:line="360" w:lineRule="auto"/>
        <w:jc w:val="both"/>
        <w:rPr>
          <w:b/>
        </w:rPr>
      </w:pPr>
      <w:r>
        <w:rPr>
          <w:b/>
        </w:rPr>
        <w:t>SAVANNA PHARMACEUTICALS</w:t>
      </w:r>
      <w:r w:rsidR="00904E4B">
        <w:rPr>
          <w:b/>
        </w:rPr>
        <w:tab/>
      </w:r>
      <w:r w:rsidR="00904E4B">
        <w:rPr>
          <w:b/>
        </w:rPr>
        <w:tab/>
      </w:r>
      <w:r w:rsidR="00904E4B">
        <w:rPr>
          <w:b/>
        </w:rPr>
        <w:tab/>
      </w:r>
      <w:r>
        <w:rPr>
          <w:b/>
        </w:rPr>
        <w:t>Appellant</w:t>
      </w:r>
    </w:p>
    <w:p w:rsidR="006F3CF3" w:rsidRPr="00047C13" w:rsidRDefault="006F3CF3" w:rsidP="006F3CF3">
      <w:pPr>
        <w:tabs>
          <w:tab w:val="left" w:pos="1995"/>
        </w:tabs>
        <w:spacing w:line="360" w:lineRule="auto"/>
        <w:jc w:val="both"/>
        <w:outlineLvl w:val="0"/>
      </w:pPr>
      <w:r w:rsidRPr="00047C13">
        <w:t>And</w:t>
      </w:r>
      <w:r w:rsidRPr="00047C13">
        <w:tab/>
      </w:r>
    </w:p>
    <w:p w:rsidR="006F3CF3" w:rsidRDefault="00904E4B" w:rsidP="006F3CF3">
      <w:pPr>
        <w:spacing w:line="360" w:lineRule="auto"/>
        <w:jc w:val="both"/>
        <w:rPr>
          <w:b/>
        </w:rPr>
      </w:pPr>
      <w:r>
        <w:rPr>
          <w:b/>
        </w:rPr>
        <w:t>JUDITH MARERA</w:t>
      </w:r>
      <w:r>
        <w:rPr>
          <w:b/>
        </w:rPr>
        <w:tab/>
      </w:r>
      <w:r>
        <w:rPr>
          <w:b/>
        </w:rPr>
        <w:tab/>
      </w:r>
      <w:r w:rsidR="006F3CF3">
        <w:rPr>
          <w:b/>
        </w:rPr>
        <w:tab/>
      </w:r>
      <w:r w:rsidR="006F3CF3">
        <w:rPr>
          <w:b/>
        </w:rPr>
        <w:tab/>
      </w:r>
      <w:r w:rsidR="006F3CF3">
        <w:rPr>
          <w:b/>
        </w:rPr>
        <w:tab/>
      </w:r>
      <w:r w:rsidR="006F3CF3">
        <w:rPr>
          <w:b/>
        </w:rPr>
        <w:tab/>
      </w:r>
      <w:r>
        <w:rPr>
          <w:b/>
        </w:rPr>
        <w:t>1</w:t>
      </w:r>
      <w:r w:rsidRPr="00904E4B">
        <w:rPr>
          <w:b/>
          <w:vertAlign w:val="superscript"/>
        </w:rPr>
        <w:t>st</w:t>
      </w:r>
      <w:r>
        <w:rPr>
          <w:b/>
        </w:rPr>
        <w:t xml:space="preserve"> </w:t>
      </w:r>
      <w:r w:rsidR="006F3CF3">
        <w:rPr>
          <w:b/>
        </w:rPr>
        <w:t>Respondent</w:t>
      </w:r>
    </w:p>
    <w:p w:rsidR="00904E4B" w:rsidRDefault="00904E4B" w:rsidP="006F3CF3">
      <w:pPr>
        <w:spacing w:line="360" w:lineRule="auto"/>
        <w:jc w:val="both"/>
      </w:pPr>
      <w:r>
        <w:t>And</w:t>
      </w:r>
    </w:p>
    <w:p w:rsidR="00904E4B" w:rsidRPr="00904E4B" w:rsidRDefault="00001D92" w:rsidP="006F3CF3">
      <w:pPr>
        <w:spacing w:line="360" w:lineRule="auto"/>
        <w:jc w:val="both"/>
        <w:rPr>
          <w:b/>
        </w:rPr>
      </w:pPr>
      <w:r>
        <w:rPr>
          <w:b/>
        </w:rPr>
        <w:t>TINEYI</w:t>
      </w:r>
      <w:bookmarkStart w:id="0" w:name="_GoBack"/>
      <w:bookmarkEnd w:id="0"/>
      <w:r w:rsidR="00904E4B">
        <w:rPr>
          <w:b/>
        </w:rPr>
        <w:t xml:space="preserve"> CHIMUSORO</w:t>
      </w:r>
      <w:r w:rsidR="00904E4B">
        <w:rPr>
          <w:b/>
        </w:rPr>
        <w:tab/>
      </w:r>
      <w:r w:rsidR="00904E4B">
        <w:rPr>
          <w:b/>
        </w:rPr>
        <w:tab/>
      </w:r>
      <w:r w:rsidR="00904E4B">
        <w:rPr>
          <w:b/>
        </w:rPr>
        <w:tab/>
      </w:r>
      <w:r w:rsidR="00904E4B">
        <w:rPr>
          <w:b/>
        </w:rPr>
        <w:tab/>
      </w:r>
      <w:r w:rsidR="00904E4B">
        <w:rPr>
          <w:b/>
        </w:rPr>
        <w:tab/>
        <w:t>2</w:t>
      </w:r>
      <w:r w:rsidR="00904E4B" w:rsidRPr="00904E4B">
        <w:rPr>
          <w:b/>
          <w:vertAlign w:val="superscript"/>
        </w:rPr>
        <w:t>nd</w:t>
      </w:r>
      <w:r w:rsidR="00904E4B">
        <w:rPr>
          <w:b/>
        </w:rPr>
        <w:t xml:space="preserve"> </w:t>
      </w:r>
      <w:r w:rsidR="006A7698">
        <w:rPr>
          <w:b/>
        </w:rPr>
        <w:t xml:space="preserve">Respondent </w:t>
      </w:r>
    </w:p>
    <w:p w:rsidR="006F3CF3" w:rsidRPr="00047C13" w:rsidRDefault="006F3CF3" w:rsidP="006F3CF3">
      <w:pPr>
        <w:spacing w:line="360" w:lineRule="auto"/>
        <w:jc w:val="both"/>
        <w:rPr>
          <w:b/>
        </w:rPr>
      </w:pPr>
    </w:p>
    <w:p w:rsidR="006F3CF3" w:rsidRDefault="006F3CF3" w:rsidP="006F3CF3">
      <w:pPr>
        <w:spacing w:line="360" w:lineRule="auto"/>
        <w:jc w:val="both"/>
        <w:outlineLvl w:val="0"/>
      </w:pPr>
      <w:r>
        <w:t xml:space="preserve">Before Honourable L.M. Murasi, Judge                             </w:t>
      </w:r>
    </w:p>
    <w:p w:rsidR="006F3CF3" w:rsidRPr="00047C13" w:rsidRDefault="006F3CF3" w:rsidP="006F3CF3">
      <w:pPr>
        <w:spacing w:line="360" w:lineRule="auto"/>
        <w:jc w:val="both"/>
      </w:pPr>
      <w:r w:rsidRPr="00047C13">
        <w:tab/>
      </w:r>
      <w:r w:rsidRPr="00047C13">
        <w:tab/>
      </w:r>
      <w:r w:rsidRPr="00047C13">
        <w:tab/>
      </w:r>
    </w:p>
    <w:p w:rsidR="006F3CF3" w:rsidRPr="00047C13" w:rsidRDefault="006F3CF3" w:rsidP="006F3CF3">
      <w:pPr>
        <w:spacing w:line="360" w:lineRule="auto"/>
        <w:rPr>
          <w:b/>
        </w:rPr>
      </w:pPr>
      <w:r>
        <w:rPr>
          <w:b/>
        </w:rPr>
        <w:t xml:space="preserve">For </w:t>
      </w:r>
      <w:r w:rsidRPr="00047C13">
        <w:rPr>
          <w:b/>
        </w:rPr>
        <w:t>App</w:t>
      </w:r>
      <w:r>
        <w:rPr>
          <w:b/>
        </w:rPr>
        <w:t>ellant</w:t>
      </w:r>
      <w:r>
        <w:rPr>
          <w:b/>
        </w:rPr>
        <w:tab/>
      </w:r>
      <w:r w:rsidRPr="00047C13">
        <w:rPr>
          <w:b/>
        </w:rPr>
        <w:tab/>
      </w:r>
      <w:r>
        <w:rPr>
          <w:b/>
        </w:rPr>
        <w:t xml:space="preserve">Mr </w:t>
      </w:r>
      <w:r w:rsidR="006A7698">
        <w:rPr>
          <w:b/>
        </w:rPr>
        <w:t>B. Mahuni</w:t>
      </w:r>
      <w:r>
        <w:rPr>
          <w:b/>
        </w:rPr>
        <w:t xml:space="preserve"> (Legal Practitioner)</w:t>
      </w:r>
    </w:p>
    <w:p w:rsidR="006F3CF3" w:rsidRDefault="009C0A2B" w:rsidP="006F3CF3">
      <w:pPr>
        <w:spacing w:line="360" w:lineRule="auto"/>
        <w:jc w:val="both"/>
        <w:rPr>
          <w:b/>
        </w:rPr>
      </w:pPr>
      <w:r>
        <w:rPr>
          <w:b/>
        </w:rPr>
        <w:t>1</w:t>
      </w:r>
      <w:r w:rsidRPr="009C0A2B">
        <w:rPr>
          <w:b/>
          <w:vertAlign w:val="superscript"/>
        </w:rPr>
        <w:t>st</w:t>
      </w:r>
      <w:r>
        <w:rPr>
          <w:b/>
        </w:rPr>
        <w:t xml:space="preserve"> </w:t>
      </w:r>
      <w:r w:rsidR="006F3CF3">
        <w:rPr>
          <w:b/>
        </w:rPr>
        <w:t>Respondent</w:t>
      </w:r>
      <w:r w:rsidR="006F3CF3">
        <w:rPr>
          <w:b/>
        </w:rPr>
        <w:tab/>
      </w:r>
      <w:r w:rsidR="006F3CF3">
        <w:rPr>
          <w:b/>
        </w:rPr>
        <w:tab/>
      </w:r>
      <w:r>
        <w:rPr>
          <w:b/>
        </w:rPr>
        <w:t>In Person</w:t>
      </w:r>
    </w:p>
    <w:p w:rsidR="009C0A2B" w:rsidRDefault="009C0A2B" w:rsidP="006F3CF3">
      <w:pPr>
        <w:spacing w:line="360" w:lineRule="auto"/>
        <w:jc w:val="both"/>
        <w:rPr>
          <w:b/>
        </w:rPr>
      </w:pPr>
      <w:r>
        <w:rPr>
          <w:b/>
        </w:rPr>
        <w:t>2</w:t>
      </w:r>
      <w:r w:rsidRPr="009C0A2B">
        <w:rPr>
          <w:b/>
          <w:vertAlign w:val="superscript"/>
        </w:rPr>
        <w:t>nd</w:t>
      </w:r>
      <w:r>
        <w:rPr>
          <w:b/>
        </w:rPr>
        <w:t xml:space="preserve"> Respondent</w:t>
      </w:r>
      <w:r>
        <w:rPr>
          <w:b/>
        </w:rPr>
        <w:tab/>
      </w:r>
      <w:r>
        <w:rPr>
          <w:b/>
        </w:rPr>
        <w:tab/>
        <w:t>Not In Attendance</w:t>
      </w:r>
    </w:p>
    <w:p w:rsidR="006F3CF3" w:rsidRPr="00047C13" w:rsidRDefault="006F3CF3" w:rsidP="006F3CF3">
      <w:pPr>
        <w:spacing w:line="360" w:lineRule="auto"/>
        <w:jc w:val="both"/>
        <w:rPr>
          <w:b/>
        </w:rPr>
      </w:pPr>
    </w:p>
    <w:p w:rsidR="006F3CF3" w:rsidRDefault="006F3CF3" w:rsidP="006F3CF3">
      <w:pPr>
        <w:spacing w:line="360" w:lineRule="auto"/>
        <w:jc w:val="both"/>
        <w:outlineLvl w:val="0"/>
        <w:rPr>
          <w:b/>
        </w:rPr>
      </w:pPr>
      <w:r>
        <w:rPr>
          <w:b/>
        </w:rPr>
        <w:t>MURASI J:</w:t>
      </w:r>
    </w:p>
    <w:p w:rsidR="00582053" w:rsidRDefault="00582053" w:rsidP="00A46055">
      <w:pPr>
        <w:spacing w:line="360" w:lineRule="auto"/>
        <w:jc w:val="both"/>
      </w:pPr>
    </w:p>
    <w:p w:rsidR="00A46055" w:rsidRDefault="00A46055" w:rsidP="00A46055">
      <w:pPr>
        <w:spacing w:line="360" w:lineRule="auto"/>
        <w:jc w:val="both"/>
      </w:pPr>
      <w:r>
        <w:tab/>
        <w:t>This is an appeal from Honourable Manase’s decisi</w:t>
      </w:r>
      <w:r w:rsidR="000E0C6F">
        <w:t xml:space="preserve">on.  The facts show that the respondents were </w:t>
      </w:r>
      <w:r w:rsidR="00600692">
        <w:t xml:space="preserve">employed by the appellant.  Respondents were offered employment which </w:t>
      </w:r>
      <w:r w:rsidR="006E294C">
        <w:t xml:space="preserve">was conditional on their completing their respective probationary periods.  After the probationary </w:t>
      </w:r>
      <w:r w:rsidR="005071CD">
        <w:t xml:space="preserve">periods had expired it is alleged that appellant wrote to the respondents informing them that due to unsatisfactory performance during the probation period the appellant was renewing the </w:t>
      </w:r>
      <w:r w:rsidR="00F25CC6">
        <w:t xml:space="preserve">probation period.  The matter was referred to conciliation and finally to arbitration.  The arbitrator </w:t>
      </w:r>
      <w:r w:rsidR="0061539B">
        <w:t>found in favour of the respondents.  Appellant has therefore appealed to this Court.</w:t>
      </w:r>
    </w:p>
    <w:p w:rsidR="0061539B" w:rsidRDefault="0061539B" w:rsidP="00FB5F44">
      <w:pPr>
        <w:jc w:val="both"/>
      </w:pPr>
    </w:p>
    <w:p w:rsidR="0061539B" w:rsidRDefault="0061539B" w:rsidP="00A46055">
      <w:pPr>
        <w:spacing w:line="360" w:lineRule="auto"/>
        <w:jc w:val="both"/>
      </w:pPr>
      <w:r>
        <w:tab/>
        <w:t>Appellant’s grounds of appeal are as follows:</w:t>
      </w:r>
    </w:p>
    <w:p w:rsidR="0061539B" w:rsidRDefault="0061539B" w:rsidP="00FB5F44">
      <w:pPr>
        <w:jc w:val="both"/>
      </w:pPr>
    </w:p>
    <w:p w:rsidR="0061539B" w:rsidRDefault="0061539B" w:rsidP="0061539B">
      <w:pPr>
        <w:pStyle w:val="ListParagraph"/>
        <w:numPr>
          <w:ilvl w:val="0"/>
          <w:numId w:val="1"/>
        </w:numPr>
        <w:spacing w:line="360" w:lineRule="auto"/>
        <w:jc w:val="both"/>
      </w:pPr>
      <w:r>
        <w:t>The arbitrator erred in finding that a probation period could not be extended by agreement between employer and employee;</w:t>
      </w:r>
    </w:p>
    <w:p w:rsidR="0061539B" w:rsidRDefault="0061539B" w:rsidP="0061539B">
      <w:pPr>
        <w:pStyle w:val="ListParagraph"/>
        <w:numPr>
          <w:ilvl w:val="0"/>
          <w:numId w:val="1"/>
        </w:numPr>
        <w:spacing w:line="360" w:lineRule="auto"/>
        <w:jc w:val="both"/>
      </w:pPr>
      <w:r>
        <w:lastRenderedPageBreak/>
        <w:t>The ar</w:t>
      </w:r>
      <w:r w:rsidR="00C0525D">
        <w:t xml:space="preserve">bitrator erred in finding that a dismissal </w:t>
      </w:r>
      <w:r w:rsidR="002606C1">
        <w:t>with</w:t>
      </w:r>
      <w:r w:rsidR="00C0525D">
        <w:t xml:space="preserve"> 24 </w:t>
      </w:r>
      <w:r w:rsidR="002606C1">
        <w:t>hours’ notice</w:t>
      </w:r>
      <w:r w:rsidR="00C0525D">
        <w:t xml:space="preserve"> amounted to an unfair dismissal, when (the) said dismissal is in terms of the agreement;</w:t>
      </w:r>
    </w:p>
    <w:p w:rsidR="00C0525D" w:rsidRDefault="00EB10DE" w:rsidP="0061539B">
      <w:pPr>
        <w:pStyle w:val="ListParagraph"/>
        <w:numPr>
          <w:ilvl w:val="0"/>
          <w:numId w:val="1"/>
        </w:numPr>
        <w:spacing w:line="360" w:lineRule="auto"/>
        <w:jc w:val="both"/>
      </w:pPr>
      <w:r>
        <w:t>The arbitrator erred in finding that at the expiry of the probation period a fixed ter</w:t>
      </w:r>
      <w:r w:rsidR="0046703F">
        <w:t>m of contract automatically cam</w:t>
      </w:r>
      <w:r>
        <w:t>e into existence.</w:t>
      </w:r>
    </w:p>
    <w:p w:rsidR="00EB10DE" w:rsidRDefault="00EB10DE" w:rsidP="00FB5F44">
      <w:pPr>
        <w:jc w:val="both"/>
      </w:pPr>
    </w:p>
    <w:p w:rsidR="00EB10DE" w:rsidRDefault="00EB10DE" w:rsidP="00B6048F">
      <w:pPr>
        <w:spacing w:line="360" w:lineRule="auto"/>
        <w:ind w:firstLine="720"/>
        <w:jc w:val="both"/>
      </w:pPr>
      <w:r>
        <w:t>At the commencement of the proceedings</w:t>
      </w:r>
      <w:r w:rsidR="00860C93">
        <w:t xml:space="preserve"> 1</w:t>
      </w:r>
      <w:r w:rsidR="00860C93" w:rsidRPr="00860C93">
        <w:rPr>
          <w:vertAlign w:val="superscript"/>
        </w:rPr>
        <w:t>st</w:t>
      </w:r>
      <w:r w:rsidR="00860C93">
        <w:t xml:space="preserve"> respondent produced an affidavit deposed to by 2</w:t>
      </w:r>
      <w:r w:rsidR="00860C93" w:rsidRPr="00860C93">
        <w:rPr>
          <w:vertAlign w:val="superscript"/>
        </w:rPr>
        <w:t>nd</w:t>
      </w:r>
      <w:r w:rsidR="00860C93">
        <w:t xml:space="preserve"> respondent.  The affidavit was to the effect that 2</w:t>
      </w:r>
      <w:r w:rsidR="00860C93" w:rsidRPr="00860C93">
        <w:rPr>
          <w:vertAlign w:val="superscript"/>
        </w:rPr>
        <w:t>nd</w:t>
      </w:r>
      <w:r w:rsidR="00860C93">
        <w:t xml:space="preserve"> respondent was not able to attend the proceedings and mandated 1</w:t>
      </w:r>
      <w:r w:rsidR="00860C93" w:rsidRPr="00860C93">
        <w:rPr>
          <w:vertAlign w:val="superscript"/>
        </w:rPr>
        <w:t>st</w:t>
      </w:r>
      <w:r w:rsidR="00860C93">
        <w:t xml:space="preserve"> respondent to represent her</w:t>
      </w:r>
      <w:r w:rsidR="00527913">
        <w:t>.</w:t>
      </w:r>
      <w:r w:rsidR="00860C93">
        <w:t xml:space="preserve"> </w:t>
      </w:r>
      <w:r w:rsidR="00C76B10">
        <w:rPr>
          <w:i/>
        </w:rPr>
        <w:t>Mr Mahun</w:t>
      </w:r>
      <w:r w:rsidR="00860C93" w:rsidRPr="00860C93">
        <w:rPr>
          <w:i/>
        </w:rPr>
        <w:t>i</w:t>
      </w:r>
      <w:r w:rsidR="00860C93">
        <w:t xml:space="preserve"> pointed out that 1</w:t>
      </w:r>
      <w:r w:rsidR="00860C93" w:rsidRPr="00860C93">
        <w:rPr>
          <w:vertAlign w:val="superscript"/>
        </w:rPr>
        <w:t>st</w:t>
      </w:r>
      <w:r w:rsidR="00860C93">
        <w:t xml:space="preserve"> respondent could not represent</w:t>
      </w:r>
      <w:r w:rsidR="00EC4D57">
        <w:t xml:space="preserve"> 2</w:t>
      </w:r>
      <w:r w:rsidR="00EC4D57" w:rsidRPr="00EC4D57">
        <w:rPr>
          <w:vertAlign w:val="superscript"/>
        </w:rPr>
        <w:t>nd</w:t>
      </w:r>
      <w:r w:rsidR="00EC4D57">
        <w:t xml:space="preserve"> respondent as the provisions of the Labour Act </w:t>
      </w:r>
      <w:r w:rsidR="00A87DA1">
        <w:t>[Chapter 28:01] were clear as</w:t>
      </w:r>
      <w:r w:rsidR="00527913">
        <w:t xml:space="preserve"> to</w:t>
      </w:r>
      <w:r w:rsidR="00A87DA1">
        <w:t xml:space="preserve"> who was able to represent parties</w:t>
      </w:r>
      <w:r w:rsidR="00F04F15">
        <w:t xml:space="preserve"> in proceedings.  He therefore applied that a default judgment be issued in respect of 2</w:t>
      </w:r>
      <w:r w:rsidR="00F04F15" w:rsidRPr="00F04F15">
        <w:rPr>
          <w:vertAlign w:val="superscript"/>
        </w:rPr>
        <w:t>nd</w:t>
      </w:r>
      <w:r w:rsidR="00F04F15">
        <w:t xml:space="preserve"> respondent. I will revert to this issue later in the judgment</w:t>
      </w:r>
      <w:r w:rsidR="00B6048F">
        <w:t>.</w:t>
      </w:r>
    </w:p>
    <w:p w:rsidR="00B6048F" w:rsidRDefault="00B6048F" w:rsidP="00FB5F44">
      <w:pPr>
        <w:jc w:val="both"/>
      </w:pPr>
    </w:p>
    <w:p w:rsidR="00B6048F" w:rsidRDefault="00B6048F" w:rsidP="00EB10DE">
      <w:pPr>
        <w:spacing w:line="360" w:lineRule="auto"/>
        <w:jc w:val="both"/>
      </w:pPr>
      <w:r>
        <w:tab/>
        <w:t>On the merits of th</w:t>
      </w:r>
      <w:r w:rsidR="00B135EC">
        <w:t xml:space="preserve">e case, </w:t>
      </w:r>
      <w:r w:rsidR="00B135EC" w:rsidRPr="00C76B10">
        <w:rPr>
          <w:i/>
        </w:rPr>
        <w:t>Mr Mahun</w:t>
      </w:r>
      <w:r w:rsidRPr="00C76B10">
        <w:rPr>
          <w:i/>
        </w:rPr>
        <w:t>i</w:t>
      </w:r>
      <w:r>
        <w:t xml:space="preserve"> stated that he largely abided by the heads of argument filed of record.  It was stated that </w:t>
      </w:r>
      <w:r w:rsidR="00637555">
        <w:t xml:space="preserve">appellant had terminated the </w:t>
      </w:r>
      <w:r w:rsidR="00771B8C">
        <w:t>respondents’ contracts</w:t>
      </w:r>
      <w:r w:rsidR="00637555">
        <w:t xml:space="preserve"> of employment on 28 September 2012 and 30 September 2012 respectively on twenty four </w:t>
      </w:r>
      <w:r w:rsidR="00771B8C">
        <w:t>hours’ notice</w:t>
      </w:r>
      <w:r w:rsidR="00637555">
        <w:t xml:space="preserve"> as provided for in the probation contracts.  It was submitted that t</w:t>
      </w:r>
      <w:r w:rsidR="00771B8C">
        <w:t>he reason for such termination was the respondents’ unsuitability for their respective position</w:t>
      </w:r>
      <w:r w:rsidR="00527913">
        <w:t>s</w:t>
      </w:r>
      <w:r w:rsidR="00771B8C">
        <w:t xml:space="preserve"> and a failure to improve their performances even w</w:t>
      </w:r>
      <w:r w:rsidR="00160D47">
        <w:t>hen given an opportunity to do</w:t>
      </w:r>
      <w:r w:rsidR="00771B8C">
        <w:t xml:space="preserve"> so.  In respect of 1</w:t>
      </w:r>
      <w:r w:rsidR="00771B8C" w:rsidRPr="00771B8C">
        <w:rPr>
          <w:vertAlign w:val="superscript"/>
        </w:rPr>
        <w:t>st</w:t>
      </w:r>
      <w:r w:rsidR="00771B8C">
        <w:t xml:space="preserve"> respondent, it was argued that she was advised of the </w:t>
      </w:r>
      <w:r w:rsidR="009C5793">
        <w:t>extensions of</w:t>
      </w:r>
      <w:r w:rsidR="00B30190">
        <w:t xml:space="preserve"> the probationary period to 30 September 2012 after </w:t>
      </w:r>
      <w:r w:rsidR="00B17211">
        <w:t>consultations</w:t>
      </w:r>
      <w:r w:rsidR="00B30190">
        <w:t xml:space="preserve"> and </w:t>
      </w:r>
      <w:r w:rsidR="00B17211">
        <w:t>discussions</w:t>
      </w:r>
      <w:r w:rsidR="00B30190">
        <w:t>.  The letter</w:t>
      </w:r>
      <w:r w:rsidR="00B17211">
        <w:t xml:space="preserve"> of communication to 1</w:t>
      </w:r>
      <w:r w:rsidR="00B17211" w:rsidRPr="00B17211">
        <w:rPr>
          <w:vertAlign w:val="superscript"/>
        </w:rPr>
        <w:t>st</w:t>
      </w:r>
      <w:r w:rsidR="00B17211">
        <w:t xml:space="preserve"> respondent was dated 2 July 2012</w:t>
      </w:r>
      <w:r w:rsidR="00B135EC">
        <w:t xml:space="preserve"> and 1</w:t>
      </w:r>
      <w:r w:rsidR="00B135EC" w:rsidRPr="00B135EC">
        <w:rPr>
          <w:vertAlign w:val="superscript"/>
        </w:rPr>
        <w:t>st</w:t>
      </w:r>
      <w:r w:rsidR="00B135EC">
        <w:t xml:space="preserve"> respondent had acknowledged receipt of that letter.  It was further argued that the extension was with the consent of 1</w:t>
      </w:r>
      <w:r w:rsidR="00B135EC" w:rsidRPr="00B135EC">
        <w:rPr>
          <w:vertAlign w:val="superscript"/>
        </w:rPr>
        <w:t>st</w:t>
      </w:r>
      <w:r w:rsidR="00B135EC">
        <w:t xml:space="preserve"> respondent and was therefore not unilateral.  It was further submitted that appellant had chosen not to dismiss the 1</w:t>
      </w:r>
      <w:r w:rsidR="00B135EC" w:rsidRPr="00B135EC">
        <w:rPr>
          <w:vertAlign w:val="superscript"/>
        </w:rPr>
        <w:t>st</w:t>
      </w:r>
      <w:r w:rsidR="00B135EC">
        <w:t xml:space="preserve"> respondent at the expiry of the probation period but to give her another chance to improve herself.</w:t>
      </w:r>
    </w:p>
    <w:p w:rsidR="00B135EC" w:rsidRDefault="00B135EC" w:rsidP="00FB5F44">
      <w:pPr>
        <w:jc w:val="both"/>
      </w:pPr>
    </w:p>
    <w:p w:rsidR="00B135EC" w:rsidRDefault="00B135EC" w:rsidP="00645562">
      <w:pPr>
        <w:spacing w:line="360" w:lineRule="auto"/>
        <w:ind w:firstLine="720"/>
        <w:jc w:val="both"/>
      </w:pPr>
      <w:r>
        <w:t>As for the 2</w:t>
      </w:r>
      <w:r w:rsidRPr="00B135EC">
        <w:rPr>
          <w:vertAlign w:val="superscript"/>
        </w:rPr>
        <w:t>nd</w:t>
      </w:r>
      <w:r>
        <w:t xml:space="preserve"> respondent, </w:t>
      </w:r>
      <w:proofErr w:type="spellStart"/>
      <w:r w:rsidR="00C76B10">
        <w:rPr>
          <w:i/>
        </w:rPr>
        <w:t>Mr</w:t>
      </w:r>
      <w:proofErr w:type="spellEnd"/>
      <w:r w:rsidR="00C76B10">
        <w:rPr>
          <w:i/>
        </w:rPr>
        <w:t xml:space="preserve"> </w:t>
      </w:r>
      <w:proofErr w:type="spellStart"/>
      <w:r w:rsidR="00C76B10">
        <w:rPr>
          <w:i/>
        </w:rPr>
        <w:t>Mahuni</w:t>
      </w:r>
      <w:proofErr w:type="spellEnd"/>
      <w:r w:rsidR="00C76B10">
        <w:rPr>
          <w:i/>
        </w:rPr>
        <w:t xml:space="preserve"> </w:t>
      </w:r>
      <w:r w:rsidR="00527913">
        <w:t xml:space="preserve">stated in </w:t>
      </w:r>
      <w:r w:rsidR="00C76B10">
        <w:t>his heads of argument that her probation period</w:t>
      </w:r>
      <w:r w:rsidR="00645562">
        <w:t xml:space="preserve"> was from 1 March 2012 to 30 June 2012.  It was submitted that 2</w:t>
      </w:r>
      <w:r w:rsidR="00645562" w:rsidRPr="00645562">
        <w:rPr>
          <w:vertAlign w:val="superscript"/>
        </w:rPr>
        <w:t>nd</w:t>
      </w:r>
      <w:r w:rsidR="00645562">
        <w:t xml:space="preserve"> respondent failed to meet her expected performance standards and her probationary period was extended to 30 September 2012.  A letter was also written to 2</w:t>
      </w:r>
      <w:r w:rsidR="00645562" w:rsidRPr="00645562">
        <w:rPr>
          <w:vertAlign w:val="superscript"/>
        </w:rPr>
        <w:t>nd</w:t>
      </w:r>
      <w:r w:rsidR="00645562">
        <w:t xml:space="preserve"> </w:t>
      </w:r>
      <w:r w:rsidR="00645562">
        <w:lastRenderedPageBreak/>
        <w:t>respo</w:t>
      </w:r>
      <w:r w:rsidR="00D25EE1">
        <w:t>ndent on 2 July 2012 and she had</w:t>
      </w:r>
      <w:r w:rsidR="00645562">
        <w:t xml:space="preserve"> acknowledged receipt.  It was further stated that the extension was consensual.</w:t>
      </w:r>
    </w:p>
    <w:p w:rsidR="00811852" w:rsidRDefault="00811852" w:rsidP="00FB5F44">
      <w:pPr>
        <w:ind w:firstLine="720"/>
        <w:jc w:val="both"/>
      </w:pPr>
    </w:p>
    <w:p w:rsidR="005C14B6" w:rsidRDefault="00811852" w:rsidP="00645562">
      <w:pPr>
        <w:spacing w:line="360" w:lineRule="auto"/>
        <w:ind w:firstLine="720"/>
        <w:jc w:val="both"/>
      </w:pPr>
      <w:r w:rsidRPr="00B53094">
        <w:rPr>
          <w:i/>
        </w:rPr>
        <w:t xml:space="preserve">Mr Mahuni </w:t>
      </w:r>
      <w:r>
        <w:t>stated that precedent showed that it was lawful for an employe</w:t>
      </w:r>
      <w:r w:rsidR="00D25EE1">
        <w:t xml:space="preserve">r </w:t>
      </w:r>
      <w:r>
        <w:t>to extend</w:t>
      </w:r>
      <w:r w:rsidR="00C84AC3">
        <w:t xml:space="preserve"> an employee’s probation contract provided that this was done in consultation and with the consent of the employee.  He also argued that the use of the ward “may” in the relevant statute showed that the requirement was not </w:t>
      </w:r>
      <w:r w:rsidR="00C278CC">
        <w:t xml:space="preserve">a peremptory one.  </w:t>
      </w:r>
      <w:r w:rsidR="00C278CC" w:rsidRPr="005504C6">
        <w:rPr>
          <w:i/>
        </w:rPr>
        <w:t>Mr Mahuni</w:t>
      </w:r>
      <w:r w:rsidR="00C278CC">
        <w:t xml:space="preserve"> cited the case </w:t>
      </w:r>
      <w:r w:rsidR="00C278CC" w:rsidRPr="005504C6">
        <w:rPr>
          <w:i/>
        </w:rPr>
        <w:t xml:space="preserve">Kwangwari </w:t>
      </w:r>
      <w:r w:rsidR="00C278CC">
        <w:t xml:space="preserve">vs </w:t>
      </w:r>
      <w:r w:rsidR="003F0B47" w:rsidRPr="005504C6">
        <w:rPr>
          <w:i/>
        </w:rPr>
        <w:t>Commercial Bank of</w:t>
      </w:r>
      <w:r w:rsidR="003F0B47">
        <w:t xml:space="preserve"> </w:t>
      </w:r>
      <w:r w:rsidR="005504C6" w:rsidRPr="005504C6">
        <w:rPr>
          <w:i/>
        </w:rPr>
        <w:t>Zimbabwe</w:t>
      </w:r>
      <w:r w:rsidR="003F0B47">
        <w:t xml:space="preserve"> HH 79/2003.  It was said that the intention of the legislature was to give the employer and the employee the autonomy</w:t>
      </w:r>
      <w:r w:rsidR="003712CB">
        <w:t xml:space="preserve"> to agree on better terms.  It was </w:t>
      </w:r>
      <w:r w:rsidR="00C377B9">
        <w:t>further submitted that the arbitrator had erred in finding that the dismissal of the respondents on twenty-four hours’ notice amounted to</w:t>
      </w:r>
      <w:r w:rsidR="005B4FAB">
        <w:t xml:space="preserve"> an unfair dismissal when the same notice period was provided for in terms of the agreement.  </w:t>
      </w:r>
      <w:r w:rsidR="005B4FAB" w:rsidRPr="002606C1">
        <w:rPr>
          <w:i/>
        </w:rPr>
        <w:t>Mr Mahuni</w:t>
      </w:r>
      <w:r w:rsidR="005B4FAB">
        <w:t xml:space="preserve"> stated that appellant had </w:t>
      </w:r>
      <w:r w:rsidR="00D25EE1">
        <w:t>acted</w:t>
      </w:r>
      <w:r w:rsidR="005B4FAB">
        <w:t xml:space="preserve"> within the confines </w:t>
      </w:r>
      <w:r w:rsidR="005C14B6">
        <w:t>of the law in terminating the respondents’ contracts on notice.</w:t>
      </w:r>
    </w:p>
    <w:p w:rsidR="00C13B39" w:rsidRDefault="00C13B39" w:rsidP="00FB5F44">
      <w:pPr>
        <w:ind w:firstLine="720"/>
        <w:jc w:val="both"/>
      </w:pPr>
    </w:p>
    <w:p w:rsidR="00C13B39" w:rsidRDefault="00C13B39" w:rsidP="00645562">
      <w:pPr>
        <w:spacing w:line="360" w:lineRule="auto"/>
        <w:ind w:firstLine="720"/>
        <w:jc w:val="both"/>
      </w:pPr>
      <w:r>
        <w:t xml:space="preserve">The Court will begin by addressing the point raised by </w:t>
      </w:r>
      <w:r w:rsidRPr="0081673C">
        <w:rPr>
          <w:i/>
        </w:rPr>
        <w:t>Mr Mahuni</w:t>
      </w:r>
      <w:r>
        <w:t xml:space="preserve"> that 1</w:t>
      </w:r>
      <w:r w:rsidRPr="00C13B39">
        <w:rPr>
          <w:vertAlign w:val="superscript"/>
        </w:rPr>
        <w:t>st</w:t>
      </w:r>
      <w:r>
        <w:t xml:space="preserve"> respondent cannot represent the 2</w:t>
      </w:r>
      <w:r w:rsidRPr="00C13B39">
        <w:rPr>
          <w:vertAlign w:val="superscript"/>
        </w:rPr>
        <w:t>nd</w:t>
      </w:r>
      <w:r>
        <w:t xml:space="preserve"> respondent.  He cited section 92 of the Labour</w:t>
      </w:r>
      <w:r w:rsidR="001B5E1D">
        <w:t xml:space="preserve"> Act.  It is clear that the sta</w:t>
      </w:r>
      <w:r>
        <w:t>tute provides for persons who may represen</w:t>
      </w:r>
      <w:r w:rsidR="001B5E1D">
        <w:t>t litigants in the Labour Court.</w:t>
      </w:r>
      <w:r w:rsidR="00CC13A6">
        <w:t xml:space="preserve">  The section lists the persons as legal </w:t>
      </w:r>
      <w:r w:rsidR="00220375">
        <w:t>practitioner</w:t>
      </w:r>
      <w:r w:rsidR="0081673C">
        <w:t>s</w:t>
      </w:r>
      <w:r w:rsidR="00220375">
        <w:t>,</w:t>
      </w:r>
      <w:r w:rsidR="00CC13A6">
        <w:t xml:space="preserve"> trade unions or officials of trade unions.  It is correct that 1</w:t>
      </w:r>
      <w:r w:rsidR="00CC13A6" w:rsidRPr="00CC13A6">
        <w:rPr>
          <w:vertAlign w:val="superscript"/>
        </w:rPr>
        <w:t>st</w:t>
      </w:r>
      <w:r w:rsidR="00CC13A6">
        <w:t xml:space="preserve"> respondent is not one of those listed above.  The question that arises is, was 2</w:t>
      </w:r>
      <w:r w:rsidR="00CC13A6" w:rsidRPr="00CC13A6">
        <w:rPr>
          <w:vertAlign w:val="superscript"/>
        </w:rPr>
        <w:t>nd</w:t>
      </w:r>
      <w:r w:rsidR="00CC13A6">
        <w:t xml:space="preserve"> respondent requesting that 1</w:t>
      </w:r>
      <w:r w:rsidR="00CC13A6" w:rsidRPr="00CC13A6">
        <w:rPr>
          <w:vertAlign w:val="superscript"/>
        </w:rPr>
        <w:t>st</w:t>
      </w:r>
      <w:r w:rsidR="00CC13A6">
        <w:t xml:space="preserve"> respondent represent her in the manner c</w:t>
      </w:r>
      <w:r w:rsidR="003D27D9">
        <w:t>ontemplated by</w:t>
      </w:r>
      <w:r w:rsidR="001725DC">
        <w:t xml:space="preserve"> section 92 of the Act?  Respondents took their matter </w:t>
      </w:r>
      <w:r w:rsidR="001725DC" w:rsidRPr="00936C4C">
        <w:rPr>
          <w:u w:val="single"/>
        </w:rPr>
        <w:t>jointly</w:t>
      </w:r>
      <w:r w:rsidR="00936C4C">
        <w:t xml:space="preserve"> before the Labour Officer.  They </w:t>
      </w:r>
      <w:r w:rsidR="00936C4C" w:rsidRPr="00936C4C">
        <w:rPr>
          <w:u w:val="single"/>
        </w:rPr>
        <w:t>jointly</w:t>
      </w:r>
      <w:r w:rsidR="00936C4C">
        <w:t xml:space="preserve"> appeared before</w:t>
      </w:r>
      <w:r w:rsidR="00BB23FC">
        <w:t xml:space="preserve"> the arbitrator.  The appellant appealed against the arbitrator’s decision and filed the appeal with the Labour</w:t>
      </w:r>
      <w:r w:rsidR="00957160">
        <w:t xml:space="preserve"> Court where the respondents appear </w:t>
      </w:r>
      <w:r w:rsidR="00957160" w:rsidRPr="00957160">
        <w:rPr>
          <w:u w:val="single"/>
        </w:rPr>
        <w:t>jointly</w:t>
      </w:r>
      <w:r w:rsidR="00957160">
        <w:t xml:space="preserve">.  The </w:t>
      </w:r>
      <w:r w:rsidR="000C7390">
        <w:t xml:space="preserve">respondents’ </w:t>
      </w:r>
      <w:r w:rsidR="002B2164">
        <w:t>case has</w:t>
      </w:r>
      <w:r w:rsidR="000C7390">
        <w:t xml:space="preserve"> been deliberated at the same time and the same issues have </w:t>
      </w:r>
      <w:r w:rsidR="0044140A">
        <w:t>arisen and addressed at the same time.  This means that a decision affecting one would of necessity affect the other.  I am of the view that the representation envi</w:t>
      </w:r>
      <w:r w:rsidR="00E9541F">
        <w:t xml:space="preserve">saged in section 92 does not affect this case.  Blackie J had occasion to deal with a similar matter </w:t>
      </w:r>
      <w:r w:rsidR="00E9541F" w:rsidRPr="00FE625D">
        <w:rPr>
          <w:i/>
        </w:rPr>
        <w:t>in Masha</w:t>
      </w:r>
      <w:r w:rsidR="006E0303" w:rsidRPr="00FE625D">
        <w:rPr>
          <w:i/>
        </w:rPr>
        <w:t>ve</w:t>
      </w:r>
      <w:r w:rsidR="006E0303">
        <w:t xml:space="preserve"> vs </w:t>
      </w:r>
      <w:r w:rsidR="006E0303" w:rsidRPr="00FE625D">
        <w:rPr>
          <w:i/>
        </w:rPr>
        <w:t>ZUPCO &amp; Another</w:t>
      </w:r>
      <w:r w:rsidR="006E0303">
        <w:t xml:space="preserve"> 1998 (1) ZLR 567 (H) at 570 E-F where he had this to say:</w:t>
      </w:r>
    </w:p>
    <w:p w:rsidR="006E0303" w:rsidRDefault="006E0303" w:rsidP="00FB5F44">
      <w:pPr>
        <w:ind w:firstLine="720"/>
        <w:jc w:val="both"/>
      </w:pPr>
    </w:p>
    <w:p w:rsidR="002B2164" w:rsidRPr="00FB5F44" w:rsidRDefault="006E0303" w:rsidP="00FB5F44">
      <w:pPr>
        <w:spacing w:line="276" w:lineRule="auto"/>
        <w:ind w:left="720"/>
        <w:jc w:val="both"/>
        <w:rPr>
          <w:sz w:val="22"/>
          <w:szCs w:val="22"/>
        </w:rPr>
      </w:pPr>
      <w:r w:rsidRPr="00FB5F44">
        <w:rPr>
          <w:sz w:val="22"/>
          <w:szCs w:val="22"/>
        </w:rPr>
        <w:lastRenderedPageBreak/>
        <w:t xml:space="preserve">“I prefer the more </w:t>
      </w:r>
      <w:r w:rsidR="00334CAA" w:rsidRPr="00FB5F44">
        <w:rPr>
          <w:sz w:val="22"/>
          <w:szCs w:val="22"/>
        </w:rPr>
        <w:t xml:space="preserve">general approach set out in </w:t>
      </w:r>
      <w:proofErr w:type="spellStart"/>
      <w:r w:rsidR="00220375">
        <w:rPr>
          <w:i/>
          <w:sz w:val="22"/>
          <w:szCs w:val="22"/>
        </w:rPr>
        <w:t>G</w:t>
      </w:r>
      <w:r w:rsidR="00334CAA" w:rsidRPr="00FB5F44">
        <w:rPr>
          <w:i/>
          <w:sz w:val="22"/>
          <w:szCs w:val="22"/>
        </w:rPr>
        <w:t>udza’s</w:t>
      </w:r>
      <w:proofErr w:type="spellEnd"/>
      <w:r w:rsidR="00334CAA" w:rsidRPr="00FB5F44">
        <w:rPr>
          <w:i/>
          <w:sz w:val="22"/>
          <w:szCs w:val="22"/>
        </w:rPr>
        <w:t xml:space="preserve"> case</w:t>
      </w:r>
      <w:r w:rsidR="00334CAA" w:rsidRPr="00FB5F44">
        <w:rPr>
          <w:sz w:val="22"/>
          <w:szCs w:val="22"/>
        </w:rPr>
        <w:t xml:space="preserve">.  Proof of authorisation to </w:t>
      </w:r>
      <w:r w:rsidR="00220375">
        <w:rPr>
          <w:sz w:val="22"/>
          <w:szCs w:val="22"/>
        </w:rPr>
        <w:t>start</w:t>
      </w:r>
      <w:r w:rsidR="00582053" w:rsidRPr="00FB5F44">
        <w:rPr>
          <w:sz w:val="22"/>
          <w:szCs w:val="22"/>
        </w:rPr>
        <w:t xml:space="preserve"> proceedings on behalf of another in this court is not normally required to be in affidavit form.  I can see no objection  in </w:t>
      </w:r>
      <w:r w:rsidR="002E659D" w:rsidRPr="00FB5F44">
        <w:rPr>
          <w:sz w:val="22"/>
          <w:szCs w:val="22"/>
        </w:rPr>
        <w:t xml:space="preserve">principle to the filing of a joint document of authorisation and every reason in practice why, where there are a large </w:t>
      </w:r>
      <w:r w:rsidR="00586FC9" w:rsidRPr="00FB5F44">
        <w:rPr>
          <w:sz w:val="22"/>
          <w:szCs w:val="22"/>
        </w:rPr>
        <w:t xml:space="preserve">number of applicants, such a </w:t>
      </w:r>
      <w:r w:rsidR="00220375">
        <w:rPr>
          <w:sz w:val="22"/>
          <w:szCs w:val="22"/>
        </w:rPr>
        <w:t>document, if it can be obtained</w:t>
      </w:r>
      <w:r w:rsidR="009636A6" w:rsidRPr="00FB5F44">
        <w:rPr>
          <w:sz w:val="22"/>
          <w:szCs w:val="22"/>
        </w:rPr>
        <w:t xml:space="preserve"> should be filed.  I can also see </w:t>
      </w:r>
      <w:proofErr w:type="gramStart"/>
      <w:r w:rsidR="009636A6" w:rsidRPr="00FB5F44">
        <w:rPr>
          <w:sz w:val="22"/>
          <w:szCs w:val="22"/>
        </w:rPr>
        <w:t>no reason in principle why some</w:t>
      </w:r>
      <w:r w:rsidR="00E019D1" w:rsidRPr="00FB5F44">
        <w:rPr>
          <w:sz w:val="22"/>
          <w:szCs w:val="22"/>
        </w:rPr>
        <w:t xml:space="preserve"> document, other than an affidavit</w:t>
      </w:r>
      <w:r w:rsidR="00581B39" w:rsidRPr="00FB5F44">
        <w:rPr>
          <w:sz w:val="22"/>
          <w:szCs w:val="22"/>
        </w:rPr>
        <w:t>, if properly presented could not be used to prove the authority to rep</w:t>
      </w:r>
      <w:r w:rsidR="00A07316" w:rsidRPr="00FB5F44">
        <w:rPr>
          <w:sz w:val="22"/>
          <w:szCs w:val="22"/>
        </w:rPr>
        <w:t>resent in terms of</w:t>
      </w:r>
      <w:r w:rsidR="009D7A09">
        <w:rPr>
          <w:sz w:val="22"/>
          <w:szCs w:val="22"/>
        </w:rPr>
        <w:t xml:space="preserve"> rule</w:t>
      </w:r>
      <w:r w:rsidR="00A07316" w:rsidRPr="00FB5F44">
        <w:rPr>
          <w:sz w:val="22"/>
          <w:szCs w:val="22"/>
        </w:rPr>
        <w:t xml:space="preserve"> </w:t>
      </w:r>
      <w:smartTag w:uri="urn:schemas-microsoft-com:office:smarttags" w:element="metricconverter">
        <w:smartTagPr>
          <w:attr w:name="ProductID" w:val="89”"/>
        </w:smartTagPr>
        <w:r w:rsidR="00A07316" w:rsidRPr="00FB5F44">
          <w:rPr>
            <w:sz w:val="22"/>
            <w:szCs w:val="22"/>
          </w:rPr>
          <w:t>89”</w:t>
        </w:r>
      </w:smartTag>
      <w:proofErr w:type="gramEnd"/>
      <w:r w:rsidR="00A07316" w:rsidRPr="00FB5F44">
        <w:rPr>
          <w:sz w:val="22"/>
          <w:szCs w:val="22"/>
        </w:rPr>
        <w:t>.</w:t>
      </w:r>
    </w:p>
    <w:p w:rsidR="002B2164" w:rsidRDefault="002B2164" w:rsidP="00FB5F44">
      <w:pPr>
        <w:ind w:firstLine="720"/>
        <w:jc w:val="both"/>
      </w:pPr>
    </w:p>
    <w:p w:rsidR="000D0F93" w:rsidRDefault="008F35E0" w:rsidP="00645562">
      <w:pPr>
        <w:spacing w:line="360" w:lineRule="auto"/>
        <w:ind w:firstLine="720"/>
        <w:jc w:val="both"/>
      </w:pPr>
      <w:r>
        <w:t>This position</w:t>
      </w:r>
      <w:r w:rsidR="003F53F5">
        <w:t xml:space="preserve"> was confirmed by McNally JA (as he then was</w:t>
      </w:r>
      <w:r w:rsidR="009D7A09">
        <w:t>)</w:t>
      </w:r>
      <w:r w:rsidR="003F53F5">
        <w:t xml:space="preserve"> in </w:t>
      </w:r>
      <w:proofErr w:type="spellStart"/>
      <w:r w:rsidR="003F53F5" w:rsidRPr="0006469F">
        <w:rPr>
          <w:i/>
        </w:rPr>
        <w:t>Mashave</w:t>
      </w:r>
      <w:proofErr w:type="spellEnd"/>
      <w:r w:rsidR="003F53F5">
        <w:t xml:space="preserve"> </w:t>
      </w:r>
      <w:proofErr w:type="spellStart"/>
      <w:r w:rsidR="003F53F5">
        <w:t>vs</w:t>
      </w:r>
      <w:proofErr w:type="spellEnd"/>
      <w:r w:rsidR="003F53F5">
        <w:t xml:space="preserve"> </w:t>
      </w:r>
      <w:r w:rsidR="003F53F5" w:rsidRPr="0006469F">
        <w:rPr>
          <w:i/>
        </w:rPr>
        <w:t>ZUPCO &amp; Another</w:t>
      </w:r>
      <w:r w:rsidR="009A4C3E">
        <w:t xml:space="preserve"> 2000 (1) ZLR 478 (S).  I therefore hold the </w:t>
      </w:r>
      <w:r w:rsidR="0006469F">
        <w:t>view</w:t>
      </w:r>
      <w:r w:rsidR="00EE53FA">
        <w:t xml:space="preserve"> that the </w:t>
      </w:r>
      <w:r w:rsidR="0042671F">
        <w:t>1</w:t>
      </w:r>
      <w:r w:rsidR="0042671F" w:rsidRPr="0042671F">
        <w:rPr>
          <w:vertAlign w:val="superscript"/>
        </w:rPr>
        <w:t>st</w:t>
      </w:r>
      <w:r w:rsidR="0042671F">
        <w:t xml:space="preserve"> respondent was not encumbered in representing 2</w:t>
      </w:r>
      <w:r w:rsidR="0042671F" w:rsidRPr="0042671F">
        <w:rPr>
          <w:vertAlign w:val="superscript"/>
        </w:rPr>
        <w:t>nd</w:t>
      </w:r>
      <w:r w:rsidR="0042671F">
        <w:t xml:space="preserve"> respondent in the circumstances.  Further, in the interests of justice, the Court would be dwelling on technical issues rather </w:t>
      </w:r>
      <w:r w:rsidR="0081673C">
        <w:t>than</w:t>
      </w:r>
      <w:r w:rsidR="0042671F">
        <w:t xml:space="preserve"> deal with the matter on the merits.  The Court further observes that heads of argument</w:t>
      </w:r>
      <w:r w:rsidR="005F3CDC">
        <w:t xml:space="preserve"> purportedly authored by both respondents but signed by one of them were </w:t>
      </w:r>
      <w:r w:rsidR="0081673C">
        <w:t>filed with</w:t>
      </w:r>
      <w:r w:rsidR="005F3CDC">
        <w:t xml:space="preserve"> this Court on 15 July 2015.  Appellant did not object to that document.  The Court is therefore</w:t>
      </w:r>
      <w:r w:rsidR="000D0F93">
        <w:t xml:space="preserve"> not inclined to allow the default judgment applied for by appellant’s Counsel in respect of the 2</w:t>
      </w:r>
      <w:r w:rsidR="000D0F93" w:rsidRPr="000D0F93">
        <w:rPr>
          <w:vertAlign w:val="superscript"/>
        </w:rPr>
        <w:t>nd</w:t>
      </w:r>
      <w:r w:rsidR="000D0F93">
        <w:t xml:space="preserve"> respondent.</w:t>
      </w:r>
    </w:p>
    <w:p w:rsidR="000D0F93" w:rsidRDefault="000D0F93" w:rsidP="00FB5F44">
      <w:pPr>
        <w:ind w:firstLine="720"/>
        <w:jc w:val="both"/>
      </w:pPr>
    </w:p>
    <w:p w:rsidR="006E0303" w:rsidRDefault="000E5384" w:rsidP="00645562">
      <w:pPr>
        <w:spacing w:line="360" w:lineRule="auto"/>
        <w:ind w:firstLine="720"/>
        <w:jc w:val="both"/>
      </w:pPr>
      <w:r>
        <w:t>I now turn to the submission of 1</w:t>
      </w:r>
      <w:r w:rsidRPr="000E5384">
        <w:rPr>
          <w:vertAlign w:val="superscript"/>
        </w:rPr>
        <w:t>st</w:t>
      </w:r>
      <w:r>
        <w:t xml:space="preserve"> respondent.  1</w:t>
      </w:r>
      <w:r w:rsidRPr="000E5384">
        <w:rPr>
          <w:vertAlign w:val="superscript"/>
        </w:rPr>
        <w:t>st</w:t>
      </w:r>
      <w:r>
        <w:t xml:space="preserve"> respondent submitted that when the contracts were allegedly terminated by appellant, they were no longer on probation but on a fixed term contract</w:t>
      </w:r>
      <w:r w:rsidR="003553C6">
        <w:t xml:space="preserve"> of six months.  She said that in her particular case her probation period </w:t>
      </w:r>
      <w:r w:rsidR="00C86762">
        <w:t xml:space="preserve">ended on 12 June 2012 and she did not receive any comments about her </w:t>
      </w:r>
      <w:r w:rsidR="00282C2A">
        <w:t>performance during the performance period.  As far as the document dated 2 July 2012 was concerned, she stated that its contents were not factually correct.  1</w:t>
      </w:r>
      <w:r w:rsidR="00282C2A" w:rsidRPr="00282C2A">
        <w:rPr>
          <w:vertAlign w:val="superscript"/>
        </w:rPr>
        <w:t>st</w:t>
      </w:r>
      <w:r w:rsidR="00282C2A">
        <w:t xml:space="preserve"> respondent stated that they had signed the document as an acknowledgement of receipt and not that they agreed with what was contained therein.  1</w:t>
      </w:r>
      <w:r w:rsidR="00282C2A" w:rsidRPr="00282C2A">
        <w:rPr>
          <w:vertAlign w:val="superscript"/>
        </w:rPr>
        <w:t>st</w:t>
      </w:r>
      <w:r w:rsidR="00282C2A">
        <w:t xml:space="preserve"> respondent</w:t>
      </w:r>
      <w:r w:rsidR="001E3DD8">
        <w:t xml:space="preserve"> stated that the meeting that had been called by appellant was to apprise management that a new Chief Operating Officer had taken over and wanted to start </w:t>
      </w:r>
      <w:r w:rsidR="00C20FCB">
        <w:t>on a new leaf and that all heads of departments were to report to him.  1</w:t>
      </w:r>
      <w:r w:rsidR="00C20FCB" w:rsidRPr="00C20FCB">
        <w:rPr>
          <w:vertAlign w:val="superscript"/>
        </w:rPr>
        <w:t>st</w:t>
      </w:r>
      <w:r w:rsidR="00C20FCB">
        <w:t xml:space="preserve"> respondent argued that the Labour</w:t>
      </w:r>
      <w:r w:rsidR="00902C3D">
        <w:t xml:space="preserve"> Act does not provide for a probationary period in </w:t>
      </w:r>
      <w:r w:rsidR="00930C8B">
        <w:t>excess of three months and as that period had expired, they were now on six months’</w:t>
      </w:r>
      <w:r w:rsidR="002E46FC">
        <w:t xml:space="preserve"> </w:t>
      </w:r>
      <w:r w:rsidR="00930C8B">
        <w:t>fixed contract</w:t>
      </w:r>
      <w:r w:rsidR="002E46FC">
        <w:t>.  The Court inquired from 1</w:t>
      </w:r>
      <w:r w:rsidR="002E46FC" w:rsidRPr="002E46FC">
        <w:rPr>
          <w:vertAlign w:val="superscript"/>
        </w:rPr>
        <w:t>st</w:t>
      </w:r>
      <w:r w:rsidR="002E46FC">
        <w:t xml:space="preserve"> respondent as to whether there ha</w:t>
      </w:r>
      <w:r w:rsidR="00302BFA">
        <w:t>d been any discussion about their performance during the probation period.  1</w:t>
      </w:r>
      <w:r w:rsidR="00302BFA" w:rsidRPr="00302BFA">
        <w:rPr>
          <w:vertAlign w:val="superscript"/>
        </w:rPr>
        <w:t>st</w:t>
      </w:r>
      <w:r w:rsidR="00302BFA">
        <w:t xml:space="preserve"> respondent stated that there was no such discussion as appellant did not have a performance </w:t>
      </w:r>
      <w:r w:rsidR="000A73F3">
        <w:t>appraisal</w:t>
      </w:r>
      <w:r w:rsidR="0059062F">
        <w:t xml:space="preserve"> system at the workplace.</w:t>
      </w:r>
    </w:p>
    <w:p w:rsidR="0059062F" w:rsidRDefault="0059062F" w:rsidP="00FB5F44">
      <w:pPr>
        <w:ind w:firstLine="720"/>
        <w:jc w:val="both"/>
      </w:pPr>
    </w:p>
    <w:p w:rsidR="0059062F" w:rsidRDefault="0059062F" w:rsidP="00645562">
      <w:pPr>
        <w:spacing w:line="360" w:lineRule="auto"/>
        <w:ind w:firstLine="720"/>
        <w:jc w:val="both"/>
      </w:pPr>
      <w:r>
        <w:t>Precedent shows that an appellate court can only interfer with the decision of a lower</w:t>
      </w:r>
      <w:r w:rsidR="00FC4B5C">
        <w:t xml:space="preserve"> court or tribunal where there is evidence of a gross misdirection to such an extent that another reasonable court or tribunal would not have arrived at such a decision </w:t>
      </w:r>
      <w:r w:rsidR="00FA424E">
        <w:t>on the same facts.  (</w:t>
      </w:r>
      <w:r w:rsidR="00110648">
        <w:t>See</w:t>
      </w:r>
      <w:r w:rsidR="00FA424E">
        <w:t xml:space="preserve"> </w:t>
      </w:r>
      <w:r w:rsidR="00FA424E" w:rsidRPr="00110648">
        <w:rPr>
          <w:i/>
        </w:rPr>
        <w:t>Chioza</w:t>
      </w:r>
      <w:r w:rsidR="00FA424E">
        <w:t xml:space="preserve"> vs </w:t>
      </w:r>
      <w:r w:rsidR="00FA424E" w:rsidRPr="00110648">
        <w:rPr>
          <w:i/>
        </w:rPr>
        <w:t>Siziba</w:t>
      </w:r>
      <w:r w:rsidR="00FA424E">
        <w:t xml:space="preserve"> S 4/15).  </w:t>
      </w:r>
      <w:r w:rsidR="00FA424E" w:rsidRPr="00110648">
        <w:rPr>
          <w:i/>
        </w:rPr>
        <w:t>In casu</w:t>
      </w:r>
      <w:r w:rsidR="00FA424E">
        <w:t xml:space="preserve">, the arbitrator found that the appellant had unfairly dismissed the respondents. </w:t>
      </w:r>
      <w:r w:rsidR="00110648">
        <w:t xml:space="preserve">Appellant argues that it had extended the probationary periods </w:t>
      </w:r>
      <w:r w:rsidR="00CE34BE">
        <w:t xml:space="preserve">for the </w:t>
      </w:r>
      <w:r w:rsidR="00486606">
        <w:t>respondents</w:t>
      </w:r>
      <w:r w:rsidR="00CE34BE">
        <w:t xml:space="preserve">.  What is clear from the evidence is that the respondents completed their probation periods </w:t>
      </w:r>
      <w:r w:rsidR="00486606">
        <w:t xml:space="preserve">without receiving any communication from the appellant which related to their not having successfully completed that probation period.  The appellant </w:t>
      </w:r>
      <w:r w:rsidR="003D378D">
        <w:t xml:space="preserve">duly initiated discussions with the respondents at the end of the month of June 2012.  </w:t>
      </w:r>
      <w:r w:rsidR="003D378D" w:rsidRPr="003E0335">
        <w:rPr>
          <w:i/>
        </w:rPr>
        <w:t>Mr Mahuni</w:t>
      </w:r>
      <w:r w:rsidR="003D378D">
        <w:t xml:space="preserve"> submitted that the communication was late in coming but that did not mean that there was an automatic employment for six months.  This submission does not assist the appellant at all.  The vital question is that why had the</w:t>
      </w:r>
      <w:r w:rsidR="000E7D27">
        <w:t xml:space="preserve"> appellant not communicated to the respondents about their poor performance during the probationary period?  </w:t>
      </w:r>
      <w:r w:rsidR="000E7D27" w:rsidRPr="00224A14">
        <w:rPr>
          <w:i/>
        </w:rPr>
        <w:t>Mr Mahuni</w:t>
      </w:r>
      <w:r w:rsidR="000E7D27">
        <w:t xml:space="preserve"> sought to rely on the </w:t>
      </w:r>
      <w:r w:rsidR="000E7D27" w:rsidRPr="00224A14">
        <w:rPr>
          <w:i/>
        </w:rPr>
        <w:t>Kwangwari</w:t>
      </w:r>
      <w:r w:rsidR="000E7D27">
        <w:t xml:space="preserve"> case.  That case is clearly distinguishable in that the employee in </w:t>
      </w:r>
      <w:r w:rsidR="00224A14">
        <w:t xml:space="preserve">that </w:t>
      </w:r>
      <w:r w:rsidR="00130A37">
        <w:t>case had been informed of his short coming</w:t>
      </w:r>
      <w:r w:rsidR="004C3EBA">
        <w:t>s</w:t>
      </w:r>
      <w:r w:rsidR="00130A37">
        <w:t xml:space="preserve"> prior to end of the probationary period.  In the </w:t>
      </w:r>
      <w:r w:rsidR="00130A37" w:rsidRPr="004C3EBA">
        <w:rPr>
          <w:i/>
        </w:rPr>
        <w:t>Kwangwari case</w:t>
      </w:r>
      <w:r w:rsidR="00130A37">
        <w:t xml:space="preserve"> the following observation was made:</w:t>
      </w:r>
    </w:p>
    <w:p w:rsidR="00130A37" w:rsidRDefault="00130A37" w:rsidP="00A84FCD">
      <w:pPr>
        <w:ind w:firstLine="720"/>
        <w:jc w:val="both"/>
      </w:pPr>
    </w:p>
    <w:p w:rsidR="00130A37" w:rsidRPr="00A84FCD" w:rsidRDefault="00126830" w:rsidP="00A84FCD">
      <w:pPr>
        <w:spacing w:line="276" w:lineRule="auto"/>
        <w:ind w:left="720"/>
        <w:jc w:val="both"/>
        <w:rPr>
          <w:sz w:val="22"/>
          <w:szCs w:val="22"/>
        </w:rPr>
      </w:pPr>
      <w:r w:rsidRPr="00A84FCD">
        <w:rPr>
          <w:sz w:val="22"/>
          <w:szCs w:val="22"/>
        </w:rPr>
        <w:t xml:space="preserve">“Probationary clauses provide for a trial period during which reciprocal </w:t>
      </w:r>
      <w:r w:rsidR="006A3E22" w:rsidRPr="00A84FCD">
        <w:rPr>
          <w:sz w:val="22"/>
          <w:szCs w:val="22"/>
        </w:rPr>
        <w:t xml:space="preserve">periods of notice required for termination are shorter and which </w:t>
      </w:r>
      <w:r w:rsidR="007D1A5B" w:rsidRPr="00A84FCD">
        <w:rPr>
          <w:sz w:val="22"/>
          <w:szCs w:val="22"/>
        </w:rPr>
        <w:t>purportedly give both parties the right either to confirm or not to confirm the contract at the conclusion of the probationary period.”</w:t>
      </w:r>
    </w:p>
    <w:p w:rsidR="007D1A5B" w:rsidRDefault="007D1A5B" w:rsidP="00A84FCD">
      <w:pPr>
        <w:ind w:firstLine="720"/>
        <w:jc w:val="both"/>
      </w:pPr>
    </w:p>
    <w:p w:rsidR="007D1A5B" w:rsidRDefault="007D1A5B" w:rsidP="00645562">
      <w:pPr>
        <w:spacing w:line="360" w:lineRule="auto"/>
        <w:ind w:firstLine="720"/>
        <w:jc w:val="both"/>
      </w:pPr>
      <w:r>
        <w:t>In the same judgment it was stated thus;</w:t>
      </w:r>
    </w:p>
    <w:p w:rsidR="007D1A5B" w:rsidRDefault="007D1A5B" w:rsidP="00A84FCD">
      <w:pPr>
        <w:ind w:firstLine="720"/>
        <w:jc w:val="both"/>
      </w:pPr>
    </w:p>
    <w:p w:rsidR="003C57E7" w:rsidRPr="00A84FCD" w:rsidRDefault="003C57E7" w:rsidP="00A84FCD">
      <w:pPr>
        <w:spacing w:line="276" w:lineRule="auto"/>
        <w:ind w:left="720"/>
        <w:jc w:val="both"/>
        <w:rPr>
          <w:sz w:val="22"/>
          <w:szCs w:val="22"/>
        </w:rPr>
      </w:pPr>
      <w:r w:rsidRPr="00A84FCD">
        <w:rPr>
          <w:sz w:val="22"/>
          <w:szCs w:val="22"/>
        </w:rPr>
        <w:t xml:space="preserve">“The employer, however, must give the employee a proper opportunity to prove himself and give a warning if the required </w:t>
      </w:r>
      <w:r w:rsidR="00505569" w:rsidRPr="00A84FCD">
        <w:rPr>
          <w:sz w:val="22"/>
          <w:szCs w:val="22"/>
        </w:rPr>
        <w:t>standards are not being met.  A probationary employee is still an employee and</w:t>
      </w:r>
      <w:r w:rsidR="00273822" w:rsidRPr="00A84FCD">
        <w:rPr>
          <w:sz w:val="22"/>
          <w:szCs w:val="22"/>
        </w:rPr>
        <w:t xml:space="preserve"> is therefore entitled to have appropriate guidance and advice.”</w:t>
      </w:r>
    </w:p>
    <w:p w:rsidR="00273822" w:rsidRDefault="00273822" w:rsidP="00A84FCD">
      <w:pPr>
        <w:ind w:firstLine="720"/>
        <w:jc w:val="both"/>
      </w:pPr>
    </w:p>
    <w:p w:rsidR="00273822" w:rsidRDefault="00273822" w:rsidP="00273822">
      <w:pPr>
        <w:spacing w:line="360" w:lineRule="auto"/>
        <w:ind w:firstLine="720"/>
        <w:jc w:val="both"/>
      </w:pPr>
      <w:r>
        <w:t xml:space="preserve">Appellant </w:t>
      </w:r>
      <w:r w:rsidR="00497972">
        <w:t>does</w:t>
      </w:r>
      <w:r>
        <w:t xml:space="preserve"> not state that it gave any warnings about respondents’</w:t>
      </w:r>
      <w:r w:rsidR="00497972">
        <w:t xml:space="preserve"> performance </w:t>
      </w:r>
      <w:r w:rsidR="005F60E4" w:rsidRPr="005F60E4">
        <w:rPr>
          <w:u w:val="single"/>
        </w:rPr>
        <w:t>during</w:t>
      </w:r>
      <w:r w:rsidR="005F60E4">
        <w:t xml:space="preserve"> the probationary period.  Was the arbitrator in error in stating that the dismissals were unfair?  I think not.  </w:t>
      </w:r>
      <w:r w:rsidR="0078699C">
        <w:t xml:space="preserve">This is because the arbitrator was of the view that the respondents had embarked on the six </w:t>
      </w:r>
      <w:r w:rsidR="00DB1AD5">
        <w:t>months’</w:t>
      </w:r>
      <w:r w:rsidR="0078699C">
        <w:t xml:space="preserve"> contract when </w:t>
      </w:r>
      <w:r w:rsidR="0078699C">
        <w:lastRenderedPageBreak/>
        <w:t xml:space="preserve">appellant purportedly dismissed them.  The appellant </w:t>
      </w:r>
      <w:proofErr w:type="spellStart"/>
      <w:r w:rsidR="0078699C">
        <w:t>has</w:t>
      </w:r>
      <w:r w:rsidR="006522D2">
        <w:t>d</w:t>
      </w:r>
      <w:proofErr w:type="spellEnd"/>
      <w:r w:rsidR="0078699C">
        <w:t xml:space="preserve"> not terminated the probationary contracts at their expiry.  The logical conclusion was that the respondents had embarked on the six months’</w:t>
      </w:r>
      <w:r w:rsidR="00CF0F5F">
        <w:t xml:space="preserve"> </w:t>
      </w:r>
      <w:r w:rsidR="0078699C">
        <w:t>contract.  I am of the v</w:t>
      </w:r>
      <w:r w:rsidR="00CF0F5F">
        <w:t>iew</w:t>
      </w:r>
      <w:r w:rsidR="005F60E4">
        <w:t xml:space="preserve"> </w:t>
      </w:r>
      <w:r w:rsidR="007D5023">
        <w:t>that appellant was seeking to excuse itself from the contract it had signed with the respondents</w:t>
      </w:r>
      <w:r w:rsidR="00116FAA">
        <w:t>, Patel</w:t>
      </w:r>
      <w:r w:rsidR="007D5023">
        <w:t xml:space="preserve"> JA had this to say in </w:t>
      </w:r>
      <w:r w:rsidR="007D5023" w:rsidRPr="00116FAA">
        <w:rPr>
          <w:i/>
        </w:rPr>
        <w:t>Kundai Magodora &amp; Others</w:t>
      </w:r>
      <w:r w:rsidR="007D5023">
        <w:t xml:space="preserve"> vs </w:t>
      </w:r>
      <w:r w:rsidR="007D5023" w:rsidRPr="00116FAA">
        <w:rPr>
          <w:i/>
        </w:rPr>
        <w:t xml:space="preserve">Care International </w:t>
      </w:r>
      <w:r w:rsidR="00116FAA" w:rsidRPr="00116FAA">
        <w:rPr>
          <w:i/>
        </w:rPr>
        <w:t>Zimbabwe</w:t>
      </w:r>
      <w:r w:rsidR="00116FAA">
        <w:t xml:space="preserve"> S 24/14 at page 7 of the cyclostyled judgment.</w:t>
      </w:r>
    </w:p>
    <w:p w:rsidR="0066301C" w:rsidRDefault="0066301C" w:rsidP="00A84FCD">
      <w:pPr>
        <w:ind w:firstLine="720"/>
        <w:jc w:val="both"/>
      </w:pPr>
    </w:p>
    <w:p w:rsidR="0066301C" w:rsidRPr="00A84FCD" w:rsidRDefault="0066301C" w:rsidP="00A84FCD">
      <w:pPr>
        <w:spacing w:line="276" w:lineRule="auto"/>
        <w:ind w:left="720"/>
        <w:jc w:val="both"/>
        <w:rPr>
          <w:sz w:val="22"/>
          <w:szCs w:val="22"/>
        </w:rPr>
      </w:pPr>
      <w:r w:rsidRPr="00A84FCD">
        <w:rPr>
          <w:sz w:val="22"/>
          <w:szCs w:val="22"/>
        </w:rPr>
        <w:t>“In principle, it is not open to the</w:t>
      </w:r>
      <w:r w:rsidR="00B83A53" w:rsidRPr="00A84FCD">
        <w:rPr>
          <w:sz w:val="22"/>
          <w:szCs w:val="22"/>
        </w:rPr>
        <w:t xml:space="preserve"> courts to rewrite a contract entered</w:t>
      </w:r>
      <w:r w:rsidR="0048570B" w:rsidRPr="00A84FCD">
        <w:rPr>
          <w:sz w:val="22"/>
          <w:szCs w:val="22"/>
        </w:rPr>
        <w:t xml:space="preserve"> into between the parties or to excuse any of them from the consequences of the contrac</w:t>
      </w:r>
      <w:r w:rsidR="00A145FD" w:rsidRPr="00A84FCD">
        <w:rPr>
          <w:sz w:val="22"/>
          <w:szCs w:val="22"/>
        </w:rPr>
        <w:t xml:space="preserve">t that they have freely and voluntarily accepted, even if they are shown to be onerous or </w:t>
      </w:r>
      <w:r w:rsidR="00BB42F2" w:rsidRPr="00A84FCD">
        <w:rPr>
          <w:sz w:val="22"/>
          <w:szCs w:val="22"/>
        </w:rPr>
        <w:t>oppressive.”</w:t>
      </w:r>
    </w:p>
    <w:p w:rsidR="00551BC4" w:rsidRDefault="00551BC4" w:rsidP="00A84FCD">
      <w:pPr>
        <w:ind w:firstLine="720"/>
        <w:jc w:val="both"/>
      </w:pPr>
    </w:p>
    <w:p w:rsidR="00551BC4" w:rsidRDefault="00551BC4" w:rsidP="00273822">
      <w:pPr>
        <w:spacing w:line="360" w:lineRule="auto"/>
        <w:ind w:firstLine="720"/>
        <w:jc w:val="both"/>
      </w:pPr>
      <w:r>
        <w:t>The contracts signed between</w:t>
      </w:r>
      <w:r w:rsidR="006522D2">
        <w:t xml:space="preserve"> the parties clearly</w:t>
      </w:r>
      <w:r>
        <w:t xml:space="preserve"> show that after the probationary period, the respondents were to embark </w:t>
      </w:r>
      <w:r w:rsidR="00A23D6F">
        <w:t xml:space="preserve">on six months’ contracts.  Appellant did not communicate with the respondents </w:t>
      </w:r>
      <w:r w:rsidR="00A23D6F" w:rsidRPr="00A23D6F">
        <w:rPr>
          <w:u w:val="single"/>
        </w:rPr>
        <w:t>before</w:t>
      </w:r>
      <w:r w:rsidR="00A23D6F">
        <w:t xml:space="preserve"> the probationary</w:t>
      </w:r>
      <w:r w:rsidR="00C54F3B">
        <w:t xml:space="preserve"> contracts expired about its intentions.  To this end the findings of the arbitrator cannot be said to be wrong in the circumstances.</w:t>
      </w:r>
    </w:p>
    <w:p w:rsidR="00C54F3B" w:rsidRDefault="00C54F3B" w:rsidP="00A84FCD">
      <w:pPr>
        <w:ind w:firstLine="720"/>
        <w:jc w:val="both"/>
      </w:pPr>
    </w:p>
    <w:p w:rsidR="00C54F3B" w:rsidRDefault="00C54F3B" w:rsidP="00273822">
      <w:pPr>
        <w:spacing w:line="360" w:lineRule="auto"/>
        <w:ind w:firstLine="720"/>
        <w:jc w:val="both"/>
      </w:pPr>
      <w:r>
        <w:t>Appellant argues that the arbitrator erred in finding that the notice period required was in excess of 24 hours.  Clearly the appellant</w:t>
      </w:r>
      <w:r w:rsidR="006522D2">
        <w:t xml:space="preserve"> and the arbitrator</w:t>
      </w:r>
      <w:r>
        <w:t xml:space="preserve"> are referring to different contracts.  Appellant is referring to the </w:t>
      </w:r>
      <w:r w:rsidR="00D770CE">
        <w:t xml:space="preserve">“second probationary </w:t>
      </w:r>
      <w:r w:rsidR="001D02EB">
        <w:t>period” whilst</w:t>
      </w:r>
      <w:r w:rsidR="00D770CE">
        <w:t xml:space="preserve"> the arbitrator refers to:</w:t>
      </w:r>
    </w:p>
    <w:p w:rsidR="00D770CE" w:rsidRDefault="00D770CE" w:rsidP="00A84FCD">
      <w:pPr>
        <w:ind w:firstLine="720"/>
        <w:jc w:val="both"/>
      </w:pPr>
    </w:p>
    <w:p w:rsidR="00D770CE" w:rsidRPr="00A84FCD" w:rsidRDefault="00D770CE" w:rsidP="00273822">
      <w:pPr>
        <w:spacing w:line="360" w:lineRule="auto"/>
        <w:ind w:firstLine="720"/>
        <w:jc w:val="both"/>
        <w:rPr>
          <w:sz w:val="22"/>
          <w:szCs w:val="22"/>
        </w:rPr>
      </w:pPr>
      <w:r w:rsidRPr="00A84FCD">
        <w:rPr>
          <w:sz w:val="22"/>
          <w:szCs w:val="22"/>
        </w:rPr>
        <w:t>“terminal damages for the period 30</w:t>
      </w:r>
      <w:r w:rsidRPr="00A84FCD">
        <w:rPr>
          <w:sz w:val="22"/>
          <w:szCs w:val="22"/>
          <w:vertAlign w:val="superscript"/>
        </w:rPr>
        <w:t>th</w:t>
      </w:r>
      <w:r w:rsidRPr="00A84FCD">
        <w:rPr>
          <w:sz w:val="22"/>
          <w:szCs w:val="22"/>
        </w:rPr>
        <w:t xml:space="preserve"> September to 12 December 2012</w:t>
      </w:r>
      <w:r w:rsidR="005464D5" w:rsidRPr="00A84FCD">
        <w:rPr>
          <w:sz w:val="22"/>
          <w:szCs w:val="22"/>
        </w:rPr>
        <w:t>”.</w:t>
      </w:r>
    </w:p>
    <w:p w:rsidR="005464D5" w:rsidRDefault="005464D5" w:rsidP="00A84FCD">
      <w:pPr>
        <w:ind w:firstLine="720"/>
        <w:jc w:val="both"/>
      </w:pPr>
    </w:p>
    <w:p w:rsidR="00811852" w:rsidRDefault="005464D5" w:rsidP="00645562">
      <w:pPr>
        <w:spacing w:line="360" w:lineRule="auto"/>
        <w:ind w:firstLine="720"/>
        <w:jc w:val="both"/>
      </w:pPr>
      <w:r>
        <w:t>This clearly shows that the arbitrator</w:t>
      </w:r>
      <w:r w:rsidR="008D05AC">
        <w:t xml:space="preserve"> was referring to the </w:t>
      </w:r>
      <w:r w:rsidR="006522D2">
        <w:t>unexpired</w:t>
      </w:r>
      <w:r w:rsidR="00C809BC">
        <w:t xml:space="preserve"> period of the six months’ contract</w:t>
      </w:r>
      <w:r w:rsidR="0053217C">
        <w:t>.</w:t>
      </w:r>
      <w:r w:rsidR="00C809BC">
        <w:t xml:space="preserve"> I do not find that the arbitrator erred in this respect.  Having </w:t>
      </w:r>
      <w:r w:rsidR="001D02EB">
        <w:t xml:space="preserve">found that the appellant had unlawfully terminated the </w:t>
      </w:r>
      <w:r w:rsidR="00E06420">
        <w:t>respondents’ contracts</w:t>
      </w:r>
      <w:r w:rsidR="003F0B47">
        <w:t xml:space="preserve"> </w:t>
      </w:r>
      <w:r w:rsidR="00E06420">
        <w:t xml:space="preserve">of employment, this means that the respondents’ six months’ </w:t>
      </w:r>
      <w:r w:rsidR="009355A6">
        <w:t>contracts were extant.  I therefore find that all appellant’s grounds of appeal are without merit and ought to be dismissed.</w:t>
      </w:r>
    </w:p>
    <w:p w:rsidR="009355A6" w:rsidRDefault="009355A6" w:rsidP="007146AE">
      <w:pPr>
        <w:ind w:firstLine="720"/>
        <w:jc w:val="both"/>
      </w:pPr>
    </w:p>
    <w:p w:rsidR="009355A6" w:rsidRDefault="009355A6" w:rsidP="002447DB">
      <w:pPr>
        <w:spacing w:line="360" w:lineRule="auto"/>
        <w:jc w:val="both"/>
      </w:pPr>
      <w:r>
        <w:t>In the result the court is of the view</w:t>
      </w:r>
      <w:r w:rsidR="00BD6A91">
        <w:t xml:space="preserve"> that the appeal is without merit and </w:t>
      </w:r>
      <w:r w:rsidR="0053217C">
        <w:t>ought to be</w:t>
      </w:r>
      <w:r w:rsidR="00BD6A91">
        <w:t xml:space="preserve"> accordingly dismissed.  The court makes the </w:t>
      </w:r>
      <w:r w:rsidR="002447DB">
        <w:t>following order:</w:t>
      </w:r>
    </w:p>
    <w:p w:rsidR="002447DB" w:rsidRDefault="002447DB" w:rsidP="007146AE">
      <w:pPr>
        <w:jc w:val="both"/>
      </w:pPr>
    </w:p>
    <w:p w:rsidR="002447DB" w:rsidRDefault="002447DB" w:rsidP="002447DB">
      <w:pPr>
        <w:pStyle w:val="ListParagraph"/>
        <w:numPr>
          <w:ilvl w:val="0"/>
          <w:numId w:val="2"/>
        </w:numPr>
        <w:spacing w:line="360" w:lineRule="auto"/>
        <w:jc w:val="both"/>
      </w:pPr>
      <w:r>
        <w:t>The appeal, being without merit, is accordingly dismissed.</w:t>
      </w:r>
    </w:p>
    <w:p w:rsidR="002447DB" w:rsidRDefault="002447DB" w:rsidP="002447DB">
      <w:pPr>
        <w:pStyle w:val="ListParagraph"/>
        <w:numPr>
          <w:ilvl w:val="0"/>
          <w:numId w:val="2"/>
        </w:numPr>
        <w:spacing w:line="360" w:lineRule="auto"/>
        <w:jc w:val="both"/>
      </w:pPr>
      <w:r>
        <w:lastRenderedPageBreak/>
        <w:t>The arbitral award of Honourable Manase be and is hereby upheld.</w:t>
      </w:r>
    </w:p>
    <w:p w:rsidR="002447DB" w:rsidRDefault="002447DB" w:rsidP="002447DB">
      <w:pPr>
        <w:pStyle w:val="ListParagraph"/>
        <w:numPr>
          <w:ilvl w:val="0"/>
          <w:numId w:val="2"/>
        </w:numPr>
        <w:spacing w:line="360" w:lineRule="auto"/>
        <w:jc w:val="both"/>
      </w:pPr>
      <w:r>
        <w:t>Each party to bear its own costs.</w:t>
      </w:r>
    </w:p>
    <w:p w:rsidR="002447DB" w:rsidRDefault="002447DB" w:rsidP="002447DB">
      <w:pPr>
        <w:spacing w:line="360" w:lineRule="auto"/>
        <w:jc w:val="both"/>
      </w:pPr>
    </w:p>
    <w:p w:rsidR="002447DB" w:rsidRDefault="002447DB" w:rsidP="002447DB">
      <w:pPr>
        <w:spacing w:line="360" w:lineRule="auto"/>
        <w:jc w:val="both"/>
      </w:pPr>
    </w:p>
    <w:p w:rsidR="002447DB" w:rsidRPr="00C76B10" w:rsidRDefault="002447DB" w:rsidP="002447DB">
      <w:pPr>
        <w:spacing w:line="360" w:lineRule="auto"/>
        <w:jc w:val="both"/>
      </w:pPr>
      <w:r w:rsidRPr="002447DB">
        <w:rPr>
          <w:i/>
        </w:rPr>
        <w:t>Scanlen &amp; Holderness</w:t>
      </w:r>
      <w:r>
        <w:t>, appellant’s legal practitioners</w:t>
      </w:r>
    </w:p>
    <w:sectPr w:rsidR="002447DB" w:rsidRPr="00C76B10" w:rsidSect="00C459F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B87" w:rsidRDefault="002F6B87" w:rsidP="00C459F6">
      <w:r>
        <w:separator/>
      </w:r>
    </w:p>
  </w:endnote>
  <w:endnote w:type="continuationSeparator" w:id="0">
    <w:p w:rsidR="002F6B87" w:rsidRDefault="002F6B87" w:rsidP="00C4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739325"/>
      <w:docPartObj>
        <w:docPartGallery w:val="Page Numbers (Bottom of Page)"/>
        <w:docPartUnique/>
      </w:docPartObj>
    </w:sdtPr>
    <w:sdtEndPr>
      <w:rPr>
        <w:noProof/>
      </w:rPr>
    </w:sdtEndPr>
    <w:sdtContent>
      <w:p w:rsidR="00C54F3B" w:rsidRDefault="00C54F3B">
        <w:pPr>
          <w:pStyle w:val="Footer"/>
          <w:jc w:val="center"/>
        </w:pPr>
        <w:r>
          <w:fldChar w:fldCharType="begin"/>
        </w:r>
        <w:r>
          <w:instrText xml:space="preserve"> PAGE   \* MERGEFORMAT </w:instrText>
        </w:r>
        <w:r>
          <w:fldChar w:fldCharType="separate"/>
        </w:r>
        <w:r w:rsidR="00001D92">
          <w:rPr>
            <w:noProof/>
          </w:rPr>
          <w:t>7</w:t>
        </w:r>
        <w:r>
          <w:rPr>
            <w:noProof/>
          </w:rPr>
          <w:fldChar w:fldCharType="end"/>
        </w:r>
      </w:p>
    </w:sdtContent>
  </w:sdt>
  <w:p w:rsidR="00C54F3B" w:rsidRDefault="00C54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B87" w:rsidRDefault="002F6B87" w:rsidP="00C459F6">
      <w:r>
        <w:separator/>
      </w:r>
    </w:p>
  </w:footnote>
  <w:footnote w:type="continuationSeparator" w:id="0">
    <w:p w:rsidR="002F6B87" w:rsidRDefault="002F6B87" w:rsidP="00C45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3B" w:rsidRPr="00C459F6" w:rsidRDefault="00C54F3B">
    <w:pPr>
      <w:pStyle w:val="Header"/>
      <w:rPr>
        <w:lang w:val="en-ZW"/>
      </w:rPr>
    </w:pPr>
    <w:r>
      <w:rPr>
        <w:lang w:val="en-ZW"/>
      </w:rPr>
      <w:tab/>
    </w:r>
    <w:r>
      <w:rPr>
        <w:lang w:val="en-ZW"/>
      </w:rPr>
      <w:tab/>
      <w:t>JUDGMENT NO. LC/H/</w:t>
    </w:r>
    <w:r w:rsidR="00B221BC">
      <w:rPr>
        <w:lang w:val="en-ZW"/>
      </w:rPr>
      <w:t>228</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0CD2"/>
    <w:multiLevelType w:val="hybridMultilevel"/>
    <w:tmpl w:val="ED743B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2B8402B"/>
    <w:multiLevelType w:val="hybridMultilevel"/>
    <w:tmpl w:val="3A9CDE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CF3"/>
    <w:rsid w:val="00001D92"/>
    <w:rsid w:val="00035C59"/>
    <w:rsid w:val="0006469F"/>
    <w:rsid w:val="000A73F3"/>
    <w:rsid w:val="000C7390"/>
    <w:rsid w:val="000D0F93"/>
    <w:rsid w:val="000E0C6F"/>
    <w:rsid w:val="000E5384"/>
    <w:rsid w:val="000E7D27"/>
    <w:rsid w:val="00101EB0"/>
    <w:rsid w:val="00110648"/>
    <w:rsid w:val="00116FAA"/>
    <w:rsid w:val="00126830"/>
    <w:rsid w:val="00130A37"/>
    <w:rsid w:val="00160D47"/>
    <w:rsid w:val="001725DC"/>
    <w:rsid w:val="001B5E1D"/>
    <w:rsid w:val="001D02EB"/>
    <w:rsid w:val="001E3DD8"/>
    <w:rsid w:val="001F3DD0"/>
    <w:rsid w:val="001F6D5E"/>
    <w:rsid w:val="00220375"/>
    <w:rsid w:val="00224A14"/>
    <w:rsid w:val="00224EEA"/>
    <w:rsid w:val="002447DB"/>
    <w:rsid w:val="002606C1"/>
    <w:rsid w:val="00273822"/>
    <w:rsid w:val="00282C2A"/>
    <w:rsid w:val="002B2164"/>
    <w:rsid w:val="002E46FC"/>
    <w:rsid w:val="002E659D"/>
    <w:rsid w:val="002F6B87"/>
    <w:rsid w:val="00302BFA"/>
    <w:rsid w:val="0030552B"/>
    <w:rsid w:val="00334CAA"/>
    <w:rsid w:val="003553C6"/>
    <w:rsid w:val="003712CB"/>
    <w:rsid w:val="003C57E7"/>
    <w:rsid w:val="003D27D9"/>
    <w:rsid w:val="003D378D"/>
    <w:rsid w:val="003E0335"/>
    <w:rsid w:val="003F0B47"/>
    <w:rsid w:val="003F53F5"/>
    <w:rsid w:val="0042671F"/>
    <w:rsid w:val="0044140A"/>
    <w:rsid w:val="0046703F"/>
    <w:rsid w:val="0048570B"/>
    <w:rsid w:val="00486606"/>
    <w:rsid w:val="00497972"/>
    <w:rsid w:val="004C3EBA"/>
    <w:rsid w:val="00505569"/>
    <w:rsid w:val="005071CD"/>
    <w:rsid w:val="00527913"/>
    <w:rsid w:val="0053217C"/>
    <w:rsid w:val="00534DC1"/>
    <w:rsid w:val="005464D5"/>
    <w:rsid w:val="005504C6"/>
    <w:rsid w:val="00551BC4"/>
    <w:rsid w:val="00581B39"/>
    <w:rsid w:val="00582053"/>
    <w:rsid w:val="00586FC9"/>
    <w:rsid w:val="0059062F"/>
    <w:rsid w:val="005B4FAB"/>
    <w:rsid w:val="005C14B6"/>
    <w:rsid w:val="005F3CDC"/>
    <w:rsid w:val="005F60E4"/>
    <w:rsid w:val="00600692"/>
    <w:rsid w:val="0061539B"/>
    <w:rsid w:val="00637555"/>
    <w:rsid w:val="00645562"/>
    <w:rsid w:val="006522D2"/>
    <w:rsid w:val="0066301C"/>
    <w:rsid w:val="006A3E22"/>
    <w:rsid w:val="006A7698"/>
    <w:rsid w:val="006E0303"/>
    <w:rsid w:val="006E294C"/>
    <w:rsid w:val="006F3CF3"/>
    <w:rsid w:val="007146AE"/>
    <w:rsid w:val="00771B8C"/>
    <w:rsid w:val="0078699C"/>
    <w:rsid w:val="007D1A5B"/>
    <w:rsid w:val="007D5023"/>
    <w:rsid w:val="00811852"/>
    <w:rsid w:val="0081673C"/>
    <w:rsid w:val="00860C93"/>
    <w:rsid w:val="008B567F"/>
    <w:rsid w:val="008D05AC"/>
    <w:rsid w:val="008F35E0"/>
    <w:rsid w:val="00902C3D"/>
    <w:rsid w:val="00902F28"/>
    <w:rsid w:val="00904E4B"/>
    <w:rsid w:val="00905F80"/>
    <w:rsid w:val="00930C8B"/>
    <w:rsid w:val="009355A6"/>
    <w:rsid w:val="00936C4C"/>
    <w:rsid w:val="00957160"/>
    <w:rsid w:val="009636A6"/>
    <w:rsid w:val="009A4C3E"/>
    <w:rsid w:val="009C0A2B"/>
    <w:rsid w:val="009C5793"/>
    <w:rsid w:val="009D7A09"/>
    <w:rsid w:val="00A07316"/>
    <w:rsid w:val="00A145FD"/>
    <w:rsid w:val="00A23D6F"/>
    <w:rsid w:val="00A44ED5"/>
    <w:rsid w:val="00A46055"/>
    <w:rsid w:val="00A84FCD"/>
    <w:rsid w:val="00A87DA1"/>
    <w:rsid w:val="00B135EC"/>
    <w:rsid w:val="00B17211"/>
    <w:rsid w:val="00B221BC"/>
    <w:rsid w:val="00B30190"/>
    <w:rsid w:val="00B53094"/>
    <w:rsid w:val="00B6048F"/>
    <w:rsid w:val="00B83A53"/>
    <w:rsid w:val="00BB23FC"/>
    <w:rsid w:val="00BB42F2"/>
    <w:rsid w:val="00BD6A91"/>
    <w:rsid w:val="00C0525D"/>
    <w:rsid w:val="00C13B39"/>
    <w:rsid w:val="00C20FCB"/>
    <w:rsid w:val="00C278CC"/>
    <w:rsid w:val="00C377B9"/>
    <w:rsid w:val="00C459F6"/>
    <w:rsid w:val="00C54F3B"/>
    <w:rsid w:val="00C76B10"/>
    <w:rsid w:val="00C778BD"/>
    <w:rsid w:val="00C809BC"/>
    <w:rsid w:val="00C84AC3"/>
    <w:rsid w:val="00C86762"/>
    <w:rsid w:val="00CC13A6"/>
    <w:rsid w:val="00CE34BE"/>
    <w:rsid w:val="00CF0F5F"/>
    <w:rsid w:val="00D25EE1"/>
    <w:rsid w:val="00D770CE"/>
    <w:rsid w:val="00D77C85"/>
    <w:rsid w:val="00DB1AD5"/>
    <w:rsid w:val="00E019D1"/>
    <w:rsid w:val="00E06420"/>
    <w:rsid w:val="00E9541F"/>
    <w:rsid w:val="00EB10DE"/>
    <w:rsid w:val="00EC4D57"/>
    <w:rsid w:val="00EE53FA"/>
    <w:rsid w:val="00F04F15"/>
    <w:rsid w:val="00F25CC6"/>
    <w:rsid w:val="00FA424E"/>
    <w:rsid w:val="00FB5F44"/>
    <w:rsid w:val="00FC4B5C"/>
    <w:rsid w:val="00FC59FA"/>
    <w:rsid w:val="00FE62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F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39B"/>
    <w:pPr>
      <w:ind w:left="720"/>
      <w:contextualSpacing/>
    </w:pPr>
  </w:style>
  <w:style w:type="paragraph" w:styleId="Header">
    <w:name w:val="header"/>
    <w:basedOn w:val="Normal"/>
    <w:link w:val="HeaderChar"/>
    <w:uiPriority w:val="99"/>
    <w:unhideWhenUsed/>
    <w:rsid w:val="00C459F6"/>
    <w:pPr>
      <w:tabs>
        <w:tab w:val="center" w:pos="4513"/>
        <w:tab w:val="right" w:pos="9026"/>
      </w:tabs>
    </w:pPr>
  </w:style>
  <w:style w:type="character" w:customStyle="1" w:styleId="HeaderChar">
    <w:name w:val="Header Char"/>
    <w:basedOn w:val="DefaultParagraphFont"/>
    <w:link w:val="Header"/>
    <w:uiPriority w:val="99"/>
    <w:rsid w:val="00C459F6"/>
    <w:rPr>
      <w:rFonts w:ascii="Tahoma" w:eastAsia="Times New Roman" w:hAnsi="Tahoma" w:cs="Times New Roman"/>
      <w:sz w:val="24"/>
      <w:szCs w:val="24"/>
      <w:lang w:val="en-US"/>
    </w:rPr>
  </w:style>
  <w:style w:type="paragraph" w:styleId="Footer">
    <w:name w:val="footer"/>
    <w:basedOn w:val="Normal"/>
    <w:link w:val="FooterChar"/>
    <w:uiPriority w:val="99"/>
    <w:unhideWhenUsed/>
    <w:rsid w:val="00C459F6"/>
    <w:pPr>
      <w:tabs>
        <w:tab w:val="center" w:pos="4513"/>
        <w:tab w:val="right" w:pos="9026"/>
      </w:tabs>
    </w:pPr>
  </w:style>
  <w:style w:type="character" w:customStyle="1" w:styleId="FooterChar">
    <w:name w:val="Footer Char"/>
    <w:basedOn w:val="DefaultParagraphFont"/>
    <w:link w:val="Footer"/>
    <w:uiPriority w:val="99"/>
    <w:rsid w:val="00C459F6"/>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F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39B"/>
    <w:pPr>
      <w:ind w:left="720"/>
      <w:contextualSpacing/>
    </w:pPr>
  </w:style>
  <w:style w:type="paragraph" w:styleId="Header">
    <w:name w:val="header"/>
    <w:basedOn w:val="Normal"/>
    <w:link w:val="HeaderChar"/>
    <w:uiPriority w:val="99"/>
    <w:unhideWhenUsed/>
    <w:rsid w:val="00C459F6"/>
    <w:pPr>
      <w:tabs>
        <w:tab w:val="center" w:pos="4513"/>
        <w:tab w:val="right" w:pos="9026"/>
      </w:tabs>
    </w:pPr>
  </w:style>
  <w:style w:type="character" w:customStyle="1" w:styleId="HeaderChar">
    <w:name w:val="Header Char"/>
    <w:basedOn w:val="DefaultParagraphFont"/>
    <w:link w:val="Header"/>
    <w:uiPriority w:val="99"/>
    <w:rsid w:val="00C459F6"/>
    <w:rPr>
      <w:rFonts w:ascii="Tahoma" w:eastAsia="Times New Roman" w:hAnsi="Tahoma" w:cs="Times New Roman"/>
      <w:sz w:val="24"/>
      <w:szCs w:val="24"/>
      <w:lang w:val="en-US"/>
    </w:rPr>
  </w:style>
  <w:style w:type="paragraph" w:styleId="Footer">
    <w:name w:val="footer"/>
    <w:basedOn w:val="Normal"/>
    <w:link w:val="FooterChar"/>
    <w:uiPriority w:val="99"/>
    <w:unhideWhenUsed/>
    <w:rsid w:val="00C459F6"/>
    <w:pPr>
      <w:tabs>
        <w:tab w:val="center" w:pos="4513"/>
        <w:tab w:val="right" w:pos="9026"/>
      </w:tabs>
    </w:pPr>
  </w:style>
  <w:style w:type="character" w:customStyle="1" w:styleId="FooterChar">
    <w:name w:val="Footer Char"/>
    <w:basedOn w:val="DefaultParagraphFont"/>
    <w:link w:val="Footer"/>
    <w:uiPriority w:val="99"/>
    <w:rsid w:val="00C459F6"/>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BCED3-8C54-49C5-871E-37D4931B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63</cp:revision>
  <dcterms:created xsi:type="dcterms:W3CDTF">2016-03-29T06:08:00Z</dcterms:created>
  <dcterms:modified xsi:type="dcterms:W3CDTF">2016-04-21T08:10:00Z</dcterms:modified>
</cp:coreProperties>
</file>