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3C" w:rsidRDefault="00B3723C" w:rsidP="00037DFC">
      <w:pPr>
        <w:spacing w:after="0"/>
        <w:jc w:val="both"/>
        <w:rPr>
          <w:rFonts w:ascii="Times New Roman" w:hAnsi="Times New Roman" w:cs="Times New Roman"/>
          <w:sz w:val="24"/>
          <w:szCs w:val="24"/>
        </w:rPr>
      </w:pPr>
      <w:bookmarkStart w:id="0" w:name="_GoBack"/>
      <w:bookmarkEnd w:id="0"/>
    </w:p>
    <w:p w:rsidR="00B3723C" w:rsidRDefault="00B3723C" w:rsidP="00037DFC">
      <w:pPr>
        <w:spacing w:after="0"/>
        <w:jc w:val="both"/>
        <w:rPr>
          <w:rFonts w:ascii="Times New Roman" w:hAnsi="Times New Roman" w:cs="Times New Roman"/>
          <w:sz w:val="24"/>
          <w:szCs w:val="24"/>
        </w:rPr>
      </w:pPr>
    </w:p>
    <w:p w:rsidR="005F5D39"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SAMUEL MAKUMBE</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037DFC" w:rsidRDefault="00876FB4" w:rsidP="00037DFC">
      <w:pPr>
        <w:spacing w:after="0"/>
        <w:jc w:val="both"/>
        <w:rPr>
          <w:rFonts w:ascii="Times New Roman" w:hAnsi="Times New Roman" w:cs="Times New Roman"/>
          <w:sz w:val="24"/>
          <w:szCs w:val="24"/>
        </w:rPr>
      </w:pPr>
      <w:r>
        <w:rPr>
          <w:rFonts w:ascii="Times New Roman" w:hAnsi="Times New Roman" w:cs="Times New Roman"/>
          <w:sz w:val="24"/>
          <w:szCs w:val="24"/>
        </w:rPr>
        <w:t>M V MOOLJEE &amp; S</w:t>
      </w:r>
      <w:r w:rsidR="00037DFC">
        <w:rPr>
          <w:rFonts w:ascii="Times New Roman" w:hAnsi="Times New Roman" w:cs="Times New Roman"/>
          <w:sz w:val="24"/>
          <w:szCs w:val="24"/>
        </w:rPr>
        <w:t xml:space="preserve">ONS (PVT) </w:t>
      </w:r>
      <w:r>
        <w:rPr>
          <w:rFonts w:ascii="Times New Roman" w:hAnsi="Times New Roman" w:cs="Times New Roman"/>
          <w:sz w:val="24"/>
          <w:szCs w:val="24"/>
        </w:rPr>
        <w:t>LTD</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and</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LOVEMORE NYAUSARU</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and</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THE SHERIFF OF THE HIGH COURT</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and</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THE REGISTRAR OF DEEDS N.O</w:t>
      </w: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HIGH COURT OF</w:t>
      </w:r>
      <w:r w:rsidR="00F9463E">
        <w:rPr>
          <w:rFonts w:ascii="Times New Roman" w:hAnsi="Times New Roman" w:cs="Times New Roman"/>
          <w:sz w:val="24"/>
          <w:szCs w:val="24"/>
        </w:rPr>
        <w:t xml:space="preserve"> </w:t>
      </w:r>
      <w:r>
        <w:rPr>
          <w:rFonts w:ascii="Times New Roman" w:hAnsi="Times New Roman" w:cs="Times New Roman"/>
          <w:sz w:val="24"/>
          <w:szCs w:val="24"/>
        </w:rPr>
        <w:t>ZIMBABWE</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MATHONSI J</w:t>
      </w: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26 July 2018 &amp; </w:t>
      </w:r>
      <w:r w:rsidR="00876FB4">
        <w:rPr>
          <w:rFonts w:ascii="Times New Roman" w:hAnsi="Times New Roman" w:cs="Times New Roman"/>
          <w:sz w:val="24"/>
          <w:szCs w:val="24"/>
        </w:rPr>
        <w:t>22</w:t>
      </w:r>
      <w:r w:rsidR="0048515C">
        <w:rPr>
          <w:rFonts w:ascii="Times New Roman" w:hAnsi="Times New Roman" w:cs="Times New Roman"/>
          <w:sz w:val="24"/>
          <w:szCs w:val="24"/>
        </w:rPr>
        <w:t xml:space="preserve"> August 2018</w:t>
      </w: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p>
    <w:p w:rsidR="00037DFC" w:rsidRPr="00037DFC" w:rsidRDefault="00037DFC" w:rsidP="00037DFC">
      <w:pPr>
        <w:spacing w:after="0"/>
        <w:jc w:val="both"/>
        <w:rPr>
          <w:rFonts w:ascii="Times New Roman" w:hAnsi="Times New Roman" w:cs="Times New Roman"/>
          <w:b/>
          <w:sz w:val="24"/>
          <w:szCs w:val="24"/>
        </w:rPr>
      </w:pPr>
      <w:r w:rsidRPr="00037DFC">
        <w:rPr>
          <w:rFonts w:ascii="Times New Roman" w:hAnsi="Times New Roman" w:cs="Times New Roman"/>
          <w:b/>
          <w:sz w:val="24"/>
          <w:szCs w:val="24"/>
        </w:rPr>
        <w:t>Special Plea</w:t>
      </w: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p>
    <w:p w:rsidR="00037DFC" w:rsidRDefault="00037DFC" w:rsidP="00037DFC">
      <w:pPr>
        <w:spacing w:after="0"/>
        <w:jc w:val="both"/>
        <w:rPr>
          <w:rFonts w:ascii="Times New Roman" w:hAnsi="Times New Roman" w:cs="Times New Roman"/>
          <w:sz w:val="24"/>
          <w:szCs w:val="24"/>
        </w:rPr>
      </w:pPr>
      <w:r>
        <w:rPr>
          <w:rFonts w:ascii="Times New Roman" w:hAnsi="Times New Roman" w:cs="Times New Roman"/>
          <w:sz w:val="24"/>
          <w:szCs w:val="24"/>
        </w:rPr>
        <w:t>L Uriri, for the plaintiff</w:t>
      </w:r>
    </w:p>
    <w:p w:rsidR="00037DFC" w:rsidRDefault="00037DFC" w:rsidP="00037DFC">
      <w:pPr>
        <w:spacing w:after="0"/>
        <w:jc w:val="both"/>
        <w:rPr>
          <w:rFonts w:ascii="Times New Roman" w:hAnsi="Times New Roman" w:cs="Times New Roman"/>
          <w:sz w:val="24"/>
          <w:szCs w:val="24"/>
        </w:rPr>
      </w:pPr>
      <w:r w:rsidRPr="00037DFC">
        <w:rPr>
          <w:rFonts w:ascii="Times New Roman" w:hAnsi="Times New Roman" w:cs="Times New Roman"/>
          <w:i/>
          <w:sz w:val="24"/>
          <w:szCs w:val="24"/>
        </w:rPr>
        <w:t>O Mushuma</w:t>
      </w:r>
      <w:r>
        <w:rPr>
          <w:rFonts w:ascii="Times New Roman" w:hAnsi="Times New Roman" w:cs="Times New Roman"/>
          <w:sz w:val="24"/>
          <w:szCs w:val="24"/>
        </w:rPr>
        <w:t>, for the 1</w:t>
      </w:r>
      <w:r w:rsidRPr="00037DF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48515C" w:rsidRDefault="0048515C" w:rsidP="00037DFC">
      <w:pPr>
        <w:spacing w:after="0"/>
        <w:jc w:val="both"/>
        <w:rPr>
          <w:rFonts w:ascii="Times New Roman" w:hAnsi="Times New Roman" w:cs="Times New Roman"/>
          <w:sz w:val="24"/>
          <w:szCs w:val="24"/>
        </w:rPr>
      </w:pPr>
    </w:p>
    <w:p w:rsidR="0048515C" w:rsidRDefault="0048515C" w:rsidP="0048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4A12">
        <w:rPr>
          <w:rFonts w:ascii="Times New Roman" w:hAnsi="Times New Roman" w:cs="Times New Roman"/>
          <w:sz w:val="24"/>
          <w:szCs w:val="24"/>
        </w:rPr>
        <w:t xml:space="preserve">MATHONSI J: </w:t>
      </w:r>
      <w:r>
        <w:rPr>
          <w:rFonts w:ascii="Times New Roman" w:hAnsi="Times New Roman" w:cs="Times New Roman"/>
          <w:sz w:val="24"/>
          <w:szCs w:val="24"/>
        </w:rPr>
        <w:t xml:space="preserve">It seems to me quite unacceptable if not completely dishonorable for a </w:t>
      </w:r>
      <w:r w:rsidR="00876FB4">
        <w:rPr>
          <w:rFonts w:ascii="Times New Roman" w:hAnsi="Times New Roman" w:cs="Times New Roman"/>
          <w:sz w:val="24"/>
          <w:szCs w:val="24"/>
        </w:rPr>
        <w:t>litigant</w:t>
      </w:r>
      <w:r>
        <w:rPr>
          <w:rFonts w:ascii="Times New Roman" w:hAnsi="Times New Roman" w:cs="Times New Roman"/>
          <w:sz w:val="24"/>
          <w:szCs w:val="24"/>
        </w:rPr>
        <w:t xml:space="preserve"> who has the benefit of legal counsel to repeatedly approach the same court on the same facts and in respect of the same cause of action, seeking almost the same relief which has previously not found favour with the court, a court which has pronounced itself very clearly on the matter. Not once, not twice but thrice, this court has expressed the view that the plaintiff’s claim that he purchased stand 1092 Umtali Township, also known</w:t>
      </w:r>
      <w:r w:rsidR="00CB1AFC">
        <w:rPr>
          <w:rFonts w:ascii="Times New Roman" w:hAnsi="Times New Roman" w:cs="Times New Roman"/>
          <w:sz w:val="24"/>
          <w:szCs w:val="24"/>
        </w:rPr>
        <w:t xml:space="preserve"> as No 26 Jameson Road Mutare (</w:t>
      </w:r>
      <w:r>
        <w:rPr>
          <w:rFonts w:ascii="Times New Roman" w:hAnsi="Times New Roman" w:cs="Times New Roman"/>
          <w:sz w:val="24"/>
          <w:szCs w:val="24"/>
        </w:rPr>
        <w:t>the property) and that it be transferred by the first defendant to him, is not only baseless</w:t>
      </w:r>
      <w:r w:rsidR="00CB1AFC">
        <w:rPr>
          <w:rFonts w:ascii="Times New Roman" w:hAnsi="Times New Roman" w:cs="Times New Roman"/>
          <w:sz w:val="24"/>
          <w:szCs w:val="24"/>
        </w:rPr>
        <w:t xml:space="preserve"> in the extreme but also unfounded </w:t>
      </w:r>
      <w:r w:rsidR="00876FB4">
        <w:rPr>
          <w:rFonts w:ascii="Times New Roman" w:hAnsi="Times New Roman" w:cs="Times New Roman"/>
          <w:sz w:val="24"/>
          <w:szCs w:val="24"/>
        </w:rPr>
        <w:t>he having purported to purchase</w:t>
      </w:r>
      <w:r w:rsidR="00CB1AFC">
        <w:rPr>
          <w:rFonts w:ascii="Times New Roman" w:hAnsi="Times New Roman" w:cs="Times New Roman"/>
          <w:sz w:val="24"/>
          <w:szCs w:val="24"/>
        </w:rPr>
        <w:t xml:space="preserve"> the property from a non-o</w:t>
      </w:r>
      <w:r w:rsidR="00876FB4">
        <w:rPr>
          <w:rFonts w:ascii="Times New Roman" w:hAnsi="Times New Roman" w:cs="Times New Roman"/>
          <w:sz w:val="24"/>
          <w:szCs w:val="24"/>
        </w:rPr>
        <w:t>wner one Lovemore Nyausar</w:t>
      </w:r>
      <w:r w:rsidR="00CB1AFC">
        <w:rPr>
          <w:rFonts w:ascii="Times New Roman" w:hAnsi="Times New Roman" w:cs="Times New Roman"/>
          <w:sz w:val="24"/>
          <w:szCs w:val="24"/>
        </w:rPr>
        <w:t>u who is cited here as the second defendant. Still the plaintiff would not relent.</w:t>
      </w:r>
    </w:p>
    <w:p w:rsidR="00CB1AFC" w:rsidRDefault="00CB1AFC" w:rsidP="00485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summons action the plaintiff seeks the same relief. He makes the averments in his declaration that on 25 October 2011 he </w:t>
      </w:r>
      <w:r w:rsidR="00835E15">
        <w:rPr>
          <w:rFonts w:ascii="Times New Roman" w:hAnsi="Times New Roman" w:cs="Times New Roman"/>
          <w:sz w:val="24"/>
          <w:szCs w:val="24"/>
        </w:rPr>
        <w:t>entered</w:t>
      </w:r>
      <w:r>
        <w:rPr>
          <w:rFonts w:ascii="Times New Roman" w:hAnsi="Times New Roman" w:cs="Times New Roman"/>
          <w:sz w:val="24"/>
          <w:szCs w:val="24"/>
        </w:rPr>
        <w:t xml:space="preserve"> into an agreement of sale with the first </w:t>
      </w:r>
      <w:r>
        <w:rPr>
          <w:rFonts w:ascii="Times New Roman" w:hAnsi="Times New Roman" w:cs="Times New Roman"/>
          <w:sz w:val="24"/>
          <w:szCs w:val="24"/>
        </w:rPr>
        <w:lastRenderedPageBreak/>
        <w:t xml:space="preserve">defendant which is the </w:t>
      </w:r>
      <w:r w:rsidR="00835E15">
        <w:rPr>
          <w:rFonts w:ascii="Times New Roman" w:hAnsi="Times New Roman" w:cs="Times New Roman"/>
          <w:sz w:val="24"/>
          <w:szCs w:val="24"/>
        </w:rPr>
        <w:t>registered owner of the property</w:t>
      </w:r>
      <w:r>
        <w:rPr>
          <w:rFonts w:ascii="Times New Roman" w:hAnsi="Times New Roman" w:cs="Times New Roman"/>
          <w:sz w:val="24"/>
          <w:szCs w:val="24"/>
        </w:rPr>
        <w:t xml:space="preserve">, </w:t>
      </w:r>
      <w:r w:rsidR="00876FB4">
        <w:rPr>
          <w:rFonts w:ascii="Times New Roman" w:hAnsi="Times New Roman" w:cs="Times New Roman"/>
          <w:sz w:val="24"/>
          <w:szCs w:val="24"/>
        </w:rPr>
        <w:t>and</w:t>
      </w:r>
      <w:r>
        <w:rPr>
          <w:rFonts w:ascii="Times New Roman" w:hAnsi="Times New Roman" w:cs="Times New Roman"/>
          <w:sz w:val="24"/>
          <w:szCs w:val="24"/>
        </w:rPr>
        <w:t xml:space="preserve"> was</w:t>
      </w:r>
      <w:r w:rsidR="00E1446E">
        <w:rPr>
          <w:rFonts w:ascii="Times New Roman" w:hAnsi="Times New Roman" w:cs="Times New Roman"/>
          <w:sz w:val="24"/>
          <w:szCs w:val="24"/>
        </w:rPr>
        <w:t xml:space="preserve"> acting through the agency of the second defendant, in terms of which he purchased the property for $100 000.00. He duly paid the purchase price. The plaintiff goes on to plead in paras 8 and 9 of the declaration thus:</w:t>
      </w:r>
    </w:p>
    <w:p w:rsidR="00E1446E" w:rsidRDefault="00E1446E" w:rsidP="00E1446E">
      <w:pPr>
        <w:spacing w:after="0" w:line="240" w:lineRule="auto"/>
        <w:ind w:left="144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In terms of the said agreement of sale the plaintiff would take occupation of stand 1092 Umtali Township after full payment of the purchase price and the seller (first defendant) would transfer the property to the purchaser </w:t>
      </w:r>
      <w:r w:rsidR="00876FB4">
        <w:rPr>
          <w:rFonts w:ascii="Times New Roman" w:hAnsi="Times New Roman" w:cs="Times New Roman"/>
        </w:rPr>
        <w:t>after</w:t>
      </w:r>
      <w:r>
        <w:rPr>
          <w:rFonts w:ascii="Times New Roman" w:hAnsi="Times New Roman" w:cs="Times New Roman"/>
        </w:rPr>
        <w:t xml:space="preserve"> full payment of the purchase price.</w:t>
      </w:r>
    </w:p>
    <w:p w:rsidR="00E1446E" w:rsidRDefault="00E1446E" w:rsidP="00E1446E">
      <w:pPr>
        <w:spacing w:after="0" w:line="240" w:lineRule="auto"/>
        <w:ind w:left="1440" w:hanging="720"/>
        <w:jc w:val="both"/>
        <w:rPr>
          <w:rFonts w:ascii="Times New Roman" w:hAnsi="Times New Roman" w:cs="Times New Roman"/>
        </w:rPr>
      </w:pPr>
    </w:p>
    <w:p w:rsidR="00E1446E" w:rsidRDefault="00876FB4" w:rsidP="00E1446E">
      <w:pPr>
        <w:spacing w:after="0" w:line="240" w:lineRule="auto"/>
        <w:ind w:left="144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T</w:t>
      </w:r>
      <w:r w:rsidR="00E1446E">
        <w:rPr>
          <w:rFonts w:ascii="Times New Roman" w:hAnsi="Times New Roman" w:cs="Times New Roman"/>
        </w:rPr>
        <w:t xml:space="preserve">he plaintiff paid the full purchase price by 1 June 2012 and was given vacant and peaceful occupation of stand 1092 Umtali Township on the same date </w:t>
      </w:r>
      <w:r>
        <w:rPr>
          <w:rFonts w:ascii="Times New Roman" w:hAnsi="Times New Roman" w:cs="Times New Roman"/>
        </w:rPr>
        <w:t>i</w:t>
      </w:r>
      <w:r w:rsidR="00E1446E">
        <w:rPr>
          <w:rFonts w:ascii="Times New Roman" w:hAnsi="Times New Roman" w:cs="Times New Roman"/>
        </w:rPr>
        <w:t>n compliance with the said agreement of sale. The plaintiff has been in occupation of stand 1092 Umtali Township since that date.”</w:t>
      </w:r>
    </w:p>
    <w:p w:rsidR="00E1446E" w:rsidRDefault="00E1446E" w:rsidP="00E1446E">
      <w:pPr>
        <w:spacing w:after="0" w:line="240" w:lineRule="auto"/>
        <w:ind w:left="1440" w:hanging="720"/>
        <w:jc w:val="both"/>
        <w:rPr>
          <w:rFonts w:ascii="Times New Roman" w:hAnsi="Times New Roman" w:cs="Times New Roman"/>
        </w:rPr>
      </w:pPr>
    </w:p>
    <w:p w:rsidR="00E1446E" w:rsidRDefault="00E1446E" w:rsidP="00E65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1446E">
        <w:rPr>
          <w:rFonts w:ascii="Times New Roman" w:hAnsi="Times New Roman" w:cs="Times New Roman"/>
          <w:sz w:val="24"/>
          <w:szCs w:val="24"/>
        </w:rPr>
        <w:t xml:space="preserve">A bit of background would put the matter in proper perspective. In HC 10809/13 </w:t>
      </w:r>
      <w:r w:rsidR="00E65A99">
        <w:rPr>
          <w:rFonts w:ascii="Times New Roman" w:hAnsi="Times New Roman" w:cs="Times New Roman"/>
          <w:sz w:val="24"/>
          <w:szCs w:val="24"/>
        </w:rPr>
        <w:t>the first defendant sued the second defendant for eviction from the property and obtained an eviction order against the second defendant and all those claiming occupation through him on 28 May 2014. He later sought to execute that order against the plaintiff, in occupation of the property on the basis of a sale agreement he entered into with the second defendant purportedly acting on behalf of the first defendant. The first defendant has categorically disowned him and revealed the true circumstances of their engagement in a series of affidavits filed in the cross-reference court records.</w:t>
      </w:r>
    </w:p>
    <w:p w:rsidR="00B3723C" w:rsidRDefault="00B3723C" w:rsidP="00E65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ejectment of the plaintiff was imminent, he</w:t>
      </w:r>
      <w:r w:rsidR="000A4106">
        <w:rPr>
          <w:rFonts w:ascii="Times New Roman" w:hAnsi="Times New Roman" w:cs="Times New Roman"/>
          <w:sz w:val="24"/>
          <w:szCs w:val="24"/>
        </w:rPr>
        <w:t xml:space="preserve"> filed an urgent application for a stay of execution in HC 1572/17 on 22 February 2017 and obtained a provisional order on 28 February 2017 staying the eviction as he argued that he was in occupation of the property, not through the second defendant, but in his own right as the person who had purchased it from the first defendant by sale agreement dated 25 October 2011. It is significant, that at para 12 of his founding affidavit in that application the plaintiff stated:</w:t>
      </w:r>
    </w:p>
    <w:p w:rsidR="000A4106" w:rsidRPr="000A4106" w:rsidRDefault="000A4106" w:rsidP="000A4106">
      <w:pPr>
        <w:spacing w:after="0" w:line="240" w:lineRule="auto"/>
        <w:ind w:left="144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Around 20 November 2012 I approached the first respondent’s representative, a Mr Arun Mooljee at his office at FABS Hardware along Cameroon Street here in Harare demanding the original Title Deeds from him for purposes  of effecting the said transfer, having been directed there by his agent, the second respondent.”</w:t>
      </w:r>
    </w:p>
    <w:p w:rsidR="00CB1AFC" w:rsidRDefault="000A4106" w:rsidP="00E144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A4106" w:rsidRDefault="000A4106" w:rsidP="000A4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statement is significant for 2 reasons. Firstly it tells us that the plaintiff was aware as early as then that the first defendant’s address was in Cameroon Street Harare and would really have had no reason on 1 April 2015 to send the Sheriff to serve summons on the defendant</w:t>
      </w:r>
      <w:r w:rsidR="00835555">
        <w:rPr>
          <w:rFonts w:ascii="Times New Roman" w:hAnsi="Times New Roman" w:cs="Times New Roman"/>
          <w:sz w:val="24"/>
          <w:szCs w:val="24"/>
        </w:rPr>
        <w:t xml:space="preserve"> at an address in Mutare, as shall become apparent shortly. Secondly, as far back as November 2012, the defendant was already agitating for transfer of the property to himself, a clear indication that the </w:t>
      </w:r>
      <w:r w:rsidR="00835555">
        <w:rPr>
          <w:rFonts w:ascii="Times New Roman" w:hAnsi="Times New Roman" w:cs="Times New Roman"/>
          <w:sz w:val="24"/>
          <w:szCs w:val="24"/>
        </w:rPr>
        <w:lastRenderedPageBreak/>
        <w:t>cause of action was complete. But</w:t>
      </w:r>
      <w:r w:rsidR="00782429">
        <w:rPr>
          <w:rFonts w:ascii="Times New Roman" w:hAnsi="Times New Roman" w:cs="Times New Roman"/>
          <w:sz w:val="24"/>
          <w:szCs w:val="24"/>
        </w:rPr>
        <w:t xml:space="preserve"> </w:t>
      </w:r>
      <w:r w:rsidR="00876FB4">
        <w:rPr>
          <w:rFonts w:ascii="Times New Roman" w:hAnsi="Times New Roman" w:cs="Times New Roman"/>
          <w:sz w:val="24"/>
          <w:szCs w:val="24"/>
        </w:rPr>
        <w:t>then</w:t>
      </w:r>
      <w:r w:rsidR="00835555">
        <w:rPr>
          <w:rFonts w:ascii="Times New Roman" w:hAnsi="Times New Roman" w:cs="Times New Roman"/>
          <w:sz w:val="24"/>
          <w:szCs w:val="24"/>
        </w:rPr>
        <w:t>, I digress. I am at the moment setting out the background of the litigation.</w:t>
      </w:r>
    </w:p>
    <w:p w:rsidR="00835555" w:rsidRDefault="00835555" w:rsidP="000A4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did try to have the provisional order staying execution confirmed against strong opposition from the first defendant which maintained it had neither sold the property to him nor authorised the second defendant to sell it on its behalf, the latter having been a tenant at the property at all times. The plaintiff’s endeavour came to naught when </w:t>
      </w:r>
      <w:r w:rsidRPr="00835555">
        <w:rPr>
          <w:rFonts w:ascii="Times New Roman" w:hAnsi="Times New Roman" w:cs="Times New Roman"/>
        </w:rPr>
        <w:t>CHIWESHE JP</w:t>
      </w:r>
      <w:r>
        <w:rPr>
          <w:rFonts w:ascii="Times New Roman" w:hAnsi="Times New Roman" w:cs="Times New Roman"/>
          <w:sz w:val="24"/>
          <w:szCs w:val="24"/>
        </w:rPr>
        <w:t xml:space="preserve">, by judgment delivered on 20 March 2018 in </w:t>
      </w:r>
      <w:r>
        <w:rPr>
          <w:rFonts w:ascii="Times New Roman" w:hAnsi="Times New Roman" w:cs="Times New Roman"/>
          <w:i/>
          <w:sz w:val="24"/>
          <w:szCs w:val="24"/>
        </w:rPr>
        <w:t xml:space="preserve">Makumbe </w:t>
      </w:r>
      <w:r w:rsidRPr="00835555">
        <w:rPr>
          <w:rFonts w:ascii="Times New Roman" w:hAnsi="Times New Roman" w:cs="Times New Roman"/>
          <w:sz w:val="24"/>
          <w:szCs w:val="24"/>
        </w:rPr>
        <w:t>v</w:t>
      </w:r>
      <w:r>
        <w:rPr>
          <w:rFonts w:ascii="Times New Roman" w:hAnsi="Times New Roman" w:cs="Times New Roman"/>
          <w:i/>
          <w:sz w:val="24"/>
          <w:szCs w:val="24"/>
        </w:rPr>
        <w:t xml:space="preserve"> M V Mooljee &amp; Sons (Pvt) Ltd &amp; Ors</w:t>
      </w:r>
      <w:r>
        <w:rPr>
          <w:rFonts w:ascii="Times New Roman" w:hAnsi="Times New Roman" w:cs="Times New Roman"/>
          <w:sz w:val="24"/>
          <w:szCs w:val="24"/>
        </w:rPr>
        <w:t xml:space="preserve"> HH 152-18, threw out his application and discharged the provision</w:t>
      </w:r>
      <w:r w:rsidR="00876FB4">
        <w:rPr>
          <w:rFonts w:ascii="Times New Roman" w:hAnsi="Times New Roman" w:cs="Times New Roman"/>
          <w:sz w:val="24"/>
          <w:szCs w:val="24"/>
        </w:rPr>
        <w:t>al</w:t>
      </w:r>
      <w:r>
        <w:rPr>
          <w:rFonts w:ascii="Times New Roman" w:hAnsi="Times New Roman" w:cs="Times New Roman"/>
          <w:sz w:val="24"/>
          <w:szCs w:val="24"/>
        </w:rPr>
        <w:t xml:space="preserve"> order. In doing so, the learned Judge President made quite telling pronouncements on the merits of the plaintiff’s case. He said:</w:t>
      </w:r>
    </w:p>
    <w:p w:rsidR="003A7B21" w:rsidRDefault="00835555" w:rsidP="003A7B21">
      <w:pPr>
        <w:spacing w:after="0" w:line="240" w:lineRule="auto"/>
        <w:ind w:left="720"/>
        <w:jc w:val="both"/>
        <w:rPr>
          <w:rFonts w:ascii="Times New Roman" w:hAnsi="Times New Roman" w:cs="Times New Roman"/>
        </w:rPr>
      </w:pPr>
      <w:r w:rsidRPr="00876FB4">
        <w:rPr>
          <w:rFonts w:ascii="Times New Roman" w:hAnsi="Times New Roman" w:cs="Times New Roman"/>
        </w:rPr>
        <w:t>“The applicant’s case is clearly deficient… Clearly the absence of such resolution by the first respondent lends credence to the first respondent</w:t>
      </w:r>
      <w:r w:rsidR="00876FB4">
        <w:rPr>
          <w:rFonts w:ascii="Times New Roman" w:hAnsi="Times New Roman" w:cs="Times New Roman"/>
        </w:rPr>
        <w:t>’s</w:t>
      </w:r>
      <w:r w:rsidRPr="00876FB4">
        <w:rPr>
          <w:rFonts w:ascii="Times New Roman" w:hAnsi="Times New Roman" w:cs="Times New Roman"/>
        </w:rPr>
        <w:t xml:space="preserve"> assertion that the deal was concluded without</w:t>
      </w:r>
      <w:r w:rsidR="003A7B21">
        <w:rPr>
          <w:rFonts w:ascii="Times New Roman" w:hAnsi="Times New Roman" w:cs="Times New Roman"/>
        </w:rPr>
        <w:t xml:space="preserve"> its </w:t>
      </w:r>
      <w:r w:rsidRPr="00876FB4">
        <w:rPr>
          <w:rFonts w:ascii="Times New Roman" w:hAnsi="Times New Roman" w:cs="Times New Roman"/>
        </w:rPr>
        <w:t>authority and that the second respondent and the applicant acted fraudulently. Further the purported</w:t>
      </w:r>
      <w:r w:rsidR="00782429" w:rsidRPr="00876FB4">
        <w:rPr>
          <w:rFonts w:ascii="Times New Roman" w:hAnsi="Times New Roman" w:cs="Times New Roman"/>
        </w:rPr>
        <w:t xml:space="preserve"> </w:t>
      </w:r>
      <w:r w:rsidR="006634CC" w:rsidRPr="00876FB4">
        <w:rPr>
          <w:rFonts w:ascii="Times New Roman" w:hAnsi="Times New Roman" w:cs="Times New Roman"/>
        </w:rPr>
        <w:t>payment of the purchased price was not made to the</w:t>
      </w:r>
      <w:r w:rsidRPr="00876FB4">
        <w:rPr>
          <w:rFonts w:ascii="Times New Roman" w:hAnsi="Times New Roman" w:cs="Times New Roman"/>
          <w:i/>
        </w:rPr>
        <w:t xml:space="preserve"> </w:t>
      </w:r>
      <w:r w:rsidR="006634CC" w:rsidRPr="00876FB4">
        <w:rPr>
          <w:rFonts w:ascii="Times New Roman" w:hAnsi="Times New Roman" w:cs="Times New Roman"/>
        </w:rPr>
        <w:t>first respondent but to accounts belonging to companies o</w:t>
      </w:r>
      <w:r w:rsidR="00782429" w:rsidRPr="00876FB4">
        <w:rPr>
          <w:rFonts w:ascii="Times New Roman" w:hAnsi="Times New Roman" w:cs="Times New Roman"/>
        </w:rPr>
        <w:t>wned by the second respondent. T</w:t>
      </w:r>
      <w:r w:rsidR="006634CC" w:rsidRPr="00876FB4">
        <w:rPr>
          <w:rFonts w:ascii="Times New Roman" w:hAnsi="Times New Roman" w:cs="Times New Roman"/>
        </w:rPr>
        <w:t xml:space="preserve">hus the monies were not paid </w:t>
      </w:r>
      <w:r w:rsidR="003A7B21">
        <w:rPr>
          <w:rFonts w:ascii="Times New Roman" w:hAnsi="Times New Roman" w:cs="Times New Roman"/>
        </w:rPr>
        <w:t xml:space="preserve">to the </w:t>
      </w:r>
      <w:r w:rsidR="006634CC" w:rsidRPr="00876FB4">
        <w:rPr>
          <w:rFonts w:ascii="Times New Roman" w:hAnsi="Times New Roman" w:cs="Times New Roman"/>
        </w:rPr>
        <w:t>first respondent</w:t>
      </w:r>
      <w:r w:rsidR="00782429" w:rsidRPr="00876FB4">
        <w:rPr>
          <w:rFonts w:ascii="Times New Roman" w:hAnsi="Times New Roman" w:cs="Times New Roman"/>
        </w:rPr>
        <w:t xml:space="preserve"> but to the second respondent. I</w:t>
      </w:r>
      <w:r w:rsidR="006634CC" w:rsidRPr="00876FB4">
        <w:rPr>
          <w:rFonts w:ascii="Times New Roman" w:hAnsi="Times New Roman" w:cs="Times New Roman"/>
        </w:rPr>
        <w:t xml:space="preserve">ndeed, the applicant is unable to </w:t>
      </w:r>
      <w:r w:rsidR="00876FB4" w:rsidRPr="00876FB4">
        <w:rPr>
          <w:rFonts w:ascii="Times New Roman" w:hAnsi="Times New Roman" w:cs="Times New Roman"/>
        </w:rPr>
        <w:tab/>
      </w:r>
      <w:r w:rsidR="003A7B21">
        <w:rPr>
          <w:rFonts w:ascii="Times New Roman" w:hAnsi="Times New Roman" w:cs="Times New Roman"/>
        </w:rPr>
        <w:t xml:space="preserve">produce </w:t>
      </w:r>
    </w:p>
    <w:p w:rsidR="00876FB4" w:rsidRDefault="003A7B21" w:rsidP="003A7B21">
      <w:pPr>
        <w:spacing w:after="0" w:line="240" w:lineRule="auto"/>
        <w:ind w:left="720"/>
        <w:jc w:val="both"/>
        <w:rPr>
          <w:rFonts w:ascii="Times New Roman" w:hAnsi="Times New Roman" w:cs="Times New Roman"/>
        </w:rPr>
      </w:pPr>
      <w:r>
        <w:rPr>
          <w:rFonts w:ascii="Times New Roman" w:hAnsi="Times New Roman" w:cs="Times New Roman"/>
        </w:rPr>
        <w:t xml:space="preserve">any </w:t>
      </w:r>
      <w:r w:rsidR="006634CC" w:rsidRPr="00876FB4">
        <w:rPr>
          <w:rFonts w:ascii="Times New Roman" w:hAnsi="Times New Roman" w:cs="Times New Roman"/>
        </w:rPr>
        <w:t>receipts to prove that payment was indeed rec</w:t>
      </w:r>
      <w:r w:rsidR="00782429" w:rsidRPr="00876FB4">
        <w:rPr>
          <w:rFonts w:ascii="Times New Roman" w:hAnsi="Times New Roman" w:cs="Times New Roman"/>
        </w:rPr>
        <w:t>eived by the first respondent. C</w:t>
      </w:r>
      <w:r w:rsidR="00876FB4">
        <w:rPr>
          <w:rFonts w:ascii="Times New Roman" w:hAnsi="Times New Roman" w:cs="Times New Roman"/>
        </w:rPr>
        <w:t>learly</w:t>
      </w:r>
    </w:p>
    <w:p w:rsidR="006634CC" w:rsidRPr="00876FB4" w:rsidRDefault="003A7B21" w:rsidP="003A7B21">
      <w:pPr>
        <w:spacing w:after="0" w:line="240" w:lineRule="auto"/>
        <w:ind w:left="720"/>
        <w:jc w:val="both"/>
        <w:rPr>
          <w:rFonts w:ascii="Times New Roman" w:hAnsi="Times New Roman" w:cs="Times New Roman"/>
        </w:rPr>
      </w:pPr>
      <w:r>
        <w:rPr>
          <w:rFonts w:ascii="Times New Roman" w:hAnsi="Times New Roman" w:cs="Times New Roman"/>
        </w:rPr>
        <w:t xml:space="preserve">The </w:t>
      </w:r>
      <w:r w:rsidR="006634CC" w:rsidRPr="00876FB4">
        <w:rPr>
          <w:rFonts w:ascii="Times New Roman" w:hAnsi="Times New Roman" w:cs="Times New Roman"/>
        </w:rPr>
        <w:t xml:space="preserve">applicant has no leg to stand on…. He has also failed to show that he paid the purchase price to the rightful owners of the property. I would discharge the provisional </w:t>
      </w:r>
      <w:r w:rsidR="00876FB4" w:rsidRPr="00876FB4">
        <w:rPr>
          <w:rFonts w:ascii="Times New Roman" w:hAnsi="Times New Roman" w:cs="Times New Roman"/>
        </w:rPr>
        <w:tab/>
      </w:r>
      <w:r>
        <w:rPr>
          <w:rFonts w:ascii="Times New Roman" w:hAnsi="Times New Roman" w:cs="Times New Roman"/>
        </w:rPr>
        <w:t xml:space="preserve">order on the basis </w:t>
      </w:r>
      <w:r w:rsidR="006634CC" w:rsidRPr="00876FB4">
        <w:rPr>
          <w:rFonts w:ascii="Times New Roman" w:hAnsi="Times New Roman" w:cs="Times New Roman"/>
        </w:rPr>
        <w:t>alone. The applicant has pursued a hopeless case knowing fully well that the first respondent had not authorised the sale of the property to him.”</w:t>
      </w:r>
    </w:p>
    <w:p w:rsidR="00876FB4" w:rsidRPr="00785B51" w:rsidRDefault="00876FB4" w:rsidP="00876FB4">
      <w:pPr>
        <w:spacing w:after="0" w:line="240" w:lineRule="auto"/>
        <w:jc w:val="both"/>
        <w:rPr>
          <w:rFonts w:ascii="Times New Roman" w:hAnsi="Times New Roman" w:cs="Times New Roman"/>
          <w:sz w:val="24"/>
          <w:szCs w:val="24"/>
        </w:rPr>
      </w:pPr>
    </w:p>
    <w:p w:rsidR="006634CC" w:rsidRPr="00785B51" w:rsidRDefault="006634CC" w:rsidP="006634CC">
      <w:pPr>
        <w:spacing w:after="0" w:line="360" w:lineRule="auto"/>
        <w:jc w:val="both"/>
        <w:rPr>
          <w:rFonts w:ascii="Times New Roman" w:hAnsi="Times New Roman" w:cs="Times New Roman"/>
          <w:sz w:val="24"/>
          <w:szCs w:val="24"/>
        </w:rPr>
      </w:pPr>
      <w:r w:rsidRPr="00785B51">
        <w:rPr>
          <w:rFonts w:ascii="Times New Roman" w:hAnsi="Times New Roman" w:cs="Times New Roman"/>
          <w:sz w:val="24"/>
          <w:szCs w:val="24"/>
        </w:rPr>
        <w:tab/>
        <w:t xml:space="preserve">In my view these were very pointed findings by the court which should have informed the plaintiff’s next </w:t>
      </w:r>
      <w:r w:rsidR="00876FB4">
        <w:rPr>
          <w:rFonts w:ascii="Times New Roman" w:hAnsi="Times New Roman" w:cs="Times New Roman"/>
          <w:sz w:val="24"/>
          <w:szCs w:val="24"/>
        </w:rPr>
        <w:t>course</w:t>
      </w:r>
      <w:r w:rsidRPr="00785B51">
        <w:rPr>
          <w:rFonts w:ascii="Times New Roman" w:hAnsi="Times New Roman" w:cs="Times New Roman"/>
          <w:sz w:val="24"/>
          <w:szCs w:val="24"/>
        </w:rPr>
        <w:t xml:space="preserve"> of action. He learnt nothing from them. Indeed following that judgment the plaintiff was evicted from the property in pursuance of a writ </w:t>
      </w:r>
      <w:r w:rsidR="00876FB4">
        <w:rPr>
          <w:rFonts w:ascii="Times New Roman" w:hAnsi="Times New Roman" w:cs="Times New Roman"/>
          <w:sz w:val="24"/>
          <w:szCs w:val="24"/>
        </w:rPr>
        <w:t>executing</w:t>
      </w:r>
      <w:r w:rsidRPr="00785B51">
        <w:rPr>
          <w:rFonts w:ascii="Times New Roman" w:hAnsi="Times New Roman" w:cs="Times New Roman"/>
          <w:sz w:val="24"/>
          <w:szCs w:val="24"/>
        </w:rPr>
        <w:t xml:space="preserve"> a judgment of this court.</w:t>
      </w:r>
    </w:p>
    <w:p w:rsidR="006634CC" w:rsidRPr="00785B51" w:rsidRDefault="006634CC" w:rsidP="006634CC">
      <w:pPr>
        <w:spacing w:after="0" w:line="360" w:lineRule="auto"/>
        <w:jc w:val="both"/>
        <w:rPr>
          <w:rFonts w:ascii="Times New Roman" w:hAnsi="Times New Roman" w:cs="Times New Roman"/>
          <w:sz w:val="24"/>
          <w:szCs w:val="24"/>
        </w:rPr>
      </w:pPr>
      <w:r w:rsidRPr="00785B51">
        <w:rPr>
          <w:rFonts w:ascii="Times New Roman" w:hAnsi="Times New Roman" w:cs="Times New Roman"/>
          <w:sz w:val="24"/>
          <w:szCs w:val="24"/>
        </w:rPr>
        <w:tab/>
        <w:t xml:space="preserve">Meanwhile on 19 March 2015 in HC 2518/15 the plaintiff instituted summons action against the same defendants as in the present action. He sought similar relief for the transfer of the property from the first defendant to himself. He made the same averments which he makes in the present case that he had purchased the property from the first defendant on 25 October 2011 and paid the purchase price of $100 000.00 in full, by 1 June 2012. What is significant is that, although the plaintiff was by then well aware of the location of the first defendant in Cameroon Street Harare, </w:t>
      </w:r>
      <w:r w:rsidRPr="00785B51">
        <w:rPr>
          <w:rFonts w:ascii="Times New Roman" w:hAnsi="Times New Roman" w:cs="Times New Roman"/>
          <w:sz w:val="24"/>
          <w:szCs w:val="24"/>
        </w:rPr>
        <w:tab/>
        <w:t xml:space="preserve">he having visited the </w:t>
      </w:r>
      <w:r w:rsidR="00876FB4">
        <w:rPr>
          <w:rFonts w:ascii="Times New Roman" w:hAnsi="Times New Roman" w:cs="Times New Roman"/>
          <w:sz w:val="24"/>
          <w:szCs w:val="24"/>
        </w:rPr>
        <w:t>director of the first defendant</w:t>
      </w:r>
      <w:r w:rsidRPr="00785B51">
        <w:rPr>
          <w:rFonts w:ascii="Times New Roman" w:hAnsi="Times New Roman" w:cs="Times New Roman"/>
          <w:sz w:val="24"/>
          <w:szCs w:val="24"/>
        </w:rPr>
        <w:t xml:space="preserve"> by his own admission, on 20 </w:t>
      </w:r>
      <w:r w:rsidRPr="00785B51">
        <w:rPr>
          <w:rFonts w:ascii="Times New Roman" w:hAnsi="Times New Roman" w:cs="Times New Roman"/>
          <w:sz w:val="24"/>
          <w:szCs w:val="24"/>
        </w:rPr>
        <w:lastRenderedPageBreak/>
        <w:t xml:space="preserve">November 2012, he still saw it fit, in his wisdom or lack of it, to serve the summons at no. 36 Jameson Street in Mutare. This is an address belonging to the second defendant’s company. That way the plaintiff obtained default judgment against the first defendant which says that the summons were never served on it as it has nothing to do with the second defendant. The judgment was granted on 2 September 2015, </w:t>
      </w:r>
      <w:r w:rsidRPr="00782429">
        <w:rPr>
          <w:rFonts w:ascii="Times New Roman" w:hAnsi="Times New Roman" w:cs="Times New Roman"/>
          <w:i/>
          <w:sz w:val="24"/>
          <w:szCs w:val="24"/>
        </w:rPr>
        <w:t>per</w:t>
      </w:r>
      <w:r w:rsidRPr="00785B51">
        <w:rPr>
          <w:rFonts w:ascii="Times New Roman" w:hAnsi="Times New Roman" w:cs="Times New Roman"/>
          <w:sz w:val="24"/>
          <w:szCs w:val="24"/>
        </w:rPr>
        <w:t xml:space="preserve"> </w:t>
      </w:r>
      <w:r w:rsidRPr="009B0500">
        <w:rPr>
          <w:rFonts w:ascii="Times New Roman" w:hAnsi="Times New Roman" w:cs="Times New Roman"/>
          <w:smallCaps/>
          <w:sz w:val="24"/>
          <w:szCs w:val="24"/>
        </w:rPr>
        <w:t>Zhou J.</w:t>
      </w:r>
    </w:p>
    <w:p w:rsidR="006634CC" w:rsidRDefault="006634CC" w:rsidP="006634CC">
      <w:pPr>
        <w:spacing w:after="0" w:line="360" w:lineRule="auto"/>
        <w:jc w:val="both"/>
        <w:rPr>
          <w:rFonts w:ascii="Times New Roman" w:hAnsi="Times New Roman" w:cs="Times New Roman"/>
          <w:sz w:val="24"/>
          <w:szCs w:val="24"/>
        </w:rPr>
      </w:pPr>
      <w:r w:rsidRPr="00785B51">
        <w:rPr>
          <w:rFonts w:ascii="Times New Roman" w:hAnsi="Times New Roman" w:cs="Times New Roman"/>
          <w:sz w:val="24"/>
          <w:szCs w:val="24"/>
        </w:rPr>
        <w:tab/>
      </w:r>
      <w:r>
        <w:rPr>
          <w:rFonts w:ascii="Times New Roman" w:hAnsi="Times New Roman" w:cs="Times New Roman"/>
          <w:sz w:val="24"/>
          <w:szCs w:val="24"/>
        </w:rPr>
        <w:t xml:space="preserve">I must say that this court has already made findings on the validity of that purported service of summons in HC 1682/17 which is an application in terms of r 449 brought by the first defendant against the plaintiff and 2 others for rescission of the default judgment. Even though the plaintiff tried to cling onto the default judgment, </w:t>
      </w:r>
      <w:r w:rsidRPr="009B0500">
        <w:rPr>
          <w:rFonts w:ascii="Times New Roman" w:hAnsi="Times New Roman" w:cs="Times New Roman"/>
          <w:smallCaps/>
          <w:sz w:val="24"/>
          <w:szCs w:val="24"/>
        </w:rPr>
        <w:t xml:space="preserve">Makoni J </w:t>
      </w:r>
      <w:r>
        <w:rPr>
          <w:rFonts w:ascii="Times New Roman" w:hAnsi="Times New Roman" w:cs="Times New Roman"/>
          <w:sz w:val="24"/>
          <w:szCs w:val="24"/>
        </w:rPr>
        <w:t>(as she then was) res</w:t>
      </w:r>
      <w:r w:rsidR="003E02AB">
        <w:rPr>
          <w:rFonts w:ascii="Times New Roman" w:hAnsi="Times New Roman" w:cs="Times New Roman"/>
          <w:sz w:val="24"/>
          <w:szCs w:val="24"/>
        </w:rPr>
        <w:t>cinded it. In doing so she made</w:t>
      </w:r>
      <w:r>
        <w:rPr>
          <w:rFonts w:ascii="Times New Roman" w:hAnsi="Times New Roman" w:cs="Times New Roman"/>
          <w:sz w:val="24"/>
          <w:szCs w:val="24"/>
        </w:rPr>
        <w:t xml:space="preserve"> clear findings that the second defendant was not authorised by the first defendant to sell the property and that service of the summons on the first defendant was an exercise in futility. She remarked:</w:t>
      </w:r>
    </w:p>
    <w:p w:rsidR="006634CC" w:rsidRDefault="006634CC" w:rsidP="006634CC">
      <w:pPr>
        <w:spacing w:after="0" w:line="240" w:lineRule="auto"/>
        <w:jc w:val="both"/>
        <w:rPr>
          <w:rFonts w:ascii="Times New Roman" w:hAnsi="Times New Roman" w:cs="Times New Roman"/>
        </w:rPr>
      </w:pPr>
      <w:r>
        <w:rPr>
          <w:rFonts w:ascii="Times New Roman" w:hAnsi="Times New Roman" w:cs="Times New Roman"/>
          <w:sz w:val="24"/>
          <w:szCs w:val="24"/>
        </w:rPr>
        <w:tab/>
        <w:t>“</w:t>
      </w:r>
      <w:r w:rsidRPr="00DB03CD">
        <w:rPr>
          <w:rFonts w:ascii="Times New Roman" w:hAnsi="Times New Roman" w:cs="Times New Roman"/>
        </w:rPr>
        <w:t xml:space="preserve">So what are the facts that have been placed before me that were not placed before the court that </w:t>
      </w:r>
      <w:r>
        <w:rPr>
          <w:rFonts w:ascii="Times New Roman" w:hAnsi="Times New Roman" w:cs="Times New Roman"/>
        </w:rPr>
        <w:tab/>
      </w:r>
      <w:r w:rsidRPr="00DB03CD">
        <w:rPr>
          <w:rFonts w:ascii="Times New Roman" w:hAnsi="Times New Roman" w:cs="Times New Roman"/>
        </w:rPr>
        <w:t xml:space="preserve">granted the default judgment? It is the fact that the agreement of sale records that the second </w:t>
      </w:r>
      <w:r>
        <w:rPr>
          <w:rFonts w:ascii="Times New Roman" w:hAnsi="Times New Roman" w:cs="Times New Roman"/>
        </w:rPr>
        <w:tab/>
      </w:r>
      <w:r w:rsidRPr="00DB03CD">
        <w:rPr>
          <w:rFonts w:ascii="Times New Roman" w:hAnsi="Times New Roman" w:cs="Times New Roman"/>
        </w:rPr>
        <w:t xml:space="preserve">respondent was duly authorised by the first respondent to represent the applicant and it makes </w:t>
      </w:r>
      <w:r>
        <w:rPr>
          <w:rFonts w:ascii="Times New Roman" w:hAnsi="Times New Roman" w:cs="Times New Roman"/>
        </w:rPr>
        <w:tab/>
      </w:r>
      <w:r w:rsidRPr="00DB03CD">
        <w:rPr>
          <w:rFonts w:ascii="Times New Roman" w:hAnsi="Times New Roman" w:cs="Times New Roman"/>
        </w:rPr>
        <w:t xml:space="preserve">reference to a resolution. That resolution was not produced before the court. In the first place it </w:t>
      </w:r>
      <w:r>
        <w:rPr>
          <w:rFonts w:ascii="Times New Roman" w:hAnsi="Times New Roman" w:cs="Times New Roman"/>
        </w:rPr>
        <w:tab/>
      </w:r>
      <w:r w:rsidRPr="00DB03CD">
        <w:rPr>
          <w:rFonts w:ascii="Times New Roman" w:hAnsi="Times New Roman" w:cs="Times New Roman"/>
        </w:rPr>
        <w:t xml:space="preserve">was not attached to the agreement of sale and it was not produced before the court. It has now </w:t>
      </w:r>
      <w:r>
        <w:rPr>
          <w:rFonts w:ascii="Times New Roman" w:hAnsi="Times New Roman" w:cs="Times New Roman"/>
        </w:rPr>
        <w:tab/>
      </w:r>
      <w:r w:rsidRPr="00DB03CD">
        <w:rPr>
          <w:rFonts w:ascii="Times New Roman" w:hAnsi="Times New Roman" w:cs="Times New Roman"/>
        </w:rPr>
        <w:t xml:space="preserve">come to the attention of this court that that resolution might not exist…. If it turns out that there is </w:t>
      </w:r>
      <w:r>
        <w:rPr>
          <w:rFonts w:ascii="Times New Roman" w:hAnsi="Times New Roman" w:cs="Times New Roman"/>
        </w:rPr>
        <w:tab/>
      </w:r>
      <w:r w:rsidRPr="00DB03CD">
        <w:rPr>
          <w:rFonts w:ascii="Times New Roman" w:hAnsi="Times New Roman" w:cs="Times New Roman"/>
        </w:rPr>
        <w:t xml:space="preserve">no resolution, then it follows that that agreement of sale is invalid and the court which proceeded </w:t>
      </w:r>
      <w:r>
        <w:rPr>
          <w:rFonts w:ascii="Times New Roman" w:hAnsi="Times New Roman" w:cs="Times New Roman"/>
        </w:rPr>
        <w:tab/>
      </w:r>
      <w:r w:rsidRPr="00DB03CD">
        <w:rPr>
          <w:rFonts w:ascii="Times New Roman" w:hAnsi="Times New Roman" w:cs="Times New Roman"/>
        </w:rPr>
        <w:t xml:space="preserve">to grant judgment was not aware of that fact. It is my finding that there are facts that have been </w:t>
      </w:r>
      <w:r>
        <w:rPr>
          <w:rFonts w:ascii="Times New Roman" w:hAnsi="Times New Roman" w:cs="Times New Roman"/>
        </w:rPr>
        <w:tab/>
      </w:r>
      <w:r w:rsidRPr="00DB03CD">
        <w:rPr>
          <w:rFonts w:ascii="Times New Roman" w:hAnsi="Times New Roman" w:cs="Times New Roman"/>
        </w:rPr>
        <w:t>placed before me which were not before the court that granted the judgment in the first place.”</w:t>
      </w:r>
    </w:p>
    <w:p w:rsidR="006634CC" w:rsidRPr="00DB03CD" w:rsidRDefault="006634CC" w:rsidP="006634CC">
      <w:pPr>
        <w:spacing w:after="0" w:line="240" w:lineRule="auto"/>
        <w:jc w:val="both"/>
        <w:rPr>
          <w:rFonts w:ascii="Times New Roman" w:hAnsi="Times New Roman" w:cs="Times New Roman"/>
        </w:rPr>
      </w:pPr>
    </w:p>
    <w:p w:rsidR="006634CC" w:rsidRDefault="006634CC" w:rsidP="006634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state, for completeness, that although the default judgment was rescinded case number HC 2518/15 was neither withdrawn nor prosecuted. It is however an issue that </w:t>
      </w:r>
      <w:r w:rsidR="003E02AB">
        <w:rPr>
          <w:rFonts w:ascii="Times New Roman" w:hAnsi="Times New Roman" w:cs="Times New Roman"/>
          <w:sz w:val="24"/>
          <w:szCs w:val="24"/>
        </w:rPr>
        <w:t>falls outside the purview of this</w:t>
      </w:r>
      <w:r>
        <w:rPr>
          <w:rFonts w:ascii="Times New Roman" w:hAnsi="Times New Roman" w:cs="Times New Roman"/>
          <w:sz w:val="24"/>
          <w:szCs w:val="24"/>
        </w:rPr>
        <w:t xml:space="preserve"> judgment I not having been addressed at all on it and the first defendant not having raised any objection based on it.</w:t>
      </w:r>
    </w:p>
    <w:p w:rsidR="006634CC" w:rsidRDefault="006634CC" w:rsidP="006634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Against that background, the first defendant has pleaded specially to the plaintiff’s claim raising prescription of the claim. The first defendant avers that the plaintiff’s claim is based on a contract allegedly con</w:t>
      </w:r>
      <w:r w:rsidR="003E02AB">
        <w:rPr>
          <w:rFonts w:ascii="Times New Roman" w:hAnsi="Times New Roman" w:cs="Times New Roman"/>
          <w:sz w:val="24"/>
          <w:szCs w:val="24"/>
        </w:rPr>
        <w:t>cluded o</w:t>
      </w:r>
      <w:r>
        <w:rPr>
          <w:rFonts w:ascii="Times New Roman" w:hAnsi="Times New Roman" w:cs="Times New Roman"/>
          <w:sz w:val="24"/>
          <w:szCs w:val="24"/>
        </w:rPr>
        <w:t>n 25 October 2011 in terms of which the first defendant was obliged to transfer the property to the plaintiff after full payment of the purchase price. As the purchase price was allegedly paid in full by 1 June 2012, prescription commenced running on that date and the claim prescribed on 2 June 2015. The summons issued on 19 March 2015 was not served on the first defendant and therefore did not interrupt the running of prescription. Apart from that</w:t>
      </w:r>
      <w:r w:rsidR="003E02AB">
        <w:rPr>
          <w:rFonts w:ascii="Times New Roman" w:hAnsi="Times New Roman" w:cs="Times New Roman"/>
          <w:sz w:val="24"/>
          <w:szCs w:val="24"/>
        </w:rPr>
        <w:t>,</w:t>
      </w:r>
      <w:r>
        <w:rPr>
          <w:rFonts w:ascii="Times New Roman" w:hAnsi="Times New Roman" w:cs="Times New Roman"/>
          <w:sz w:val="24"/>
          <w:szCs w:val="24"/>
        </w:rPr>
        <w:t xml:space="preserve"> the case in question was not prosecuted to final judgment and even if it was, the </w:t>
      </w:r>
      <w:r>
        <w:rPr>
          <w:rFonts w:ascii="Times New Roman" w:hAnsi="Times New Roman" w:cs="Times New Roman"/>
          <w:sz w:val="24"/>
          <w:szCs w:val="24"/>
        </w:rPr>
        <w:lastRenderedPageBreak/>
        <w:t>judgment was rescinded by this court on 5 October 2017. I am therefore called upon to decide whether the plaintiff’s claim is prescribed in terms of s 14</w:t>
      </w:r>
      <w:r w:rsidR="00782429">
        <w:rPr>
          <w:rFonts w:ascii="Times New Roman" w:hAnsi="Times New Roman" w:cs="Times New Roman"/>
          <w:sz w:val="24"/>
          <w:szCs w:val="24"/>
        </w:rPr>
        <w:t xml:space="preserve"> </w:t>
      </w:r>
      <w:r>
        <w:rPr>
          <w:rFonts w:ascii="Times New Roman" w:hAnsi="Times New Roman" w:cs="Times New Roman"/>
          <w:sz w:val="24"/>
          <w:szCs w:val="24"/>
        </w:rPr>
        <w:t>(l</w:t>
      </w:r>
      <w:r w:rsidR="003E02AB">
        <w:rPr>
          <w:rFonts w:ascii="Times New Roman" w:hAnsi="Times New Roman" w:cs="Times New Roman"/>
          <w:sz w:val="24"/>
          <w:szCs w:val="24"/>
        </w:rPr>
        <w:t>) as read with s 15 (d) of the P</w:t>
      </w:r>
      <w:r>
        <w:rPr>
          <w:rFonts w:ascii="Times New Roman" w:hAnsi="Times New Roman" w:cs="Times New Roman"/>
          <w:sz w:val="24"/>
          <w:szCs w:val="24"/>
        </w:rPr>
        <w:t>rescription Act [</w:t>
      </w:r>
      <w:r w:rsidRPr="00DD16B5">
        <w:rPr>
          <w:rFonts w:ascii="Times New Roman" w:hAnsi="Times New Roman" w:cs="Times New Roman"/>
          <w:i/>
          <w:sz w:val="24"/>
          <w:szCs w:val="24"/>
        </w:rPr>
        <w:t>Chapter 8:11</w:t>
      </w:r>
      <w:r>
        <w:rPr>
          <w:rFonts w:ascii="Times New Roman" w:hAnsi="Times New Roman" w:cs="Times New Roman"/>
          <w:sz w:val="24"/>
          <w:szCs w:val="24"/>
        </w:rPr>
        <w:t>].</w:t>
      </w:r>
    </w:p>
    <w:p w:rsidR="006634CC" w:rsidRDefault="006634CC" w:rsidP="006634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E33E5">
        <w:rPr>
          <w:rFonts w:ascii="Times New Roman" w:hAnsi="Times New Roman" w:cs="Times New Roman"/>
          <w:i/>
          <w:sz w:val="24"/>
          <w:szCs w:val="24"/>
        </w:rPr>
        <w:t>Uriri</w:t>
      </w:r>
      <w:r>
        <w:rPr>
          <w:rFonts w:ascii="Times New Roman" w:hAnsi="Times New Roman" w:cs="Times New Roman"/>
          <w:sz w:val="24"/>
          <w:szCs w:val="24"/>
        </w:rPr>
        <w:t xml:space="preserve"> who appeared for the plaintiff took the preliminary point that the matter has been improperly set down given that the procedure for set down of such matters provided for in r 138 has not been complied with. He made reference to r 223 (2) and r 288 (1a) in makin</w:t>
      </w:r>
      <w:r w:rsidR="003E02AB">
        <w:rPr>
          <w:rFonts w:ascii="Times New Roman" w:hAnsi="Times New Roman" w:cs="Times New Roman"/>
          <w:sz w:val="24"/>
          <w:szCs w:val="24"/>
        </w:rPr>
        <w:t>g the point that in the absence</w:t>
      </w:r>
      <w:r>
        <w:rPr>
          <w:rFonts w:ascii="Times New Roman" w:hAnsi="Times New Roman" w:cs="Times New Roman"/>
          <w:sz w:val="24"/>
          <w:szCs w:val="24"/>
        </w:rPr>
        <w:t xml:space="preserve"> of compliance with those rules the special plea should not have been set down for hearing without the filing and service of heads of argument. The special plea should have been stood over for trial. In addition the first defendant having pleaded over to the merits, the issues </w:t>
      </w:r>
      <w:r w:rsidR="003E02AB">
        <w:rPr>
          <w:rFonts w:ascii="Times New Roman" w:hAnsi="Times New Roman" w:cs="Times New Roman"/>
          <w:sz w:val="24"/>
          <w:szCs w:val="24"/>
        </w:rPr>
        <w:t>raised</w:t>
      </w:r>
      <w:r>
        <w:rPr>
          <w:rFonts w:ascii="Times New Roman" w:hAnsi="Times New Roman" w:cs="Times New Roman"/>
          <w:sz w:val="24"/>
          <w:szCs w:val="24"/>
        </w:rPr>
        <w:t xml:space="preserve"> in the special plea can only be resolved at the trial. Apart from that, there are disputes of facts which can only be resolved by the leading of oral evidence to unravel them.</w:t>
      </w:r>
    </w:p>
    <w:p w:rsidR="006634CC" w:rsidRDefault="006634CC" w:rsidP="006634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53E93">
        <w:rPr>
          <w:rFonts w:ascii="Times New Roman" w:hAnsi="Times New Roman" w:cs="Times New Roman"/>
          <w:i/>
          <w:sz w:val="24"/>
          <w:szCs w:val="24"/>
        </w:rPr>
        <w:t>Mushuma</w:t>
      </w:r>
      <w:r>
        <w:rPr>
          <w:rFonts w:ascii="Times New Roman" w:hAnsi="Times New Roman" w:cs="Times New Roman"/>
          <w:sz w:val="24"/>
          <w:szCs w:val="24"/>
        </w:rPr>
        <w:t xml:space="preserve"> for the first defendant submitted that it is competent to set down a special plea even after pleading over to the merits because there is nowhere in the rules w</w:t>
      </w:r>
      <w:r w:rsidR="003E02AB">
        <w:rPr>
          <w:rFonts w:ascii="Times New Roman" w:hAnsi="Times New Roman" w:cs="Times New Roman"/>
          <w:sz w:val="24"/>
          <w:szCs w:val="24"/>
        </w:rPr>
        <w:t>here doing so is preclud</w:t>
      </w:r>
      <w:r>
        <w:rPr>
          <w:rFonts w:ascii="Times New Roman" w:hAnsi="Times New Roman" w:cs="Times New Roman"/>
          <w:sz w:val="24"/>
          <w:szCs w:val="24"/>
        </w:rPr>
        <w:t xml:space="preserve">ed. To support that proposition Mr </w:t>
      </w:r>
      <w:r w:rsidRPr="00C53E93">
        <w:rPr>
          <w:rFonts w:ascii="Times New Roman" w:hAnsi="Times New Roman" w:cs="Times New Roman"/>
          <w:i/>
          <w:sz w:val="24"/>
          <w:szCs w:val="24"/>
        </w:rPr>
        <w:t xml:space="preserve">Mushuma </w:t>
      </w:r>
      <w:r>
        <w:rPr>
          <w:rFonts w:ascii="Times New Roman" w:hAnsi="Times New Roman" w:cs="Times New Roman"/>
          <w:sz w:val="24"/>
          <w:szCs w:val="24"/>
        </w:rPr>
        <w:t xml:space="preserve">referred to r 138 (c) which seems to suggest that a </w:t>
      </w:r>
      <w:r w:rsidR="003E02AB">
        <w:rPr>
          <w:rFonts w:ascii="Times New Roman" w:hAnsi="Times New Roman" w:cs="Times New Roman"/>
          <w:sz w:val="24"/>
          <w:szCs w:val="24"/>
        </w:rPr>
        <w:t xml:space="preserve">special </w:t>
      </w:r>
      <w:r>
        <w:rPr>
          <w:rFonts w:ascii="Times New Roman" w:hAnsi="Times New Roman" w:cs="Times New Roman"/>
          <w:sz w:val="24"/>
          <w:szCs w:val="24"/>
        </w:rPr>
        <w:t>plea</w:t>
      </w:r>
      <w:r w:rsidR="003E02AB">
        <w:rPr>
          <w:rFonts w:ascii="Times New Roman" w:hAnsi="Times New Roman" w:cs="Times New Roman"/>
          <w:sz w:val="24"/>
          <w:szCs w:val="24"/>
        </w:rPr>
        <w:t xml:space="preserve"> may still be pursued even after the filing of a plea </w:t>
      </w:r>
      <w:r>
        <w:rPr>
          <w:rFonts w:ascii="Times New Roman" w:hAnsi="Times New Roman" w:cs="Times New Roman"/>
          <w:sz w:val="24"/>
          <w:szCs w:val="24"/>
        </w:rPr>
        <w:t xml:space="preserve"> on the merits. Rule 138 provides;</w:t>
      </w:r>
    </w:p>
    <w:p w:rsidR="00D43B6B" w:rsidRDefault="006634CC" w:rsidP="00D43B6B">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525C00">
        <w:rPr>
          <w:rFonts w:ascii="Times New Roman" w:hAnsi="Times New Roman" w:cs="Times New Roman"/>
        </w:rPr>
        <w:t xml:space="preserve">138 </w:t>
      </w:r>
      <w:r w:rsidRPr="006608DB">
        <w:rPr>
          <w:rFonts w:ascii="Times New Roman" w:hAnsi="Times New Roman" w:cs="Times New Roman"/>
          <w:u w:val="single"/>
        </w:rPr>
        <w:t>Procedure on filing special plea, exception or application to strike out</w:t>
      </w:r>
      <w:r w:rsidR="00D43B6B" w:rsidRPr="006608DB">
        <w:rPr>
          <w:rFonts w:ascii="Times New Roman" w:hAnsi="Times New Roman" w:cs="Times New Roman"/>
          <w:u w:val="single"/>
        </w:rPr>
        <w:t>.</w:t>
      </w:r>
    </w:p>
    <w:p w:rsidR="006634CC" w:rsidRPr="00525C00" w:rsidRDefault="006634CC" w:rsidP="00D43B6B">
      <w:pPr>
        <w:spacing w:after="0" w:line="240" w:lineRule="auto"/>
        <w:ind w:left="720"/>
        <w:jc w:val="both"/>
        <w:rPr>
          <w:rFonts w:ascii="Times New Roman" w:hAnsi="Times New Roman" w:cs="Times New Roman"/>
        </w:rPr>
      </w:pPr>
      <w:r w:rsidRPr="00525C00">
        <w:rPr>
          <w:rFonts w:ascii="Times New Roman" w:hAnsi="Times New Roman" w:cs="Times New Roman"/>
        </w:rPr>
        <w:t xml:space="preserve"> </w:t>
      </w:r>
      <w:r w:rsidR="004E79BE" w:rsidRPr="006608DB">
        <w:rPr>
          <w:rFonts w:ascii="Times New Roman" w:hAnsi="Times New Roman" w:cs="Times New Roman"/>
        </w:rPr>
        <w:t>W</w:t>
      </w:r>
      <w:r w:rsidR="003E02AB" w:rsidRPr="006608DB">
        <w:rPr>
          <w:rFonts w:ascii="Times New Roman" w:hAnsi="Times New Roman" w:cs="Times New Roman"/>
        </w:rPr>
        <w:t>hen a special plea exception or application to strike out has been filed</w:t>
      </w:r>
      <w:r w:rsidR="003E02AB">
        <w:rPr>
          <w:rFonts w:ascii="Times New Roman" w:hAnsi="Times New Roman" w:cs="Times New Roman"/>
        </w:rPr>
        <w:t>—</w:t>
      </w:r>
    </w:p>
    <w:p w:rsidR="006634CC" w:rsidRPr="00525C00" w:rsidRDefault="003E02AB" w:rsidP="006634CC">
      <w:pPr>
        <w:pStyle w:val="ListParagraph"/>
        <w:numPr>
          <w:ilvl w:val="0"/>
          <w:numId w:val="1"/>
        </w:numPr>
        <w:spacing w:after="0" w:line="240" w:lineRule="auto"/>
        <w:ind w:left="990" w:hanging="270"/>
        <w:jc w:val="both"/>
        <w:rPr>
          <w:rFonts w:ascii="Times New Roman" w:hAnsi="Times New Roman" w:cs="Times New Roman"/>
        </w:rPr>
      </w:pPr>
      <w:r>
        <w:rPr>
          <w:rFonts w:ascii="Times New Roman" w:hAnsi="Times New Roman" w:cs="Times New Roman"/>
        </w:rPr>
        <w:t>t</w:t>
      </w:r>
      <w:r w:rsidR="006634CC" w:rsidRPr="00525C00">
        <w:rPr>
          <w:rFonts w:ascii="Times New Roman" w:hAnsi="Times New Roman" w:cs="Times New Roman"/>
        </w:rPr>
        <w:t>he parties may consent within ten days of the filing to such special plea, exception or application being set down for hearing in accordance with subrule (2) of rule 223;</w:t>
      </w:r>
    </w:p>
    <w:p w:rsidR="006634CC" w:rsidRPr="00525C00" w:rsidRDefault="003E02AB" w:rsidP="006634CC">
      <w:pPr>
        <w:pStyle w:val="ListParagraph"/>
        <w:numPr>
          <w:ilvl w:val="0"/>
          <w:numId w:val="1"/>
        </w:numPr>
        <w:spacing w:after="0" w:line="240" w:lineRule="auto"/>
        <w:ind w:left="990" w:hanging="270"/>
        <w:jc w:val="both"/>
        <w:rPr>
          <w:rFonts w:ascii="Times New Roman" w:hAnsi="Times New Roman" w:cs="Times New Roman"/>
        </w:rPr>
      </w:pPr>
      <w:r>
        <w:rPr>
          <w:rFonts w:ascii="Times New Roman" w:hAnsi="Times New Roman" w:cs="Times New Roman"/>
        </w:rPr>
        <w:t>f</w:t>
      </w:r>
      <w:r w:rsidR="006634CC" w:rsidRPr="00525C00">
        <w:rPr>
          <w:rFonts w:ascii="Times New Roman" w:hAnsi="Times New Roman" w:cs="Times New Roman"/>
        </w:rPr>
        <w:t>ailing consent either party may within a further period of four days set the matter down for hearing in accordance with subrule (2) of rule 223;</w:t>
      </w:r>
    </w:p>
    <w:p w:rsidR="008825D1" w:rsidRPr="008825D1" w:rsidRDefault="003E02AB" w:rsidP="008825D1">
      <w:pPr>
        <w:pStyle w:val="ListParagraph"/>
        <w:numPr>
          <w:ilvl w:val="0"/>
          <w:numId w:val="1"/>
        </w:numPr>
        <w:spacing w:after="0" w:line="240" w:lineRule="auto"/>
        <w:ind w:left="990" w:hanging="270"/>
        <w:jc w:val="both"/>
        <w:rPr>
          <w:rFonts w:ascii="Times New Roman" w:hAnsi="Times New Roman" w:cs="Times New Roman"/>
        </w:rPr>
      </w:pPr>
      <w:r>
        <w:rPr>
          <w:rFonts w:ascii="Times New Roman" w:hAnsi="Times New Roman" w:cs="Times New Roman"/>
        </w:rPr>
        <w:t>f</w:t>
      </w:r>
      <w:r w:rsidR="006634CC" w:rsidRPr="00525C00">
        <w:rPr>
          <w:rFonts w:ascii="Times New Roman" w:hAnsi="Times New Roman" w:cs="Times New Roman"/>
        </w:rPr>
        <w:t>ailing such consent and such applic</w:t>
      </w:r>
      <w:r w:rsidR="008825D1">
        <w:rPr>
          <w:rFonts w:ascii="Times New Roman" w:hAnsi="Times New Roman" w:cs="Times New Roman"/>
        </w:rPr>
        <w:t>ation, the party p</w:t>
      </w:r>
      <w:r w:rsidR="008825D1" w:rsidRPr="008825D1">
        <w:rPr>
          <w:rFonts w:ascii="Times New Roman" w:hAnsi="Times New Roman" w:cs="Times New Roman"/>
        </w:rPr>
        <w:t xml:space="preserve">leading specially, excepting  or applying shall within a further period of four days plead over </w:t>
      </w:r>
      <w:r w:rsidR="008825D1" w:rsidRPr="008825D1">
        <w:rPr>
          <w:rFonts w:ascii="Times New Roman" w:hAnsi="Times New Roman" w:cs="Times New Roman"/>
        </w:rPr>
        <w:tab/>
        <w:t xml:space="preserve">to the merits if he has not already does so and the special plea, exception or application shall </w:t>
      </w:r>
      <w:r w:rsidR="008825D1" w:rsidRPr="008825D1">
        <w:rPr>
          <w:rFonts w:ascii="Times New Roman" w:hAnsi="Times New Roman" w:cs="Times New Roman"/>
        </w:rPr>
        <w:tab/>
        <w:t>not be set down for hearing before the trial.”</w:t>
      </w:r>
    </w:p>
    <w:p w:rsidR="008825D1" w:rsidRDefault="008825D1" w:rsidP="008825D1">
      <w:pPr>
        <w:spacing w:after="0" w:line="240" w:lineRule="auto"/>
        <w:jc w:val="both"/>
        <w:rPr>
          <w:rFonts w:ascii="Times New Roman" w:hAnsi="Times New Roman" w:cs="Times New Roman"/>
        </w:rPr>
      </w:pP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that para (c) of the rule has peremptory application by virtue of the use of the word “shall” in it. I however tend to agree with Mr </w:t>
      </w:r>
      <w:r w:rsidRPr="00647F58">
        <w:rPr>
          <w:rFonts w:ascii="Times New Roman" w:hAnsi="Times New Roman" w:cs="Times New Roman"/>
          <w:i/>
          <w:sz w:val="24"/>
          <w:szCs w:val="24"/>
        </w:rPr>
        <w:t>Mushuma</w:t>
      </w:r>
      <w:r>
        <w:rPr>
          <w:rFonts w:ascii="Times New Roman" w:hAnsi="Times New Roman" w:cs="Times New Roman"/>
          <w:sz w:val="24"/>
          <w:szCs w:val="24"/>
        </w:rPr>
        <w:t xml:space="preserve"> for the first defendant that </w:t>
      </w:r>
      <w:r w:rsidR="003E02AB">
        <w:rPr>
          <w:rFonts w:ascii="Times New Roman" w:hAnsi="Times New Roman" w:cs="Times New Roman"/>
          <w:sz w:val="24"/>
          <w:szCs w:val="24"/>
        </w:rPr>
        <w:t>t</w:t>
      </w:r>
      <w:r>
        <w:rPr>
          <w:rFonts w:ascii="Times New Roman" w:hAnsi="Times New Roman" w:cs="Times New Roman"/>
          <w:sz w:val="24"/>
          <w:szCs w:val="24"/>
        </w:rPr>
        <w:t>he use of the ph</w:t>
      </w:r>
      <w:r w:rsidR="003E02AB">
        <w:rPr>
          <w:rFonts w:ascii="Times New Roman" w:hAnsi="Times New Roman" w:cs="Times New Roman"/>
          <w:sz w:val="24"/>
          <w:szCs w:val="24"/>
        </w:rPr>
        <w:t>rase “if he had not already done</w:t>
      </w:r>
      <w:r>
        <w:rPr>
          <w:rFonts w:ascii="Times New Roman" w:hAnsi="Times New Roman" w:cs="Times New Roman"/>
          <w:sz w:val="24"/>
          <w:szCs w:val="24"/>
        </w:rPr>
        <w:t xml:space="preserve"> so” presupposes that a defendant can plead to the merits at any stage, even while still pursuing a special plea. As long as the procedure for set down of a special plea, exception or application to strike out provided for in the </w:t>
      </w:r>
      <w:r w:rsidR="003E02AB">
        <w:rPr>
          <w:rFonts w:ascii="Times New Roman" w:hAnsi="Times New Roman" w:cs="Times New Roman"/>
          <w:sz w:val="24"/>
          <w:szCs w:val="24"/>
        </w:rPr>
        <w:t>rule is complied with the mere</w:t>
      </w:r>
      <w:r>
        <w:rPr>
          <w:rFonts w:ascii="Times New Roman" w:hAnsi="Times New Roman" w:cs="Times New Roman"/>
          <w:sz w:val="24"/>
          <w:szCs w:val="24"/>
        </w:rPr>
        <w:t xml:space="preserve"> pleading over to the merits does</w:t>
      </w:r>
      <w:r w:rsidR="003E02AB">
        <w:rPr>
          <w:rFonts w:ascii="Times New Roman" w:hAnsi="Times New Roman" w:cs="Times New Roman"/>
          <w:sz w:val="24"/>
          <w:szCs w:val="24"/>
        </w:rPr>
        <w:t xml:space="preserve"> not prevent the defendant who i</w:t>
      </w:r>
      <w:r>
        <w:rPr>
          <w:rFonts w:ascii="Times New Roman" w:hAnsi="Times New Roman" w:cs="Times New Roman"/>
          <w:sz w:val="24"/>
          <w:szCs w:val="24"/>
        </w:rPr>
        <w:t xml:space="preserve">s pleading specially, excepting or applying from having </w:t>
      </w:r>
      <w:r w:rsidR="003E02AB">
        <w:rPr>
          <w:rFonts w:ascii="Times New Roman" w:hAnsi="Times New Roman" w:cs="Times New Roman"/>
          <w:sz w:val="24"/>
          <w:szCs w:val="24"/>
        </w:rPr>
        <w:t>t</w:t>
      </w:r>
      <w:r>
        <w:rPr>
          <w:rFonts w:ascii="Times New Roman" w:hAnsi="Times New Roman" w:cs="Times New Roman"/>
          <w:sz w:val="24"/>
          <w:szCs w:val="24"/>
        </w:rPr>
        <w:t>he matter set down before trial.</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notice that paragraph (c) uses the word “application” as one of the options available apart from the consent of the parties to set down the matter. There is nowhere in paragraphs (a) and (b) where an application is referred to as paragraph (a) gives only the option of a consent of the parties to set down while paragraph (b) directs either party to straight away set down the matter in the absence of consent. In my view the framers of the rules must be taken to have been referring to the option of set down available to either party as provided for in para (b). To my mind they appreciated that the current practice at this court is that a party cannot, on its own, set down a matter, but applies to the Registrar for a set down. This is usually done by submitting a blank notice of set down accompanied by a letter requesting s</w:t>
      </w:r>
      <w:r w:rsidR="003E02AB">
        <w:rPr>
          <w:rFonts w:ascii="Times New Roman" w:hAnsi="Times New Roman" w:cs="Times New Roman"/>
          <w:sz w:val="24"/>
          <w:szCs w:val="24"/>
        </w:rPr>
        <w:t>et down. When that happens the R</w:t>
      </w:r>
      <w:r>
        <w:rPr>
          <w:rFonts w:ascii="Times New Roman" w:hAnsi="Times New Roman" w:cs="Times New Roman"/>
          <w:sz w:val="24"/>
          <w:szCs w:val="24"/>
        </w:rPr>
        <w:t>egistrar forwards the matter to the Judge President for allocation to a judge who then sets the matter down.</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celebrated principle of our practice that the rules are made for the benefit of the court and not the other way round. In interpreting the rules the court must</w:t>
      </w:r>
      <w:r w:rsidR="003E02AB">
        <w:rPr>
          <w:rFonts w:ascii="Times New Roman" w:hAnsi="Times New Roman" w:cs="Times New Roman"/>
          <w:sz w:val="24"/>
          <w:szCs w:val="24"/>
        </w:rPr>
        <w:t xml:space="preserve"> construe them</w:t>
      </w:r>
      <w:r>
        <w:rPr>
          <w:rFonts w:ascii="Times New Roman" w:hAnsi="Times New Roman" w:cs="Times New Roman"/>
          <w:sz w:val="24"/>
          <w:szCs w:val="24"/>
        </w:rPr>
        <w:t xml:space="preserve"> in such a way that they do not impede the administration of justice but also that they remain useful to the court. It occurs to me that r 138 must be interpreted to mean that a party who is pleading specially</w:t>
      </w:r>
      <w:r w:rsidR="003E02AB">
        <w:rPr>
          <w:rFonts w:ascii="Times New Roman" w:hAnsi="Times New Roman" w:cs="Times New Roman"/>
          <w:sz w:val="24"/>
          <w:szCs w:val="24"/>
        </w:rPr>
        <w:t>,</w:t>
      </w:r>
      <w:r>
        <w:rPr>
          <w:rFonts w:ascii="Times New Roman" w:hAnsi="Times New Roman" w:cs="Times New Roman"/>
          <w:sz w:val="24"/>
          <w:szCs w:val="24"/>
        </w:rPr>
        <w:t xml:space="preserve"> excepting or applying to strike out is entitled within 14 days of the filing of that pleading, not to set down the matter for hearing as that is not possible at the moment but to apply to the Registrar in whatever form, for set down. If a party has applied for set down, that should be taken as sufficient compliance with r 138 and such a matter should be set down a</w:t>
      </w:r>
      <w:r w:rsidR="003E02AB">
        <w:rPr>
          <w:rFonts w:ascii="Times New Roman" w:hAnsi="Times New Roman" w:cs="Times New Roman"/>
          <w:sz w:val="24"/>
          <w:szCs w:val="24"/>
        </w:rPr>
        <w:t>n</w:t>
      </w:r>
      <w:r>
        <w:rPr>
          <w:rFonts w:ascii="Times New Roman" w:hAnsi="Times New Roman" w:cs="Times New Roman"/>
          <w:sz w:val="24"/>
          <w:szCs w:val="24"/>
        </w:rPr>
        <w:t xml:space="preserve">d resolved before trial. I therefore reject Mr </w:t>
      </w:r>
      <w:r w:rsidRPr="00D102D9">
        <w:rPr>
          <w:rFonts w:ascii="Times New Roman" w:hAnsi="Times New Roman" w:cs="Times New Roman"/>
          <w:i/>
          <w:sz w:val="24"/>
          <w:szCs w:val="24"/>
        </w:rPr>
        <w:t>Uriri</w:t>
      </w:r>
      <w:r w:rsidR="004E79BE">
        <w:rPr>
          <w:rFonts w:ascii="Times New Roman" w:hAnsi="Times New Roman" w:cs="Times New Roman"/>
          <w:i/>
          <w:sz w:val="24"/>
          <w:szCs w:val="24"/>
        </w:rPr>
        <w:t>’s</w:t>
      </w:r>
      <w:r>
        <w:rPr>
          <w:rFonts w:ascii="Times New Roman" w:hAnsi="Times New Roman" w:cs="Times New Roman"/>
          <w:sz w:val="24"/>
          <w:szCs w:val="24"/>
        </w:rPr>
        <w:t xml:space="preserve"> argument.</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point raised relate</w:t>
      </w:r>
      <w:r w:rsidR="004E79BE">
        <w:rPr>
          <w:rFonts w:ascii="Times New Roman" w:hAnsi="Times New Roman" w:cs="Times New Roman"/>
          <w:sz w:val="24"/>
          <w:szCs w:val="24"/>
        </w:rPr>
        <w:t>s</w:t>
      </w:r>
      <w:r>
        <w:rPr>
          <w:rFonts w:ascii="Times New Roman" w:hAnsi="Times New Roman" w:cs="Times New Roman"/>
          <w:sz w:val="24"/>
          <w:szCs w:val="24"/>
        </w:rPr>
        <w:t xml:space="preserve"> to the filing of heads of argument it being common cause that the first defendant’s heads of argument were only filed on 10 July 2018 when its application for set down was submitted on</w:t>
      </w:r>
      <w:r w:rsidR="003E02AB">
        <w:rPr>
          <w:rFonts w:ascii="Times New Roman" w:hAnsi="Times New Roman" w:cs="Times New Roman"/>
          <w:sz w:val="24"/>
          <w:szCs w:val="24"/>
        </w:rPr>
        <w:t xml:space="preserve"> 11 June 2018. The special plea</w:t>
      </w:r>
      <w:r>
        <w:rPr>
          <w:rFonts w:ascii="Times New Roman" w:hAnsi="Times New Roman" w:cs="Times New Roman"/>
          <w:sz w:val="24"/>
          <w:szCs w:val="24"/>
        </w:rPr>
        <w:t xml:space="preserve"> was filed on 21 May 2018 which means that the application for set down was made on </w:t>
      </w:r>
      <w:r w:rsidR="003E02AB">
        <w:rPr>
          <w:rFonts w:ascii="Times New Roman" w:hAnsi="Times New Roman" w:cs="Times New Roman"/>
          <w:sz w:val="24"/>
          <w:szCs w:val="24"/>
        </w:rPr>
        <w:t xml:space="preserve">the </w:t>
      </w:r>
      <w:r>
        <w:rPr>
          <w:rFonts w:ascii="Times New Roman" w:hAnsi="Times New Roman" w:cs="Times New Roman"/>
          <w:sz w:val="24"/>
          <w:szCs w:val="24"/>
        </w:rPr>
        <w:t>14</w:t>
      </w:r>
      <w:r w:rsidRPr="00AC037E">
        <w:rPr>
          <w:rFonts w:ascii="Times New Roman" w:hAnsi="Times New Roman" w:cs="Times New Roman"/>
          <w:sz w:val="24"/>
          <w:szCs w:val="24"/>
          <w:vertAlign w:val="superscript"/>
        </w:rPr>
        <w:t>th</w:t>
      </w:r>
      <w:r>
        <w:rPr>
          <w:rFonts w:ascii="Times New Roman" w:hAnsi="Times New Roman" w:cs="Times New Roman"/>
          <w:sz w:val="24"/>
          <w:szCs w:val="24"/>
        </w:rPr>
        <w:t xml:space="preserve"> day given that 25 May 2018 was a public holiday. I therefore do not agree with Mr </w:t>
      </w:r>
      <w:r w:rsidRPr="00F4161B">
        <w:rPr>
          <w:rFonts w:ascii="Times New Roman" w:hAnsi="Times New Roman" w:cs="Times New Roman"/>
          <w:i/>
          <w:sz w:val="24"/>
          <w:szCs w:val="24"/>
        </w:rPr>
        <w:t xml:space="preserve">Uriri </w:t>
      </w:r>
      <w:r>
        <w:rPr>
          <w:rFonts w:ascii="Times New Roman" w:hAnsi="Times New Roman" w:cs="Times New Roman"/>
          <w:sz w:val="24"/>
          <w:szCs w:val="24"/>
        </w:rPr>
        <w:t>that the application for set down wa</w:t>
      </w:r>
      <w:r w:rsidR="003E02AB">
        <w:rPr>
          <w:rFonts w:ascii="Times New Roman" w:hAnsi="Times New Roman" w:cs="Times New Roman"/>
          <w:sz w:val="24"/>
          <w:szCs w:val="24"/>
        </w:rPr>
        <w:t>s filed out of time and reject</w:t>
      </w:r>
      <w:r>
        <w:rPr>
          <w:rFonts w:ascii="Times New Roman" w:hAnsi="Times New Roman" w:cs="Times New Roman"/>
          <w:sz w:val="24"/>
          <w:szCs w:val="24"/>
        </w:rPr>
        <w:t xml:space="preserve"> that argument as well.</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filing of head</w:t>
      </w:r>
      <w:r w:rsidR="003E02AB">
        <w:rPr>
          <w:rFonts w:ascii="Times New Roman" w:hAnsi="Times New Roman" w:cs="Times New Roman"/>
          <w:sz w:val="24"/>
          <w:szCs w:val="24"/>
        </w:rPr>
        <w:t>s</w:t>
      </w:r>
      <w:r>
        <w:rPr>
          <w:rFonts w:ascii="Times New Roman" w:hAnsi="Times New Roman" w:cs="Times New Roman"/>
          <w:sz w:val="24"/>
          <w:szCs w:val="24"/>
        </w:rPr>
        <w:t xml:space="preserve"> of argument, Mr </w:t>
      </w:r>
      <w:r w:rsidRPr="00F4161B">
        <w:rPr>
          <w:rFonts w:ascii="Times New Roman" w:hAnsi="Times New Roman" w:cs="Times New Roman"/>
          <w:i/>
          <w:sz w:val="24"/>
          <w:szCs w:val="24"/>
        </w:rPr>
        <w:t>Uriri</w:t>
      </w:r>
      <w:r>
        <w:rPr>
          <w:rFonts w:ascii="Times New Roman" w:hAnsi="Times New Roman" w:cs="Times New Roman"/>
          <w:sz w:val="24"/>
          <w:szCs w:val="24"/>
        </w:rPr>
        <w:t xml:space="preserve"> submitted that it is incompetent to set down a special plea for argument before heads of argument are filed by virtue of the peremptory provisions of r 223 as read with r 238 (1a) High Court Rules, 1971. That subrule provides for the setting down of “exceptions, applications to strike out and other applications </w:t>
      </w:r>
      <w:r>
        <w:rPr>
          <w:rFonts w:ascii="Times New Roman" w:hAnsi="Times New Roman" w:cs="Times New Roman"/>
          <w:sz w:val="24"/>
          <w:szCs w:val="24"/>
        </w:rPr>
        <w:lastRenderedPageBreak/>
        <w:t>which are opposed” by filing a notice of set down with the registrar. Nothing turns on that. It is r 238 (1a) will requires</w:t>
      </w:r>
      <w:r w:rsidR="003E02AB">
        <w:rPr>
          <w:rFonts w:ascii="Times New Roman" w:hAnsi="Times New Roman" w:cs="Times New Roman"/>
          <w:sz w:val="24"/>
          <w:szCs w:val="24"/>
        </w:rPr>
        <w:t xml:space="preserve"> a closer</w:t>
      </w:r>
      <w:r>
        <w:rPr>
          <w:rFonts w:ascii="Times New Roman" w:hAnsi="Times New Roman" w:cs="Times New Roman"/>
          <w:sz w:val="24"/>
          <w:szCs w:val="24"/>
        </w:rPr>
        <w:t xml:space="preserve"> examination. It reads:</w:t>
      </w:r>
    </w:p>
    <w:p w:rsidR="008825D1" w:rsidRDefault="008825D1" w:rsidP="008825D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“An application, exception or application to strike out to which subrule (1) applies shall not </w:t>
      </w:r>
      <w:r>
        <w:rPr>
          <w:rFonts w:ascii="Times New Roman" w:hAnsi="Times New Roman" w:cs="Times New Roman"/>
        </w:rPr>
        <w:tab/>
        <w:t xml:space="preserve">be set down for hearing at the instance of the applicant or excipient, as the case may be, </w:t>
      </w:r>
      <w:r>
        <w:rPr>
          <w:rFonts w:ascii="Times New Roman" w:hAnsi="Times New Roman" w:cs="Times New Roman"/>
        </w:rPr>
        <w:tab/>
        <w:t>unless-</w:t>
      </w:r>
    </w:p>
    <w:p w:rsidR="008825D1" w:rsidRDefault="008825D1" w:rsidP="008825D1">
      <w:pPr>
        <w:spacing w:after="0" w:line="240" w:lineRule="auto"/>
        <w:jc w:val="both"/>
        <w:rPr>
          <w:rFonts w:ascii="Times New Roman" w:hAnsi="Times New Roman" w:cs="Times New Roman"/>
        </w:rPr>
      </w:pPr>
    </w:p>
    <w:p w:rsidR="008825D1" w:rsidRDefault="003E02AB" w:rsidP="008825D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w:t>
      </w:r>
      <w:r w:rsidR="008825D1">
        <w:rPr>
          <w:rFonts w:ascii="Times New Roman" w:hAnsi="Times New Roman" w:cs="Times New Roman"/>
        </w:rPr>
        <w:t>is legal practitioner has filed with the registrar in accordance with subrule (1) –</w:t>
      </w:r>
    </w:p>
    <w:p w:rsidR="008825D1" w:rsidRDefault="003E02AB" w:rsidP="008825D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h</w:t>
      </w:r>
      <w:r w:rsidR="008825D1">
        <w:rPr>
          <w:rFonts w:ascii="Times New Roman" w:hAnsi="Times New Roman" w:cs="Times New Roman"/>
        </w:rPr>
        <w:t xml:space="preserve">eads of argument; and </w:t>
      </w:r>
    </w:p>
    <w:p w:rsidR="008825D1" w:rsidRDefault="003E02AB" w:rsidP="008825D1">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p</w:t>
      </w:r>
      <w:r w:rsidR="008825D1">
        <w:rPr>
          <w:rFonts w:ascii="Times New Roman" w:hAnsi="Times New Roman" w:cs="Times New Roman"/>
        </w:rPr>
        <w:t>roof that a copy of the heads of argument has been delivered to every other party</w:t>
      </w:r>
      <w:r>
        <w:rPr>
          <w:rFonts w:ascii="Times New Roman" w:hAnsi="Times New Roman" w:cs="Times New Roman"/>
        </w:rPr>
        <w:t>;</w:t>
      </w:r>
      <w:r w:rsidR="008825D1">
        <w:rPr>
          <w:rFonts w:ascii="Times New Roman" w:hAnsi="Times New Roman" w:cs="Times New Roman"/>
        </w:rPr>
        <w:t xml:space="preserve"> and</w:t>
      </w:r>
    </w:p>
    <w:p w:rsidR="008825D1" w:rsidRDefault="003E02AB" w:rsidP="008825D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w:t>
      </w:r>
      <w:r w:rsidR="008825D1">
        <w:rPr>
          <w:rFonts w:ascii="Times New Roman" w:hAnsi="Times New Roman" w:cs="Times New Roman"/>
        </w:rPr>
        <w:t>n the case of an application, the pages have been numbered in accordance with paragraph (c) of subrule (1) of rule 227.”</w:t>
      </w:r>
    </w:p>
    <w:p w:rsidR="008825D1" w:rsidRDefault="008825D1" w:rsidP="008825D1">
      <w:pPr>
        <w:pStyle w:val="ListParagraph"/>
        <w:spacing w:after="0" w:line="360" w:lineRule="auto"/>
        <w:ind w:left="0"/>
        <w:jc w:val="both"/>
        <w:rPr>
          <w:rFonts w:ascii="Times New Roman" w:hAnsi="Times New Roman" w:cs="Times New Roman"/>
        </w:rPr>
      </w:pPr>
      <w:r>
        <w:rPr>
          <w:rFonts w:ascii="Times New Roman" w:hAnsi="Times New Roman" w:cs="Times New Roman"/>
        </w:rPr>
        <w:tab/>
      </w:r>
    </w:p>
    <w:p w:rsidR="008825D1" w:rsidRDefault="008825D1" w:rsidP="008825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730A75">
        <w:rPr>
          <w:rFonts w:ascii="Times New Roman" w:hAnsi="Times New Roman" w:cs="Times New Roman"/>
          <w:sz w:val="24"/>
          <w:szCs w:val="24"/>
        </w:rPr>
        <w:t xml:space="preserve">Special pleas are omitted from the application of subrule (1a) of r 238. I agree with Mr </w:t>
      </w:r>
      <w:r w:rsidRPr="00D6013F">
        <w:rPr>
          <w:rFonts w:ascii="Times New Roman" w:hAnsi="Times New Roman" w:cs="Times New Roman"/>
          <w:i/>
          <w:sz w:val="24"/>
          <w:szCs w:val="24"/>
        </w:rPr>
        <w:t>Mushuma</w:t>
      </w:r>
      <w:r w:rsidRPr="00730A75">
        <w:rPr>
          <w:rFonts w:ascii="Times New Roman" w:hAnsi="Times New Roman" w:cs="Times New Roman"/>
          <w:sz w:val="24"/>
          <w:szCs w:val="24"/>
        </w:rPr>
        <w:t xml:space="preserve"> that the omission of a special plea in that subrule is deliberate. Indeed it is a cardinal rule of statutory interpretation that the express mention of one or more things excludes the other</w:t>
      </w:r>
      <w:r w:rsidR="003E02AB">
        <w:rPr>
          <w:rFonts w:ascii="Times New Roman" w:hAnsi="Times New Roman" w:cs="Times New Roman"/>
          <w:sz w:val="24"/>
          <w:szCs w:val="24"/>
        </w:rPr>
        <w:t>s</w:t>
      </w:r>
      <w:r w:rsidRPr="00730A75">
        <w:rPr>
          <w:rFonts w:ascii="Times New Roman" w:hAnsi="Times New Roman" w:cs="Times New Roman"/>
          <w:sz w:val="24"/>
          <w:szCs w:val="24"/>
        </w:rPr>
        <w:t xml:space="preserve"> which are not mentioned. It cannot be seriously argued therefore that the failure to file heads of argument before set down meant that the special plea could not be entertained when the rule relied upon by Mr </w:t>
      </w:r>
      <w:r w:rsidRPr="00730A75">
        <w:rPr>
          <w:rFonts w:ascii="Times New Roman" w:hAnsi="Times New Roman" w:cs="Times New Roman"/>
          <w:i/>
          <w:sz w:val="24"/>
          <w:szCs w:val="24"/>
        </w:rPr>
        <w:t>Uriri</w:t>
      </w:r>
      <w:r w:rsidRPr="00730A75">
        <w:rPr>
          <w:rFonts w:ascii="Times New Roman" w:hAnsi="Times New Roman" w:cs="Times New Roman"/>
          <w:sz w:val="24"/>
          <w:szCs w:val="24"/>
        </w:rPr>
        <w:t xml:space="preserve"> clearly does not include special pleas</w:t>
      </w:r>
      <w:r>
        <w:rPr>
          <w:rFonts w:ascii="Times New Roman" w:hAnsi="Times New Roman" w:cs="Times New Roman"/>
          <w:sz w:val="24"/>
          <w:szCs w:val="24"/>
        </w:rPr>
        <w:t>.</w:t>
      </w:r>
    </w:p>
    <w:p w:rsidR="008825D1" w:rsidRDefault="008825D1" w:rsidP="008825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There is a reason why special pleas are omitted from the rule requiring heads of argument to be filed before set down. It is because they are distinct from exceptions and applications to strike out and the defence raised by </w:t>
      </w:r>
      <w:r w:rsidR="003E02AB">
        <w:rPr>
          <w:rFonts w:ascii="Times New Roman" w:hAnsi="Times New Roman" w:cs="Times New Roman"/>
          <w:sz w:val="24"/>
          <w:szCs w:val="24"/>
        </w:rPr>
        <w:t>special plea may not be evident</w:t>
      </w:r>
      <w:r>
        <w:rPr>
          <w:rFonts w:ascii="Times New Roman" w:hAnsi="Times New Roman" w:cs="Times New Roman"/>
          <w:sz w:val="24"/>
          <w:szCs w:val="24"/>
        </w:rPr>
        <w:t xml:space="preserve"> </w:t>
      </w:r>
      <w:r w:rsidRPr="00F27BCD">
        <w:rPr>
          <w:rFonts w:ascii="Times New Roman" w:hAnsi="Times New Roman" w:cs="Times New Roman"/>
          <w:i/>
          <w:sz w:val="24"/>
          <w:szCs w:val="24"/>
        </w:rPr>
        <w:t>ex facie</w:t>
      </w:r>
      <w:r>
        <w:rPr>
          <w:rFonts w:ascii="Times New Roman" w:hAnsi="Times New Roman" w:cs="Times New Roman"/>
          <w:sz w:val="24"/>
          <w:szCs w:val="24"/>
        </w:rPr>
        <w:t xml:space="preserve"> the pleadings and may require some facts to be proved by evidence</w:t>
      </w:r>
      <w:r w:rsidR="003E02AB">
        <w:rPr>
          <w:rFonts w:ascii="Times New Roman" w:hAnsi="Times New Roman" w:cs="Times New Roman"/>
          <w:sz w:val="24"/>
          <w:szCs w:val="24"/>
        </w:rPr>
        <w:t>.</w:t>
      </w:r>
      <w:r>
        <w:rPr>
          <w:rFonts w:ascii="Times New Roman" w:hAnsi="Times New Roman" w:cs="Times New Roman"/>
          <w:sz w:val="24"/>
          <w:szCs w:val="24"/>
        </w:rPr>
        <w:t xml:space="preserve"> </w:t>
      </w:r>
      <w:r w:rsidR="003E02AB">
        <w:rPr>
          <w:rFonts w:ascii="Times New Roman" w:hAnsi="Times New Roman" w:cs="Times New Roman"/>
          <w:sz w:val="24"/>
          <w:szCs w:val="24"/>
        </w:rPr>
        <w:t>In a well-written judg</w:t>
      </w:r>
      <w:r>
        <w:rPr>
          <w:rFonts w:ascii="Times New Roman" w:hAnsi="Times New Roman" w:cs="Times New Roman"/>
          <w:sz w:val="24"/>
          <w:szCs w:val="24"/>
        </w:rPr>
        <w:t xml:space="preserve">ment in </w:t>
      </w:r>
      <w:r w:rsidRPr="00AD7898">
        <w:rPr>
          <w:rFonts w:ascii="Times New Roman" w:hAnsi="Times New Roman" w:cs="Times New Roman"/>
          <w:i/>
          <w:sz w:val="24"/>
          <w:szCs w:val="24"/>
        </w:rPr>
        <w:t>NECCI</w:t>
      </w:r>
      <w:r>
        <w:rPr>
          <w:rFonts w:ascii="Times New Roman" w:hAnsi="Times New Roman" w:cs="Times New Roman"/>
          <w:sz w:val="24"/>
          <w:szCs w:val="24"/>
        </w:rPr>
        <w:t xml:space="preserve"> v </w:t>
      </w:r>
      <w:r w:rsidRPr="00AD7898">
        <w:rPr>
          <w:rFonts w:ascii="Times New Roman" w:hAnsi="Times New Roman" w:cs="Times New Roman"/>
          <w:i/>
          <w:sz w:val="24"/>
          <w:szCs w:val="24"/>
        </w:rPr>
        <w:t>Zimbabwe Naintong International (Pvt) Ltd</w:t>
      </w:r>
      <w:r>
        <w:rPr>
          <w:rFonts w:ascii="Times New Roman" w:hAnsi="Times New Roman" w:cs="Times New Roman"/>
          <w:sz w:val="24"/>
          <w:szCs w:val="24"/>
        </w:rPr>
        <w:t xml:space="preserve"> 2015 (2) ZLR 222 (S) at 235 E-F, </w:t>
      </w:r>
      <w:r w:rsidRPr="00AD7898">
        <w:rPr>
          <w:rFonts w:ascii="Times New Roman" w:hAnsi="Times New Roman" w:cs="Times New Roman"/>
          <w:smallCaps/>
          <w:sz w:val="24"/>
          <w:szCs w:val="24"/>
        </w:rPr>
        <w:t>Patel</w:t>
      </w:r>
      <w:r>
        <w:rPr>
          <w:rFonts w:ascii="Times New Roman" w:hAnsi="Times New Roman" w:cs="Times New Roman"/>
          <w:sz w:val="24"/>
          <w:szCs w:val="24"/>
        </w:rPr>
        <w:t xml:space="preserve"> JA makes a very clear distinction between the 2 sets of pleadings;</w:t>
      </w:r>
    </w:p>
    <w:p w:rsidR="008825D1" w:rsidRDefault="008825D1" w:rsidP="008825D1">
      <w:pPr>
        <w:pStyle w:val="ListParagraph"/>
        <w:spacing w:after="0" w:line="240" w:lineRule="auto"/>
        <w:jc w:val="both"/>
        <w:rPr>
          <w:rFonts w:ascii="Times New Roman" w:hAnsi="Times New Roman" w:cs="Times New Roman"/>
        </w:rPr>
      </w:pPr>
      <w:r>
        <w:rPr>
          <w:rFonts w:ascii="Times New Roman" w:hAnsi="Times New Roman" w:cs="Times New Roman"/>
        </w:rPr>
        <w:t xml:space="preserve">“As a general rule, exceptions taken by a defendant must be limited to objections or defences that arise </w:t>
      </w:r>
      <w:r w:rsidRPr="000D40D9">
        <w:rPr>
          <w:rFonts w:ascii="Times New Roman" w:hAnsi="Times New Roman" w:cs="Times New Roman"/>
          <w:i/>
        </w:rPr>
        <w:t>ex facie</w:t>
      </w:r>
      <w:r>
        <w:rPr>
          <w:rFonts w:ascii="Times New Roman" w:hAnsi="Times New Roman" w:cs="Times New Roman"/>
        </w:rPr>
        <w:t xml:space="preserve"> the declaration itself. These would include averments that the declaration or part thereof does not disclose a valid cause of action or is vague and embarrassing. On the other hand, where the point taken constitutes a special defence, </w:t>
      </w:r>
      <w:r w:rsidR="003E02AB">
        <w:rPr>
          <w:rFonts w:ascii="Times New Roman" w:hAnsi="Times New Roman" w:cs="Times New Roman"/>
        </w:rPr>
        <w:t>such as absence of jurisdiction</w:t>
      </w:r>
      <w:r>
        <w:rPr>
          <w:rFonts w:ascii="Times New Roman" w:hAnsi="Times New Roman" w:cs="Times New Roman"/>
        </w:rPr>
        <w:t xml:space="preserve">, </w:t>
      </w:r>
      <w:r w:rsidRPr="004179F2">
        <w:rPr>
          <w:rFonts w:ascii="Times New Roman" w:hAnsi="Times New Roman" w:cs="Times New Roman"/>
          <w:i/>
        </w:rPr>
        <w:t>res judicata</w:t>
      </w:r>
      <w:r w:rsidR="003E02AB">
        <w:rPr>
          <w:rFonts w:ascii="Times New Roman" w:hAnsi="Times New Roman" w:cs="Times New Roman"/>
        </w:rPr>
        <w:t xml:space="preserve"> or prescription (c</w:t>
      </w:r>
      <w:r>
        <w:rPr>
          <w:rFonts w:ascii="Times New Roman" w:hAnsi="Times New Roman" w:cs="Times New Roman"/>
        </w:rPr>
        <w:t>f the pleas referred to above, as discussed by Herbestein and Van Winsen, (</w:t>
      </w:r>
      <w:r w:rsidR="003E02AB">
        <w:rPr>
          <w:rFonts w:ascii="Times New Roman" w:hAnsi="Times New Roman" w:cs="Times New Roman"/>
          <w:i/>
        </w:rPr>
        <w:t>loc</w:t>
      </w:r>
      <w:r w:rsidRPr="004179F2">
        <w:rPr>
          <w:rFonts w:ascii="Times New Roman" w:hAnsi="Times New Roman" w:cs="Times New Roman"/>
          <w:i/>
        </w:rPr>
        <w:t>cit</w:t>
      </w:r>
      <w:r>
        <w:rPr>
          <w:rFonts w:ascii="Times New Roman" w:hAnsi="Times New Roman" w:cs="Times New Roman"/>
        </w:rPr>
        <w:t>), the procedure to be follows</w:t>
      </w:r>
      <w:r w:rsidRPr="004E79BE">
        <w:rPr>
          <w:rFonts w:ascii="Times New Roman" w:hAnsi="Times New Roman" w:cs="Times New Roman"/>
        </w:rPr>
        <w:t xml:space="preserve"> </w:t>
      </w:r>
      <w:r w:rsidRPr="00F27BCD">
        <w:rPr>
          <w:rFonts w:ascii="Times New Roman" w:hAnsi="Times New Roman" w:cs="Times New Roman"/>
          <w:u w:val="single"/>
        </w:rPr>
        <w:t>is</w:t>
      </w:r>
      <w:r w:rsidR="003E02AB">
        <w:rPr>
          <w:rFonts w:ascii="Times New Roman" w:hAnsi="Times New Roman" w:cs="Times New Roman"/>
        </w:rPr>
        <w:t xml:space="preserve"> by way of special plea</w:t>
      </w:r>
      <w:r>
        <w:rPr>
          <w:rFonts w:ascii="Times New Roman" w:hAnsi="Times New Roman" w:cs="Times New Roman"/>
        </w:rPr>
        <w:t>. These are instances where the def</w:t>
      </w:r>
      <w:r w:rsidR="00474AA0">
        <w:rPr>
          <w:rFonts w:ascii="Times New Roman" w:hAnsi="Times New Roman" w:cs="Times New Roman"/>
        </w:rPr>
        <w:t>ence relied upon is not evident</w:t>
      </w:r>
      <w:r>
        <w:rPr>
          <w:rFonts w:ascii="Times New Roman" w:hAnsi="Times New Roman" w:cs="Times New Roman"/>
        </w:rPr>
        <w:t xml:space="preserve"> </w:t>
      </w:r>
      <w:r w:rsidRPr="004179F2">
        <w:rPr>
          <w:rFonts w:ascii="Times New Roman" w:hAnsi="Times New Roman" w:cs="Times New Roman"/>
          <w:i/>
        </w:rPr>
        <w:t xml:space="preserve">ex facie </w:t>
      </w:r>
      <w:r>
        <w:rPr>
          <w:rFonts w:ascii="Times New Roman" w:hAnsi="Times New Roman" w:cs="Times New Roman"/>
        </w:rPr>
        <w:t>the declaration and involves the averment of som</w:t>
      </w:r>
      <w:r w:rsidR="00474AA0">
        <w:rPr>
          <w:rFonts w:ascii="Times New Roman" w:hAnsi="Times New Roman" w:cs="Times New Roman"/>
        </w:rPr>
        <w:t>e new fact or facts to be proved</w:t>
      </w:r>
      <w:r>
        <w:rPr>
          <w:rFonts w:ascii="Times New Roman" w:hAnsi="Times New Roman" w:cs="Times New Roman"/>
        </w:rPr>
        <w:t xml:space="preserve"> with fresh matter. The procedure by way </w:t>
      </w:r>
      <w:r w:rsidR="00474AA0">
        <w:rPr>
          <w:rFonts w:ascii="Times New Roman" w:hAnsi="Times New Roman" w:cs="Times New Roman"/>
        </w:rPr>
        <w:t>of special plea</w:t>
      </w:r>
      <w:r>
        <w:rPr>
          <w:rFonts w:ascii="Times New Roman" w:hAnsi="Times New Roman" w:cs="Times New Roman"/>
        </w:rPr>
        <w:t xml:space="preserve"> enables the plaintiff to rebut the defence raised by replication and the adduction of further evidence where necessary. In exceptional cases, however, where the special defence in question is apparent </w:t>
      </w:r>
      <w:r w:rsidRPr="00F27BCD">
        <w:rPr>
          <w:rFonts w:ascii="Times New Roman" w:hAnsi="Times New Roman" w:cs="Times New Roman"/>
          <w:i/>
        </w:rPr>
        <w:t>ex facie</w:t>
      </w:r>
      <w:r>
        <w:rPr>
          <w:rFonts w:ascii="Times New Roman" w:hAnsi="Times New Roman" w:cs="Times New Roman"/>
        </w:rPr>
        <w:t xml:space="preserve"> the declaration itself, the court may allow the matter to be decided on exception. This is subject to the qualification that the plaintiff has nothing to adduce in rebuttal and will not be prejudiced by a decision being taken on exception.”  </w:t>
      </w:r>
    </w:p>
    <w:p w:rsidR="008825D1" w:rsidRDefault="008825D1" w:rsidP="008825D1">
      <w:pPr>
        <w:pStyle w:val="ListParagraph"/>
        <w:spacing w:after="0" w:line="240" w:lineRule="auto"/>
        <w:jc w:val="both"/>
        <w:rPr>
          <w:rFonts w:ascii="Times New Roman" w:hAnsi="Times New Roman" w:cs="Times New Roman"/>
        </w:rPr>
      </w:pPr>
    </w:p>
    <w:p w:rsidR="008825D1" w:rsidRDefault="008825D1" w:rsidP="008825D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the first defendant was not constrained to file heads of </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argument before applying for set down. As a corollary to that the absence of heads of argument did not preclude the set down of the matter. The matter was properly set down. Even if I were wrong in arriving at that conclusion, this is a matter in which I would still invoke the provisions of r 4</w:t>
      </w:r>
      <w:r w:rsidR="00474AA0">
        <w:rPr>
          <w:rFonts w:ascii="Times New Roman" w:hAnsi="Times New Roman" w:cs="Times New Roman"/>
          <w:sz w:val="24"/>
          <w:szCs w:val="24"/>
        </w:rPr>
        <w:t xml:space="preserve">C </w:t>
      </w:r>
      <w:r>
        <w:rPr>
          <w:rFonts w:ascii="Times New Roman" w:hAnsi="Times New Roman" w:cs="Times New Roman"/>
          <w:sz w:val="24"/>
          <w:szCs w:val="24"/>
        </w:rPr>
        <w:t>and allow the hearing and determination of the matter for 2 reasons. The first one is that both parties managed to file their heads</w:t>
      </w:r>
      <w:r w:rsidR="00474AA0">
        <w:rPr>
          <w:rFonts w:ascii="Times New Roman" w:hAnsi="Times New Roman" w:cs="Times New Roman"/>
          <w:sz w:val="24"/>
          <w:szCs w:val="24"/>
        </w:rPr>
        <w:t xml:space="preserve"> of argument a</w:t>
      </w:r>
      <w:r>
        <w:rPr>
          <w:rFonts w:ascii="Times New Roman" w:hAnsi="Times New Roman" w:cs="Times New Roman"/>
          <w:sz w:val="24"/>
          <w:szCs w:val="24"/>
        </w:rPr>
        <w:t>head of the set down date and I have had the benefit of them. None of them would be prejudiced.</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one is that the special defence raised is so clear</w:t>
      </w:r>
      <w:r w:rsidR="00474AA0">
        <w:rPr>
          <w:rFonts w:ascii="Times New Roman" w:hAnsi="Times New Roman" w:cs="Times New Roman"/>
          <w:sz w:val="24"/>
          <w:szCs w:val="24"/>
        </w:rPr>
        <w:t>,</w:t>
      </w:r>
      <w:r>
        <w:rPr>
          <w:rFonts w:ascii="Times New Roman" w:hAnsi="Times New Roman" w:cs="Times New Roman"/>
          <w:sz w:val="24"/>
          <w:szCs w:val="24"/>
        </w:rPr>
        <w:t xml:space="preserve"> meritable and completely disposes of the matter to such an extent that it would be a travesty of justice to defer it to trial, a trial which will never be. In the process the matter will undeservedly remain on the list of causes awaiting trial when it should not be. </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Regarding the special defence of prescription Mr </w:t>
      </w:r>
      <w:r w:rsidRPr="00645AEF">
        <w:rPr>
          <w:rFonts w:ascii="Times New Roman" w:hAnsi="Times New Roman" w:cs="Times New Roman"/>
          <w:i/>
          <w:sz w:val="24"/>
          <w:szCs w:val="24"/>
        </w:rPr>
        <w:t>Uriri</w:t>
      </w:r>
      <w:r>
        <w:rPr>
          <w:rFonts w:ascii="Times New Roman" w:hAnsi="Times New Roman" w:cs="Times New Roman"/>
          <w:sz w:val="24"/>
          <w:szCs w:val="24"/>
        </w:rPr>
        <w:t xml:space="preserve"> said very little. In fact it would be fair to say that no confidence whatsoever is exhibited in the single and half-hearted argument that the claim is not prescribed because prescription should be taken to have only started running on 5 October 2017, when the default judgment obtained by the plaintiff was rescinded. I completely disagree. In terms of s 15 (d) of the Prescription Act [</w:t>
      </w:r>
      <w:r>
        <w:rPr>
          <w:rFonts w:ascii="Times New Roman" w:hAnsi="Times New Roman" w:cs="Times New Roman"/>
          <w:i/>
          <w:sz w:val="24"/>
          <w:szCs w:val="24"/>
        </w:rPr>
        <w:t>Chapter 8:11</w:t>
      </w:r>
      <w:r>
        <w:rPr>
          <w:rFonts w:ascii="Times New Roman" w:hAnsi="Times New Roman" w:cs="Times New Roman"/>
          <w:sz w:val="24"/>
          <w:szCs w:val="24"/>
        </w:rPr>
        <w:t xml:space="preserve">] the period of prescription of any debt is 3 years. Debt is defined to include anything which may be sued for </w:t>
      </w:r>
      <w:r w:rsidR="00474AA0">
        <w:rPr>
          <w:rFonts w:ascii="Times New Roman" w:hAnsi="Times New Roman" w:cs="Times New Roman"/>
          <w:sz w:val="24"/>
          <w:szCs w:val="24"/>
        </w:rPr>
        <w:t>or</w:t>
      </w:r>
      <w:r w:rsidR="004E79BE">
        <w:rPr>
          <w:rFonts w:ascii="Times New Roman" w:hAnsi="Times New Roman" w:cs="Times New Roman"/>
          <w:sz w:val="24"/>
          <w:szCs w:val="24"/>
        </w:rPr>
        <w:t xml:space="preserve"> </w:t>
      </w:r>
      <w:r>
        <w:rPr>
          <w:rFonts w:ascii="Times New Roman" w:hAnsi="Times New Roman" w:cs="Times New Roman"/>
          <w:sz w:val="24"/>
          <w:szCs w:val="24"/>
        </w:rPr>
        <w:t xml:space="preserve">claimed by reason of an obligation arising from statute, contract, delict or otherwise. There is therefore no doubt that the plaintiff’s claim prescribes after 3 years from the time the cause of action arose. I find, without hesitation, that the cause of action arose on 1 June 2012 when the plaintiff paid the full purchase price and, as he pleads, was entitled to take transfer. Unless prescription was interrupted by any </w:t>
      </w:r>
      <w:r w:rsidR="00474AA0">
        <w:rPr>
          <w:rFonts w:ascii="Times New Roman" w:hAnsi="Times New Roman" w:cs="Times New Roman"/>
          <w:sz w:val="24"/>
          <w:szCs w:val="24"/>
        </w:rPr>
        <w:t xml:space="preserve">of the </w:t>
      </w:r>
      <w:r>
        <w:rPr>
          <w:rFonts w:ascii="Times New Roman" w:hAnsi="Times New Roman" w:cs="Times New Roman"/>
          <w:sz w:val="24"/>
          <w:szCs w:val="24"/>
        </w:rPr>
        <w:t>legally recognised events provided for in s 19 of the Act, the plaintiff’s claim would prescribe in June 2015 when the 3 year period expired.</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which arises is whether prescription was interrupted. In terms of s 19:</w:t>
      </w:r>
    </w:p>
    <w:p w:rsidR="008825D1" w:rsidRDefault="008825D1" w:rsidP="008825D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w:t>
      </w:r>
    </w:p>
    <w:p w:rsidR="008825D1" w:rsidRDefault="008825D1" w:rsidP="008825D1">
      <w:pPr>
        <w:spacing w:after="0" w:line="24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The running of prescription shall, subject to subsection (3), be interrupted by the </w:t>
      </w:r>
    </w:p>
    <w:p w:rsidR="008825D1" w:rsidRDefault="008825D1" w:rsidP="008825D1">
      <w:pPr>
        <w:spacing w:after="0" w:line="240" w:lineRule="auto"/>
        <w:ind w:left="720" w:firstLine="720"/>
        <w:jc w:val="both"/>
        <w:rPr>
          <w:rFonts w:ascii="Times New Roman" w:hAnsi="Times New Roman" w:cs="Times New Roman"/>
          <w:sz w:val="24"/>
          <w:szCs w:val="24"/>
        </w:rPr>
      </w:pPr>
      <w:r>
        <w:rPr>
          <w:rFonts w:ascii="Times New Roman" w:hAnsi="Times New Roman" w:cs="Times New Roman"/>
        </w:rPr>
        <w:t>service on the debtor of any process whereby the creditor claims payment of the debt.</w:t>
      </w:r>
      <w:r>
        <w:rPr>
          <w:rFonts w:ascii="Times New Roman" w:hAnsi="Times New Roman" w:cs="Times New Roman"/>
          <w:sz w:val="24"/>
          <w:szCs w:val="24"/>
        </w:rPr>
        <w:t xml:space="preserve"> </w:t>
      </w:r>
    </w:p>
    <w:p w:rsidR="008825D1" w:rsidRDefault="008825D1" w:rsidP="008825D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Unless the debtor acknowledges liability, the interruption of prescription in terms of subsection (2) shall lapse and the running of prescription shall not be deemed to have been interrupted, if the creditor -  </w:t>
      </w:r>
    </w:p>
    <w:p w:rsidR="008825D1" w:rsidRDefault="008825D1" w:rsidP="008825D1">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does not successfully prosecute his claim under the process in question to final judgment; or</w:t>
      </w:r>
    </w:p>
    <w:p w:rsidR="008825D1" w:rsidRDefault="008825D1" w:rsidP="008825D1">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successfully prosecutes his claim under the process in question to final judgment, but abandons the judgment or the judgment is set aside.”</w:t>
      </w:r>
    </w:p>
    <w:p w:rsidR="008825D1" w:rsidRDefault="008825D1" w:rsidP="008825D1">
      <w:pPr>
        <w:spacing w:after="0" w:line="240" w:lineRule="auto"/>
        <w:ind w:left="2160" w:hanging="720"/>
        <w:jc w:val="both"/>
        <w:rPr>
          <w:rFonts w:ascii="Times New Roman" w:hAnsi="Times New Roman" w:cs="Times New Roman"/>
          <w:sz w:val="24"/>
          <w:szCs w:val="24"/>
        </w:rPr>
      </w:pP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have said that this court, per </w:t>
      </w:r>
      <w:r w:rsidRPr="00285538">
        <w:rPr>
          <w:rFonts w:ascii="Times New Roman" w:hAnsi="Times New Roman" w:cs="Times New Roman"/>
          <w:smallCaps/>
          <w:sz w:val="24"/>
          <w:szCs w:val="24"/>
        </w:rPr>
        <w:t>Makoni</w:t>
      </w:r>
      <w:r>
        <w:rPr>
          <w:rFonts w:ascii="Times New Roman" w:hAnsi="Times New Roman" w:cs="Times New Roman"/>
          <w:sz w:val="24"/>
          <w:szCs w:val="24"/>
        </w:rPr>
        <w:t xml:space="preserve"> J (as she then was)</w:t>
      </w:r>
      <w:r w:rsidR="00474AA0">
        <w:rPr>
          <w:rFonts w:ascii="Times New Roman" w:hAnsi="Times New Roman" w:cs="Times New Roman"/>
          <w:sz w:val="24"/>
          <w:szCs w:val="24"/>
        </w:rPr>
        <w:t>,</w:t>
      </w:r>
      <w:r>
        <w:rPr>
          <w:rFonts w:ascii="Times New Roman" w:hAnsi="Times New Roman" w:cs="Times New Roman"/>
          <w:sz w:val="24"/>
          <w:szCs w:val="24"/>
        </w:rPr>
        <w:t xml:space="preserve"> has already determined that the plaintiff’s summons in HC 2518/15 was not properly served on the first defendant. It could only make that finding because the plaintiff deliberately ignored the first defendant’s address in Harare which was known to him in favour of a tryst with the second defendant at an address in Mutare. Prescriptio</w:t>
      </w:r>
      <w:r w:rsidR="00474AA0">
        <w:rPr>
          <w:rFonts w:ascii="Times New Roman" w:hAnsi="Times New Roman" w:cs="Times New Roman"/>
          <w:sz w:val="24"/>
          <w:szCs w:val="24"/>
        </w:rPr>
        <w:t>n was therefore not interrupted</w:t>
      </w:r>
      <w:r>
        <w:rPr>
          <w:rFonts w:ascii="Times New Roman" w:hAnsi="Times New Roman" w:cs="Times New Roman"/>
          <w:sz w:val="24"/>
          <w:szCs w:val="24"/>
        </w:rPr>
        <w:t xml:space="preserve"> by service of process. In any event that is a different process from the one before me which is being impugned and would be of no use to the plaintiff unless if it was successfully prosecuted as provided for in subs (3). It was not. The issuance of that process came to nothing because the default judgment was rescinded after which the judicial process was not pursued. It occurs to me that it could not be pursued at all because the plaintiff was aware of this court’s finding that there had been no proper service of that summons. Attempting to serve it outside th</w:t>
      </w:r>
      <w:r w:rsidR="00474AA0">
        <w:rPr>
          <w:rFonts w:ascii="Times New Roman" w:hAnsi="Times New Roman" w:cs="Times New Roman"/>
          <w:sz w:val="24"/>
          <w:szCs w:val="24"/>
        </w:rPr>
        <w:t>e 3 year prescriptive</w:t>
      </w:r>
      <w:r>
        <w:rPr>
          <w:rFonts w:ascii="Times New Roman" w:hAnsi="Times New Roman" w:cs="Times New Roman"/>
          <w:sz w:val="24"/>
          <w:szCs w:val="24"/>
        </w:rPr>
        <w:t xml:space="preserve"> period would be met with a similar special plea of prescription.</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merit in the argument that the subsistence of the default judgment which has already been found to have been erroneously sought </w:t>
      </w:r>
      <w:r w:rsidR="00474AA0">
        <w:rPr>
          <w:rFonts w:ascii="Times New Roman" w:hAnsi="Times New Roman" w:cs="Times New Roman"/>
          <w:sz w:val="24"/>
          <w:szCs w:val="24"/>
        </w:rPr>
        <w:t xml:space="preserve">and </w:t>
      </w:r>
      <w:r>
        <w:rPr>
          <w:rFonts w:ascii="Times New Roman" w:hAnsi="Times New Roman" w:cs="Times New Roman"/>
          <w:sz w:val="24"/>
          <w:szCs w:val="24"/>
        </w:rPr>
        <w:t>erroneous</w:t>
      </w:r>
      <w:r w:rsidR="004E79BE">
        <w:rPr>
          <w:rFonts w:ascii="Times New Roman" w:hAnsi="Times New Roman" w:cs="Times New Roman"/>
          <w:sz w:val="24"/>
          <w:szCs w:val="24"/>
        </w:rPr>
        <w:t>ly</w:t>
      </w:r>
      <w:r>
        <w:rPr>
          <w:rFonts w:ascii="Times New Roman" w:hAnsi="Times New Roman" w:cs="Times New Roman"/>
          <w:sz w:val="24"/>
          <w:szCs w:val="24"/>
        </w:rPr>
        <w:t xml:space="preserve"> granted and rescinded in terms of r 449 did anything to interrupt prescription. The plaintiff’s claim is prescribed. </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said that the plaintiff has been advised twice by this court that his claim for transfer is devoid of merit. He has previously been lumbered with p</w:t>
      </w:r>
      <w:r w:rsidR="00474AA0">
        <w:rPr>
          <w:rFonts w:ascii="Times New Roman" w:hAnsi="Times New Roman" w:cs="Times New Roman"/>
          <w:sz w:val="24"/>
          <w:szCs w:val="24"/>
        </w:rPr>
        <w:t>uni</w:t>
      </w:r>
      <w:r>
        <w:rPr>
          <w:rFonts w:ascii="Times New Roman" w:hAnsi="Times New Roman" w:cs="Times New Roman"/>
          <w:sz w:val="24"/>
          <w:szCs w:val="24"/>
        </w:rPr>
        <w:t xml:space="preserve">tive costs for that particular reason. He has left an action which he commenced in HC 2518/15 hanging upon realisation that it was prescribed. It was therefore disingenuously in the extreme to commence the same action again in the hope of pulling the wool over the court’s eye and that prescription will not be raised. This is a case calling for an award of admonitory costs in order to register the court’s displeasure at what appears to be </w:t>
      </w:r>
      <w:r w:rsidR="00474AA0">
        <w:rPr>
          <w:rFonts w:ascii="Times New Roman" w:hAnsi="Times New Roman" w:cs="Times New Roman"/>
          <w:sz w:val="24"/>
          <w:szCs w:val="24"/>
        </w:rPr>
        <w:t xml:space="preserve">a </w:t>
      </w:r>
      <w:r>
        <w:rPr>
          <w:rFonts w:ascii="Times New Roman" w:hAnsi="Times New Roman" w:cs="Times New Roman"/>
          <w:sz w:val="24"/>
          <w:szCs w:val="24"/>
        </w:rPr>
        <w:t>blatant abuse of the process of the court.</w:t>
      </w:r>
    </w:p>
    <w:p w:rsidR="008825D1" w:rsidRDefault="008825D1" w:rsidP="008825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8825D1" w:rsidRDefault="008825D1" w:rsidP="008825D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defendant’s special plea be and is hereby upheld.</w:t>
      </w:r>
    </w:p>
    <w:p w:rsidR="008825D1" w:rsidRPr="00A03DC8" w:rsidRDefault="008825D1" w:rsidP="008825D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claim be and is hereby dismissed with costs on a legal practitioner and client scale.  </w:t>
      </w:r>
      <w:r w:rsidRPr="00A03DC8">
        <w:rPr>
          <w:rFonts w:ascii="Times New Roman" w:hAnsi="Times New Roman" w:cs="Times New Roman"/>
          <w:sz w:val="24"/>
          <w:szCs w:val="24"/>
        </w:rPr>
        <w:t xml:space="preserve">        </w:t>
      </w:r>
    </w:p>
    <w:p w:rsidR="008825D1" w:rsidRPr="0079355B" w:rsidRDefault="008825D1" w:rsidP="008825D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 xml:space="preserve">          </w:t>
      </w:r>
      <w:r w:rsidRPr="00645A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825D1" w:rsidRDefault="008825D1" w:rsidP="008825D1">
      <w:pPr>
        <w:spacing w:after="0" w:line="360" w:lineRule="auto"/>
        <w:jc w:val="both"/>
        <w:rPr>
          <w:rFonts w:ascii="Times New Roman" w:hAnsi="Times New Roman" w:cs="Times New Roman"/>
          <w:sz w:val="24"/>
          <w:szCs w:val="24"/>
        </w:rPr>
      </w:pPr>
    </w:p>
    <w:p w:rsidR="008825D1" w:rsidRPr="00DA1B6C" w:rsidRDefault="008825D1" w:rsidP="008825D1">
      <w:pPr>
        <w:spacing w:after="0" w:line="360" w:lineRule="auto"/>
        <w:jc w:val="both"/>
        <w:rPr>
          <w:rFonts w:ascii="Times New Roman" w:hAnsi="Times New Roman" w:cs="Times New Roman"/>
          <w:sz w:val="24"/>
          <w:szCs w:val="24"/>
        </w:rPr>
      </w:pPr>
    </w:p>
    <w:p w:rsidR="00835555" w:rsidRDefault="008825D1" w:rsidP="008825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Mkuhlani Chiperesa Legal Practitioners, </w:t>
      </w:r>
      <w:r>
        <w:rPr>
          <w:rFonts w:ascii="Times New Roman" w:hAnsi="Times New Roman" w:cs="Times New Roman"/>
          <w:sz w:val="24"/>
          <w:szCs w:val="24"/>
        </w:rPr>
        <w:t>plaintiff’s legal practitioners</w:t>
      </w:r>
    </w:p>
    <w:p w:rsidR="00835555" w:rsidRPr="00E1446E" w:rsidRDefault="008825D1" w:rsidP="005D060E">
      <w:pPr>
        <w:spacing w:after="0" w:line="240" w:lineRule="auto"/>
        <w:jc w:val="both"/>
        <w:rPr>
          <w:rFonts w:ascii="Times New Roman" w:hAnsi="Times New Roman" w:cs="Times New Roman"/>
          <w:sz w:val="24"/>
          <w:szCs w:val="24"/>
        </w:rPr>
      </w:pPr>
      <w:r w:rsidRPr="008825D1">
        <w:rPr>
          <w:rFonts w:ascii="Times New Roman" w:hAnsi="Times New Roman" w:cs="Times New Roman"/>
          <w:i/>
          <w:sz w:val="24"/>
          <w:szCs w:val="24"/>
        </w:rPr>
        <w:t>Mushuma Law Chambers</w:t>
      </w:r>
      <w:r>
        <w:rPr>
          <w:rFonts w:ascii="Times New Roman" w:hAnsi="Times New Roman" w:cs="Times New Roman"/>
          <w:sz w:val="24"/>
          <w:szCs w:val="24"/>
        </w:rPr>
        <w:t>, 1</w:t>
      </w:r>
      <w:r w:rsidRPr="008825D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5D060E">
        <w:rPr>
          <w:rFonts w:ascii="Times New Roman" w:hAnsi="Times New Roman" w:cs="Times New Roman"/>
          <w:sz w:val="24"/>
          <w:szCs w:val="24"/>
        </w:rPr>
        <w:t>s legal practitioners</w:t>
      </w:r>
    </w:p>
    <w:sectPr w:rsidR="00835555" w:rsidRPr="00E144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E9" w:rsidRDefault="007D34E9" w:rsidP="00B3723C">
      <w:pPr>
        <w:spacing w:after="0" w:line="240" w:lineRule="auto"/>
      </w:pPr>
      <w:r>
        <w:separator/>
      </w:r>
    </w:p>
  </w:endnote>
  <w:endnote w:type="continuationSeparator" w:id="0">
    <w:p w:rsidR="007D34E9" w:rsidRDefault="007D34E9" w:rsidP="00B3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E9" w:rsidRDefault="007D34E9" w:rsidP="00B3723C">
      <w:pPr>
        <w:spacing w:after="0" w:line="240" w:lineRule="auto"/>
      </w:pPr>
      <w:r>
        <w:separator/>
      </w:r>
    </w:p>
  </w:footnote>
  <w:footnote w:type="continuationSeparator" w:id="0">
    <w:p w:rsidR="007D34E9" w:rsidRDefault="007D34E9" w:rsidP="00B3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682937"/>
      <w:docPartObj>
        <w:docPartGallery w:val="Page Numbers (Top of Page)"/>
        <w:docPartUnique/>
      </w:docPartObj>
    </w:sdtPr>
    <w:sdtEndPr>
      <w:rPr>
        <w:noProof/>
      </w:rPr>
    </w:sdtEndPr>
    <w:sdtContent>
      <w:p w:rsidR="00B3723C" w:rsidRDefault="00B3723C">
        <w:pPr>
          <w:pStyle w:val="Header"/>
          <w:jc w:val="right"/>
          <w:rPr>
            <w:noProof/>
          </w:rPr>
        </w:pPr>
        <w:r>
          <w:fldChar w:fldCharType="begin"/>
        </w:r>
        <w:r>
          <w:instrText xml:space="preserve"> PAGE   \* MERGEFORMAT </w:instrText>
        </w:r>
        <w:r>
          <w:fldChar w:fldCharType="separate"/>
        </w:r>
        <w:r w:rsidR="00CF624B">
          <w:rPr>
            <w:noProof/>
          </w:rPr>
          <w:t>1</w:t>
        </w:r>
        <w:r>
          <w:rPr>
            <w:noProof/>
          </w:rPr>
          <w:fldChar w:fldCharType="end"/>
        </w:r>
      </w:p>
      <w:p w:rsidR="00B3723C" w:rsidRDefault="00B3723C">
        <w:pPr>
          <w:pStyle w:val="Header"/>
          <w:jc w:val="right"/>
          <w:rPr>
            <w:noProof/>
          </w:rPr>
        </w:pPr>
        <w:r>
          <w:rPr>
            <w:noProof/>
          </w:rPr>
          <w:t>HH</w:t>
        </w:r>
        <w:r w:rsidR="00824A12">
          <w:rPr>
            <w:noProof/>
          </w:rPr>
          <w:t xml:space="preserve"> 515-18</w:t>
        </w:r>
      </w:p>
      <w:p w:rsidR="00B3723C" w:rsidRDefault="00B3723C">
        <w:pPr>
          <w:pStyle w:val="Header"/>
          <w:jc w:val="right"/>
        </w:pPr>
        <w:r>
          <w:rPr>
            <w:noProof/>
          </w:rPr>
          <w:t>HC 11350/17</w:t>
        </w:r>
      </w:p>
    </w:sdtContent>
  </w:sdt>
  <w:p w:rsidR="00B3723C" w:rsidRDefault="00B372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EE0"/>
    <w:multiLevelType w:val="hybridMultilevel"/>
    <w:tmpl w:val="479A57CA"/>
    <w:lvl w:ilvl="0" w:tplc="7E8C387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4ED45E5"/>
    <w:multiLevelType w:val="hybridMultilevel"/>
    <w:tmpl w:val="2752BD88"/>
    <w:lvl w:ilvl="0" w:tplc="AA0065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DBB6782"/>
    <w:multiLevelType w:val="hybridMultilevel"/>
    <w:tmpl w:val="3546140A"/>
    <w:lvl w:ilvl="0" w:tplc="EA02F0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EA867B2"/>
    <w:multiLevelType w:val="hybridMultilevel"/>
    <w:tmpl w:val="E1F2A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FC"/>
    <w:rsid w:val="00037D04"/>
    <w:rsid w:val="00037DFC"/>
    <w:rsid w:val="000A4106"/>
    <w:rsid w:val="000B1F5C"/>
    <w:rsid w:val="001F1AE1"/>
    <w:rsid w:val="003A7B21"/>
    <w:rsid w:val="003E02AB"/>
    <w:rsid w:val="00474AA0"/>
    <w:rsid w:val="0048515C"/>
    <w:rsid w:val="004E05D5"/>
    <w:rsid w:val="004E79BE"/>
    <w:rsid w:val="005D060E"/>
    <w:rsid w:val="005F5D39"/>
    <w:rsid w:val="006608DB"/>
    <w:rsid w:val="006634CC"/>
    <w:rsid w:val="006D70F6"/>
    <w:rsid w:val="00782429"/>
    <w:rsid w:val="007D34E9"/>
    <w:rsid w:val="00824A12"/>
    <w:rsid w:val="00835555"/>
    <w:rsid w:val="00835E15"/>
    <w:rsid w:val="00876FB4"/>
    <w:rsid w:val="008825D1"/>
    <w:rsid w:val="009645A4"/>
    <w:rsid w:val="00B3723C"/>
    <w:rsid w:val="00CB1AFC"/>
    <w:rsid w:val="00CF624B"/>
    <w:rsid w:val="00D43B6B"/>
    <w:rsid w:val="00DE1DAA"/>
    <w:rsid w:val="00E1446E"/>
    <w:rsid w:val="00E65A99"/>
    <w:rsid w:val="00ED3C68"/>
    <w:rsid w:val="00F37C24"/>
    <w:rsid w:val="00F40455"/>
    <w:rsid w:val="00F9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1E09E-E3B4-434F-B7F4-16CE85AD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3C"/>
  </w:style>
  <w:style w:type="paragraph" w:styleId="Footer">
    <w:name w:val="footer"/>
    <w:basedOn w:val="Normal"/>
    <w:link w:val="FooterChar"/>
    <w:uiPriority w:val="99"/>
    <w:unhideWhenUsed/>
    <w:rsid w:val="00B3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3C"/>
  </w:style>
  <w:style w:type="paragraph" w:styleId="ListParagraph">
    <w:name w:val="List Paragraph"/>
    <w:basedOn w:val="Normal"/>
    <w:uiPriority w:val="34"/>
    <w:qFormat/>
    <w:rsid w:val="006634CC"/>
    <w:pPr>
      <w:ind w:left="720"/>
      <w:contextualSpacing/>
    </w:pPr>
  </w:style>
  <w:style w:type="paragraph" w:styleId="BalloonText">
    <w:name w:val="Balloon Text"/>
    <w:basedOn w:val="Normal"/>
    <w:link w:val="BalloonTextChar"/>
    <w:uiPriority w:val="99"/>
    <w:semiHidden/>
    <w:unhideWhenUsed/>
    <w:rsid w:val="0003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7D22-DF3B-4B10-A3C0-8D90A29B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2018-09-11T12:41:00Z</cp:lastPrinted>
  <dcterms:created xsi:type="dcterms:W3CDTF">2018-09-13T07:31:00Z</dcterms:created>
  <dcterms:modified xsi:type="dcterms:W3CDTF">2018-09-13T07:31:00Z</dcterms:modified>
</cp:coreProperties>
</file>