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A85" w:rsidRDefault="00F71A7F" w:rsidP="001E7FB5">
      <w:pPr>
        <w:spacing w:after="0" w:line="240" w:lineRule="auto"/>
      </w:pPr>
      <w:bookmarkStart w:id="0" w:name="_GoBack"/>
      <w:bookmarkEnd w:id="0"/>
      <w:r>
        <w:t>SAMUEL CHAKANYUKA</w:t>
      </w:r>
    </w:p>
    <w:p w:rsidR="00304EC5" w:rsidRDefault="00174930" w:rsidP="001E7FB5">
      <w:pPr>
        <w:spacing w:after="0" w:line="240" w:lineRule="auto"/>
      </w:pPr>
      <w:proofErr w:type="gramStart"/>
      <w:r>
        <w:t>and</w:t>
      </w:r>
      <w:proofErr w:type="gramEnd"/>
    </w:p>
    <w:p w:rsidR="00304EC5" w:rsidRDefault="00F71A7F" w:rsidP="001E7FB5">
      <w:pPr>
        <w:spacing w:after="0" w:line="240" w:lineRule="auto"/>
      </w:pPr>
      <w:r>
        <w:t>PRISCILLA CHAKANYUKA</w:t>
      </w:r>
    </w:p>
    <w:p w:rsidR="00304EC5" w:rsidRDefault="00174930" w:rsidP="001E7FB5">
      <w:pPr>
        <w:spacing w:after="0" w:line="240" w:lineRule="auto"/>
      </w:pPr>
      <w:proofErr w:type="gramStart"/>
      <w:r>
        <w:t>versus</w:t>
      </w:r>
      <w:proofErr w:type="gramEnd"/>
    </w:p>
    <w:p w:rsidR="00304EC5" w:rsidRDefault="00F71A7F" w:rsidP="001E7FB5">
      <w:pPr>
        <w:spacing w:after="0" w:line="240" w:lineRule="auto"/>
      </w:pPr>
      <w:r>
        <w:t>THE STATE</w:t>
      </w:r>
    </w:p>
    <w:p w:rsidR="00304EC5" w:rsidRDefault="00304EC5" w:rsidP="001E7FB5">
      <w:pPr>
        <w:spacing w:after="0" w:line="240" w:lineRule="auto"/>
      </w:pPr>
    </w:p>
    <w:p w:rsidR="00304EC5" w:rsidRDefault="00304EC5" w:rsidP="001E7FB5">
      <w:pPr>
        <w:spacing w:after="0" w:line="240" w:lineRule="auto"/>
      </w:pPr>
    </w:p>
    <w:p w:rsidR="001E7FB5" w:rsidRDefault="001E7FB5" w:rsidP="001E7FB5">
      <w:pPr>
        <w:spacing w:after="0" w:line="240" w:lineRule="auto"/>
      </w:pPr>
    </w:p>
    <w:p w:rsidR="00304EC5" w:rsidRPr="00911EE0" w:rsidRDefault="00304EC5" w:rsidP="001E7FB5">
      <w:pPr>
        <w:spacing w:after="0" w:line="240" w:lineRule="auto"/>
        <w:jc w:val="both"/>
      </w:pPr>
      <w:r w:rsidRPr="00911EE0">
        <w:t>HIGH COURT OF ZIMBABWE</w:t>
      </w:r>
    </w:p>
    <w:p w:rsidR="00304EC5" w:rsidRPr="00911EE0" w:rsidRDefault="00304EC5" w:rsidP="001E7FB5">
      <w:pPr>
        <w:tabs>
          <w:tab w:val="left" w:pos="5952"/>
        </w:tabs>
        <w:spacing w:after="0" w:line="240" w:lineRule="auto"/>
        <w:jc w:val="both"/>
      </w:pPr>
      <w:r>
        <w:t>TSANGA</w:t>
      </w:r>
      <w:r w:rsidRPr="00911EE0">
        <w:t xml:space="preserve"> J</w:t>
      </w:r>
      <w:r>
        <w:tab/>
      </w:r>
    </w:p>
    <w:p w:rsidR="00304EC5" w:rsidRDefault="00304EC5" w:rsidP="001E7FB5">
      <w:pPr>
        <w:spacing w:after="0" w:line="240" w:lineRule="auto"/>
        <w:jc w:val="both"/>
      </w:pPr>
      <w:r w:rsidRPr="00911EE0">
        <w:t>HARARE</w:t>
      </w:r>
      <w:r w:rsidR="00174930">
        <w:t>,</w:t>
      </w:r>
      <w:r w:rsidRPr="00911EE0">
        <w:t xml:space="preserve"> </w:t>
      </w:r>
      <w:r>
        <w:t>5 &amp; 7</w:t>
      </w:r>
      <w:r w:rsidRPr="00911EE0">
        <w:t xml:space="preserve"> April 2017</w:t>
      </w:r>
    </w:p>
    <w:p w:rsidR="00304EC5" w:rsidRDefault="00304EC5" w:rsidP="001E7FB5">
      <w:pPr>
        <w:spacing w:after="0" w:line="240" w:lineRule="auto"/>
        <w:jc w:val="both"/>
      </w:pPr>
    </w:p>
    <w:p w:rsidR="00304EC5" w:rsidRDefault="00304EC5" w:rsidP="001E7FB5">
      <w:pPr>
        <w:spacing w:after="0" w:line="240" w:lineRule="auto"/>
        <w:jc w:val="both"/>
      </w:pPr>
    </w:p>
    <w:p w:rsidR="001E7FB5" w:rsidRDefault="001E7FB5" w:rsidP="001E7FB5">
      <w:pPr>
        <w:spacing w:after="0" w:line="240" w:lineRule="auto"/>
        <w:jc w:val="both"/>
      </w:pPr>
    </w:p>
    <w:p w:rsidR="00304EC5" w:rsidRDefault="00304EC5" w:rsidP="001E7FB5">
      <w:pPr>
        <w:spacing w:after="0" w:line="240" w:lineRule="auto"/>
        <w:jc w:val="both"/>
        <w:rPr>
          <w:b/>
        </w:rPr>
      </w:pPr>
      <w:r>
        <w:rPr>
          <w:b/>
        </w:rPr>
        <w:t>Appeal</w:t>
      </w:r>
      <w:r w:rsidR="00760BD5">
        <w:rPr>
          <w:b/>
        </w:rPr>
        <w:t xml:space="preserve"> </w:t>
      </w:r>
      <w:r>
        <w:rPr>
          <w:b/>
        </w:rPr>
        <w:t>against</w:t>
      </w:r>
      <w:r w:rsidR="00760BD5">
        <w:rPr>
          <w:b/>
        </w:rPr>
        <w:t xml:space="preserve"> </w:t>
      </w:r>
      <w:r>
        <w:rPr>
          <w:b/>
        </w:rPr>
        <w:t xml:space="preserve">refusal of </w:t>
      </w:r>
      <w:r w:rsidR="00F71A7F">
        <w:rPr>
          <w:b/>
        </w:rPr>
        <w:t>bail pending</w:t>
      </w:r>
      <w:r>
        <w:rPr>
          <w:b/>
        </w:rPr>
        <w:t xml:space="preserve"> appeal</w:t>
      </w:r>
    </w:p>
    <w:p w:rsidR="00304EC5" w:rsidRDefault="00304EC5" w:rsidP="001E7FB5">
      <w:pPr>
        <w:spacing w:after="0" w:line="240" w:lineRule="auto"/>
        <w:jc w:val="both"/>
        <w:rPr>
          <w:b/>
        </w:rPr>
      </w:pPr>
    </w:p>
    <w:p w:rsidR="00304EC5" w:rsidRDefault="00304EC5" w:rsidP="001E7FB5">
      <w:pPr>
        <w:spacing w:after="0" w:line="240" w:lineRule="auto"/>
        <w:jc w:val="both"/>
        <w:rPr>
          <w:b/>
        </w:rPr>
      </w:pPr>
    </w:p>
    <w:p w:rsidR="00304EC5" w:rsidRDefault="00304EC5" w:rsidP="001E7FB5">
      <w:pPr>
        <w:spacing w:after="0" w:line="240" w:lineRule="auto"/>
        <w:jc w:val="both"/>
        <w:rPr>
          <w:b/>
        </w:rPr>
      </w:pPr>
    </w:p>
    <w:p w:rsidR="00304EC5" w:rsidRPr="00911EE0" w:rsidRDefault="003B432F" w:rsidP="001E7FB5">
      <w:pPr>
        <w:spacing w:after="0" w:line="240" w:lineRule="auto"/>
        <w:jc w:val="both"/>
      </w:pPr>
      <w:r>
        <w:rPr>
          <w:i/>
        </w:rPr>
        <w:t>A</w:t>
      </w:r>
      <w:r w:rsidR="007D647D" w:rsidRPr="001E7FB5">
        <w:rPr>
          <w:i/>
        </w:rPr>
        <w:t xml:space="preserve"> </w:t>
      </w:r>
      <w:proofErr w:type="spellStart"/>
      <w:r w:rsidR="007D647D" w:rsidRPr="001E7FB5">
        <w:rPr>
          <w:i/>
        </w:rPr>
        <w:t>Mugiya</w:t>
      </w:r>
      <w:proofErr w:type="spellEnd"/>
      <w:r w:rsidR="001E7FB5">
        <w:t>,</w:t>
      </w:r>
      <w:r w:rsidR="007D647D">
        <w:t xml:space="preserve"> </w:t>
      </w:r>
      <w:r w:rsidR="00304EC5" w:rsidRPr="008A75F7">
        <w:t>for</w:t>
      </w:r>
      <w:r w:rsidR="00304EC5" w:rsidRPr="00911EE0">
        <w:t xml:space="preserve"> </w:t>
      </w:r>
      <w:r w:rsidR="00304EC5">
        <w:t xml:space="preserve">the </w:t>
      </w:r>
      <w:r w:rsidR="00304EC5" w:rsidRPr="00911EE0">
        <w:t>applicant</w:t>
      </w:r>
      <w:r w:rsidR="00304EC5">
        <w:t>s</w:t>
      </w:r>
    </w:p>
    <w:p w:rsidR="00304EC5" w:rsidRPr="008A75F7" w:rsidRDefault="007D647D" w:rsidP="001E7FB5">
      <w:pPr>
        <w:spacing w:after="0" w:line="240" w:lineRule="auto"/>
      </w:pPr>
      <w:r w:rsidRPr="001E7FB5">
        <w:rPr>
          <w:i/>
        </w:rPr>
        <w:t xml:space="preserve">E </w:t>
      </w:r>
      <w:proofErr w:type="spellStart"/>
      <w:r w:rsidRPr="001E7FB5">
        <w:rPr>
          <w:i/>
        </w:rPr>
        <w:t>Mavuto</w:t>
      </w:r>
      <w:proofErr w:type="spellEnd"/>
      <w:r w:rsidR="001E7FB5">
        <w:t>,</w:t>
      </w:r>
      <w:r w:rsidR="00304EC5">
        <w:t xml:space="preserve"> for</w:t>
      </w:r>
      <w:r w:rsidR="00760BD5">
        <w:t xml:space="preserve"> </w:t>
      </w:r>
      <w:r w:rsidR="001E7FB5">
        <w:t xml:space="preserve">the </w:t>
      </w:r>
      <w:r w:rsidR="00304EC5">
        <w:t>respondent</w:t>
      </w:r>
    </w:p>
    <w:p w:rsidR="00304EC5" w:rsidRDefault="00304EC5" w:rsidP="001E7FB5">
      <w:pPr>
        <w:autoSpaceDE w:val="0"/>
        <w:autoSpaceDN w:val="0"/>
        <w:adjustRightInd w:val="0"/>
        <w:spacing w:after="0" w:line="240" w:lineRule="auto"/>
      </w:pPr>
    </w:p>
    <w:p w:rsidR="00304EC5" w:rsidRPr="00911EE0" w:rsidRDefault="00304EC5" w:rsidP="00304EC5">
      <w:pPr>
        <w:autoSpaceDE w:val="0"/>
        <w:autoSpaceDN w:val="0"/>
        <w:adjustRightInd w:val="0"/>
        <w:spacing w:after="0" w:line="240" w:lineRule="auto"/>
      </w:pPr>
    </w:p>
    <w:p w:rsidR="00DF676C" w:rsidRDefault="00304EC5" w:rsidP="00DF676C">
      <w:pPr>
        <w:spacing w:after="0" w:line="360" w:lineRule="auto"/>
        <w:ind w:firstLine="720"/>
        <w:jc w:val="both"/>
      </w:pPr>
      <w:r w:rsidRPr="00911EE0">
        <w:t>TSANGA J:</w:t>
      </w:r>
      <w:r>
        <w:t xml:space="preserve"> </w:t>
      </w:r>
      <w:r w:rsidR="00DF676C">
        <w:t>The a</w:t>
      </w:r>
      <w:r w:rsidR="00F71A7F">
        <w:t>pplicants who</w:t>
      </w:r>
      <w:r w:rsidR="00760BD5">
        <w:t xml:space="preserve"> </w:t>
      </w:r>
      <w:r>
        <w:t>face</w:t>
      </w:r>
      <w:r w:rsidR="00760BD5">
        <w:t xml:space="preserve"> </w:t>
      </w:r>
      <w:r>
        <w:t xml:space="preserve">charges </w:t>
      </w:r>
      <w:r w:rsidR="00F71A7F">
        <w:t>of fraud were</w:t>
      </w:r>
      <w:r w:rsidR="00760BD5">
        <w:t xml:space="preserve"> </w:t>
      </w:r>
      <w:r>
        <w:t>denied</w:t>
      </w:r>
      <w:r w:rsidR="00760BD5">
        <w:t xml:space="preserve"> </w:t>
      </w:r>
      <w:r>
        <w:t>bail</w:t>
      </w:r>
      <w:r w:rsidR="00F71A7F">
        <w:t xml:space="preserve"> </w:t>
      </w:r>
      <w:r w:rsidR="009D3213">
        <w:t>by the</w:t>
      </w:r>
      <w:r w:rsidR="00760BD5">
        <w:t xml:space="preserve"> </w:t>
      </w:r>
      <w:r w:rsidR="00F71A7F">
        <w:t xml:space="preserve">magistrate’s court. </w:t>
      </w:r>
      <w:r w:rsidR="00FE701E">
        <w:t>In order</w:t>
      </w:r>
      <w:r w:rsidR="00760BD5">
        <w:t xml:space="preserve"> </w:t>
      </w:r>
      <w:r w:rsidR="00FE701E">
        <w:t>to</w:t>
      </w:r>
      <w:r w:rsidR="00760BD5">
        <w:t xml:space="preserve"> </w:t>
      </w:r>
      <w:r w:rsidR="00F71A7F">
        <w:t>reverse</w:t>
      </w:r>
      <w:r w:rsidR="00760BD5">
        <w:t xml:space="preserve"> </w:t>
      </w:r>
      <w:r w:rsidR="00FE701E">
        <w:t>the</w:t>
      </w:r>
      <w:r w:rsidR="00760BD5">
        <w:t xml:space="preserve"> </w:t>
      </w:r>
      <w:r w:rsidR="00FE701E">
        <w:t>findings</w:t>
      </w:r>
      <w:r w:rsidR="00760BD5">
        <w:t xml:space="preserve"> </w:t>
      </w:r>
      <w:r w:rsidR="00FE701E">
        <w:t>of the</w:t>
      </w:r>
      <w:r w:rsidR="00F71A7F">
        <w:t xml:space="preserve"> lower </w:t>
      </w:r>
      <w:r w:rsidR="00FE701E">
        <w:t>court</w:t>
      </w:r>
      <w:r w:rsidR="00F71A7F">
        <w:t xml:space="preserve"> </w:t>
      </w:r>
      <w:r w:rsidR="00FE701E">
        <w:t>it is</w:t>
      </w:r>
      <w:r w:rsidR="00760BD5">
        <w:t xml:space="preserve"> </w:t>
      </w:r>
      <w:r w:rsidR="00FE701E">
        <w:t>trite</w:t>
      </w:r>
      <w:r w:rsidR="00760BD5">
        <w:t xml:space="preserve"> </w:t>
      </w:r>
      <w:r w:rsidR="00FE701E">
        <w:t>that</w:t>
      </w:r>
      <w:r w:rsidR="00760BD5">
        <w:t xml:space="preserve"> </w:t>
      </w:r>
      <w:r w:rsidR="00FE701E">
        <w:t>the</w:t>
      </w:r>
      <w:r w:rsidR="00760BD5">
        <w:t xml:space="preserve"> </w:t>
      </w:r>
      <w:r w:rsidR="00FE701E">
        <w:t>misdirection</w:t>
      </w:r>
      <w:r w:rsidR="00F71A7F">
        <w:t xml:space="preserve"> complained</w:t>
      </w:r>
      <w:r w:rsidR="00FE701E">
        <w:t xml:space="preserve"> of</w:t>
      </w:r>
      <w:r w:rsidR="00F71A7F">
        <w:t xml:space="preserve"> </w:t>
      </w:r>
      <w:r w:rsidR="00FE701E">
        <w:t>must</w:t>
      </w:r>
      <w:r w:rsidR="00760BD5">
        <w:t xml:space="preserve"> </w:t>
      </w:r>
      <w:r w:rsidR="00FE701E">
        <w:t>appear</w:t>
      </w:r>
      <w:r w:rsidR="00F71A7F">
        <w:t xml:space="preserve"> </w:t>
      </w:r>
      <w:r w:rsidR="00FE701E">
        <w:t>from the</w:t>
      </w:r>
      <w:r w:rsidR="00760BD5">
        <w:t xml:space="preserve"> </w:t>
      </w:r>
      <w:r w:rsidR="00FE701E">
        <w:t xml:space="preserve">record </w:t>
      </w:r>
      <w:r w:rsidR="00F71A7F">
        <w:t>of</w:t>
      </w:r>
      <w:r w:rsidR="00FE701E">
        <w:t xml:space="preserve"> proceedings</w:t>
      </w:r>
      <w:r w:rsidR="00760BD5">
        <w:t xml:space="preserve"> </w:t>
      </w:r>
      <w:r w:rsidR="00FE701E">
        <w:t>in the</w:t>
      </w:r>
      <w:r w:rsidR="00760BD5">
        <w:t xml:space="preserve"> </w:t>
      </w:r>
      <w:r w:rsidR="002B1EE5">
        <w:t>exercise by</w:t>
      </w:r>
      <w:r w:rsidR="000D3B7B">
        <w:t xml:space="preserve"> the court </w:t>
      </w:r>
      <w:r w:rsidR="00FE701E">
        <w:t>of</w:t>
      </w:r>
      <w:r w:rsidR="00760BD5">
        <w:t xml:space="preserve"> </w:t>
      </w:r>
      <w:r w:rsidR="00FE701E">
        <w:t>its</w:t>
      </w:r>
      <w:r w:rsidR="00F71A7F">
        <w:t xml:space="preserve"> </w:t>
      </w:r>
      <w:r w:rsidR="00FE701E">
        <w:t xml:space="preserve">discretion. </w:t>
      </w:r>
      <w:proofErr w:type="gramStart"/>
      <w:r w:rsidR="00FE701E">
        <w:t xml:space="preserve">See </w:t>
      </w:r>
      <w:r w:rsidR="00FE701E" w:rsidRPr="00210E1D">
        <w:rPr>
          <w:i/>
        </w:rPr>
        <w:t>Barrows</w:t>
      </w:r>
      <w:r w:rsidR="00760BD5" w:rsidRPr="00210E1D">
        <w:rPr>
          <w:i/>
        </w:rPr>
        <w:t xml:space="preserve"> </w:t>
      </w:r>
      <w:r w:rsidR="00FE701E" w:rsidRPr="00210E1D">
        <w:rPr>
          <w:i/>
        </w:rPr>
        <w:t>&amp; Another</w:t>
      </w:r>
      <w:r w:rsidR="00760BD5" w:rsidRPr="00210E1D">
        <w:rPr>
          <w:i/>
        </w:rPr>
        <w:t xml:space="preserve"> </w:t>
      </w:r>
      <w:r w:rsidR="00FE701E" w:rsidRPr="00DF676C">
        <w:t>v</w:t>
      </w:r>
      <w:r w:rsidR="00760BD5" w:rsidRPr="00210E1D">
        <w:rPr>
          <w:i/>
        </w:rPr>
        <w:t xml:space="preserve"> </w:t>
      </w:r>
      <w:proofErr w:type="spellStart"/>
      <w:r w:rsidR="00FE701E" w:rsidRPr="00210E1D">
        <w:rPr>
          <w:i/>
        </w:rPr>
        <w:t>Chimponda</w:t>
      </w:r>
      <w:proofErr w:type="spellEnd"/>
      <w:r w:rsidR="00FE701E">
        <w:t xml:space="preserve"> 1991 (1) ZLR 58 </w:t>
      </w:r>
      <w:r w:rsidR="00F71A7F">
        <w:t>(S)</w:t>
      </w:r>
      <w:r w:rsidR="00FE701E">
        <w:t xml:space="preserve"> and </w:t>
      </w:r>
      <w:r w:rsidR="00FE701E" w:rsidRPr="00210E1D">
        <w:rPr>
          <w:i/>
        </w:rPr>
        <w:t>Aitken</w:t>
      </w:r>
      <w:r w:rsidR="00760BD5" w:rsidRPr="00210E1D">
        <w:rPr>
          <w:i/>
        </w:rPr>
        <w:t xml:space="preserve"> </w:t>
      </w:r>
      <w:r w:rsidR="00FE701E" w:rsidRPr="00210E1D">
        <w:rPr>
          <w:i/>
        </w:rPr>
        <w:t xml:space="preserve">&amp; </w:t>
      </w:r>
      <w:proofErr w:type="spellStart"/>
      <w:r w:rsidR="00FE701E" w:rsidRPr="00210E1D">
        <w:rPr>
          <w:i/>
        </w:rPr>
        <w:t>Anor</w:t>
      </w:r>
      <w:proofErr w:type="spellEnd"/>
      <w:r w:rsidR="00760BD5" w:rsidRPr="00210E1D">
        <w:rPr>
          <w:i/>
        </w:rPr>
        <w:t xml:space="preserve"> </w:t>
      </w:r>
      <w:r w:rsidR="00FE701E" w:rsidRPr="00210E1D">
        <w:rPr>
          <w:i/>
        </w:rPr>
        <w:t xml:space="preserve">v Attorney </w:t>
      </w:r>
      <w:r w:rsidR="00210E1D">
        <w:rPr>
          <w:i/>
        </w:rPr>
        <w:t>G</w:t>
      </w:r>
      <w:r w:rsidR="00FE701E" w:rsidRPr="00210E1D">
        <w:rPr>
          <w:i/>
        </w:rPr>
        <w:t>eneral</w:t>
      </w:r>
      <w:r w:rsidR="00760BD5">
        <w:t xml:space="preserve"> </w:t>
      </w:r>
      <w:r w:rsidR="00FE701E">
        <w:t>1992 (1) ZLR 249</w:t>
      </w:r>
      <w:r w:rsidR="00F71A7F">
        <w:t>(S)</w:t>
      </w:r>
      <w:r w:rsidR="00FE701E">
        <w:t>.</w:t>
      </w:r>
      <w:proofErr w:type="gramEnd"/>
      <w:r w:rsidR="00760BD5">
        <w:t xml:space="preserve"> </w:t>
      </w:r>
    </w:p>
    <w:p w:rsidR="00DD5D79" w:rsidRDefault="009D3213" w:rsidP="00DF676C">
      <w:pPr>
        <w:spacing w:after="0" w:line="360" w:lineRule="auto"/>
        <w:ind w:firstLine="720"/>
        <w:jc w:val="both"/>
      </w:pPr>
      <w:r>
        <w:t>What</w:t>
      </w:r>
      <w:r w:rsidR="00F71A7F">
        <w:t xml:space="preserve"> </w:t>
      </w:r>
      <w:r>
        <w:t>was</w:t>
      </w:r>
      <w:r w:rsidR="00760BD5">
        <w:t xml:space="preserve"> </w:t>
      </w:r>
      <w:r>
        <w:t>factually</w:t>
      </w:r>
      <w:r w:rsidR="00F71A7F">
        <w:t xml:space="preserve"> </w:t>
      </w:r>
      <w:r>
        <w:t>presented</w:t>
      </w:r>
      <w:r w:rsidR="00F71A7F">
        <w:t xml:space="preserve"> </w:t>
      </w:r>
      <w:r>
        <w:t xml:space="preserve">to the </w:t>
      </w:r>
      <w:r w:rsidR="00F71A7F">
        <w:t>magistrate</w:t>
      </w:r>
      <w:r>
        <w:t xml:space="preserve"> at </w:t>
      </w:r>
      <w:r w:rsidR="00F71A7F">
        <w:t xml:space="preserve">the </w:t>
      </w:r>
      <w:r>
        <w:t>bail</w:t>
      </w:r>
      <w:r w:rsidR="00F71A7F">
        <w:t xml:space="preserve"> </w:t>
      </w:r>
      <w:r>
        <w:t>hearing</w:t>
      </w:r>
      <w:r w:rsidR="00760BD5">
        <w:t xml:space="preserve"> </w:t>
      </w:r>
      <w:r>
        <w:t>by the I</w:t>
      </w:r>
      <w:r w:rsidR="00210E1D">
        <w:t xml:space="preserve">nvestigation </w:t>
      </w:r>
      <w:r>
        <w:t>O</w:t>
      </w:r>
      <w:r w:rsidR="00210E1D">
        <w:t>fficer</w:t>
      </w:r>
      <w:r w:rsidR="00A63F75">
        <w:t xml:space="preserve"> (</w:t>
      </w:r>
      <w:r w:rsidR="000D3B7B">
        <w:t>I</w:t>
      </w:r>
      <w:r w:rsidR="00A63F75">
        <w:t>.O)</w:t>
      </w:r>
      <w:r w:rsidR="00760BD5">
        <w:t xml:space="preserve"> </w:t>
      </w:r>
      <w:r w:rsidR="00210E1D">
        <w:t>was</w:t>
      </w:r>
      <w:r>
        <w:t xml:space="preserve"> that</w:t>
      </w:r>
      <w:r w:rsidR="00760BD5">
        <w:t xml:space="preserve"> </w:t>
      </w:r>
      <w:r>
        <w:t>both</w:t>
      </w:r>
      <w:r w:rsidR="00760BD5">
        <w:t xml:space="preserve"> </w:t>
      </w:r>
      <w:r>
        <w:t>the</w:t>
      </w:r>
      <w:r w:rsidR="00760BD5">
        <w:t xml:space="preserve"> </w:t>
      </w:r>
      <w:r>
        <w:t>applicants</w:t>
      </w:r>
      <w:r w:rsidR="00760BD5">
        <w:t xml:space="preserve"> </w:t>
      </w:r>
      <w:r>
        <w:t>who</w:t>
      </w:r>
      <w:r w:rsidR="00760BD5">
        <w:t xml:space="preserve"> </w:t>
      </w:r>
      <w:r>
        <w:t>are</w:t>
      </w:r>
      <w:r w:rsidR="00F71A7F">
        <w:t xml:space="preserve"> </w:t>
      </w:r>
      <w:r>
        <w:t>husband</w:t>
      </w:r>
      <w:r w:rsidR="00760BD5">
        <w:t xml:space="preserve"> </w:t>
      </w:r>
      <w:r>
        <w:t>and</w:t>
      </w:r>
      <w:r w:rsidR="00760BD5">
        <w:t xml:space="preserve"> </w:t>
      </w:r>
      <w:r>
        <w:t>wife</w:t>
      </w:r>
      <w:r w:rsidR="00760BD5">
        <w:t xml:space="preserve"> </w:t>
      </w:r>
      <w:r>
        <w:t>had not</w:t>
      </w:r>
      <w:r w:rsidR="00760BD5">
        <w:t xml:space="preserve"> </w:t>
      </w:r>
      <w:r>
        <w:t>presented</w:t>
      </w:r>
      <w:r w:rsidR="00F71A7F">
        <w:t xml:space="preserve"> </w:t>
      </w:r>
      <w:r>
        <w:t>any</w:t>
      </w:r>
      <w:r w:rsidR="00F71A7F">
        <w:t xml:space="preserve"> </w:t>
      </w:r>
      <w:r>
        <w:t>i</w:t>
      </w:r>
      <w:r w:rsidR="00210E1D">
        <w:t>dentification cards</w:t>
      </w:r>
      <w:r w:rsidR="00760BD5">
        <w:t xml:space="preserve"> </w:t>
      </w:r>
      <w:r>
        <w:t>on arrest</w:t>
      </w:r>
      <w:r w:rsidR="000D3B7B">
        <w:t xml:space="preserve">. Both said </w:t>
      </w:r>
      <w:r>
        <w:t>they had</w:t>
      </w:r>
      <w:r w:rsidR="00760BD5">
        <w:t xml:space="preserve"> </w:t>
      </w:r>
      <w:r w:rsidR="00F71A7F">
        <w:t>lost them</w:t>
      </w:r>
      <w:r>
        <w:t>.</w:t>
      </w:r>
      <w:r w:rsidR="00760BD5">
        <w:t xml:space="preserve"> </w:t>
      </w:r>
      <w:r w:rsidR="0039368C">
        <w:t>The</w:t>
      </w:r>
      <w:r w:rsidR="00A63F75">
        <w:t xml:space="preserve"> first applicant had</w:t>
      </w:r>
      <w:r w:rsidR="007D647D">
        <w:t xml:space="preserve"> </w:t>
      </w:r>
      <w:r w:rsidR="00A63F75">
        <w:t>however provided</w:t>
      </w:r>
      <w:r w:rsidR="007D647D">
        <w:t xml:space="preserve"> </w:t>
      </w:r>
      <w:r w:rsidR="00A63F75">
        <w:t>a</w:t>
      </w:r>
      <w:r w:rsidR="007D647D">
        <w:t xml:space="preserve"> number which he </w:t>
      </w:r>
      <w:r w:rsidR="00A63F75">
        <w:t>said he kn</w:t>
      </w:r>
      <w:r w:rsidR="007D647D">
        <w:t>e</w:t>
      </w:r>
      <w:r w:rsidR="00A63F75">
        <w:t>w</w:t>
      </w:r>
      <w:r w:rsidR="007D647D">
        <w:t xml:space="preserve"> </w:t>
      </w:r>
      <w:r w:rsidR="00A63F75">
        <w:t>from</w:t>
      </w:r>
      <w:r w:rsidR="007D647D">
        <w:t xml:space="preserve"> </w:t>
      </w:r>
      <w:r w:rsidR="00A63F75">
        <w:t>his</w:t>
      </w:r>
      <w:r w:rsidR="007D647D">
        <w:t xml:space="preserve"> </w:t>
      </w:r>
      <w:r w:rsidR="00A63F75">
        <w:t>head. No particul</w:t>
      </w:r>
      <w:r w:rsidR="007D647D">
        <w:t>a</w:t>
      </w:r>
      <w:r w:rsidR="00A63F75">
        <w:t>rs</w:t>
      </w:r>
      <w:r w:rsidR="007D647D">
        <w:t xml:space="preserve"> </w:t>
      </w:r>
      <w:r w:rsidR="00A63F75">
        <w:t>had been entered</w:t>
      </w:r>
      <w:r w:rsidR="007D647D">
        <w:t xml:space="preserve"> </w:t>
      </w:r>
      <w:r w:rsidR="00A63F75">
        <w:t>for his</w:t>
      </w:r>
      <w:r w:rsidR="007D647D">
        <w:t xml:space="preserve"> </w:t>
      </w:r>
      <w:r w:rsidR="00A63F75">
        <w:t>wife. Counsel</w:t>
      </w:r>
      <w:r w:rsidR="007D647D">
        <w:t xml:space="preserve"> </w:t>
      </w:r>
      <w:r w:rsidR="00A63F75">
        <w:t>for applicants</w:t>
      </w:r>
      <w:r w:rsidR="007D647D">
        <w:t xml:space="preserve"> </w:t>
      </w:r>
      <w:r w:rsidR="00A63F75">
        <w:t>had</w:t>
      </w:r>
      <w:r w:rsidR="007D647D">
        <w:t xml:space="preserve"> </w:t>
      </w:r>
      <w:r w:rsidR="00A63F75">
        <w:t xml:space="preserve">revealed in </w:t>
      </w:r>
      <w:r w:rsidR="007D647D">
        <w:t xml:space="preserve">cross </w:t>
      </w:r>
      <w:r w:rsidR="00A63F75">
        <w:t>examining the I.O that</w:t>
      </w:r>
      <w:r w:rsidR="007D647D">
        <w:t xml:space="preserve"> </w:t>
      </w:r>
      <w:r w:rsidR="00A63F75">
        <w:t>second applicant</w:t>
      </w:r>
      <w:r w:rsidR="007D647D">
        <w:t xml:space="preserve"> </w:t>
      </w:r>
      <w:r w:rsidR="00A63F75">
        <w:t>had</w:t>
      </w:r>
      <w:r w:rsidR="007D647D">
        <w:t xml:space="preserve"> </w:t>
      </w:r>
      <w:r w:rsidR="00A63F75">
        <w:t>in fact</w:t>
      </w:r>
      <w:r w:rsidR="007D647D">
        <w:t xml:space="preserve"> </w:t>
      </w:r>
      <w:r w:rsidR="00A63F75">
        <w:t>pr</w:t>
      </w:r>
      <w:r w:rsidR="007D647D">
        <w:t xml:space="preserve">ovided </w:t>
      </w:r>
      <w:r w:rsidR="00A63F75">
        <w:t>a number in</w:t>
      </w:r>
      <w:r w:rsidR="007D647D">
        <w:t xml:space="preserve"> </w:t>
      </w:r>
      <w:r w:rsidR="00A63F75">
        <w:t>another case. There was no proof of this or</w:t>
      </w:r>
      <w:r w:rsidR="007D647D">
        <w:t xml:space="preserve"> </w:t>
      </w:r>
      <w:r w:rsidR="00A63F75">
        <w:t>of</w:t>
      </w:r>
      <w:r w:rsidR="007D647D">
        <w:t xml:space="preserve"> </w:t>
      </w:r>
      <w:r w:rsidR="00A63F75">
        <w:t>verification of that</w:t>
      </w:r>
      <w:r w:rsidR="00DD5D79">
        <w:t xml:space="preserve"> </w:t>
      </w:r>
      <w:r w:rsidR="000D3B7B">
        <w:t xml:space="preserve">on </w:t>
      </w:r>
      <w:r w:rsidR="00DD5D79">
        <w:t xml:space="preserve">the </w:t>
      </w:r>
      <w:r w:rsidR="000D3B7B">
        <w:t>record.</w:t>
      </w:r>
      <w:r w:rsidR="00A63F75">
        <w:t xml:space="preserve"> </w:t>
      </w:r>
    </w:p>
    <w:p w:rsidR="00A63F75" w:rsidRDefault="00F71A7F" w:rsidP="00DF676C">
      <w:pPr>
        <w:spacing w:after="0" w:line="360" w:lineRule="auto"/>
        <w:ind w:firstLine="720"/>
        <w:jc w:val="both"/>
      </w:pPr>
      <w:r>
        <w:t>Both</w:t>
      </w:r>
      <w:r w:rsidR="009D3213">
        <w:t xml:space="preserve"> of them</w:t>
      </w:r>
      <w:r w:rsidR="00A63F75">
        <w:t xml:space="preserve"> were</w:t>
      </w:r>
      <w:r w:rsidR="007D647D">
        <w:t xml:space="preserve"> </w:t>
      </w:r>
      <w:r w:rsidR="00A63F75">
        <w:t>said</w:t>
      </w:r>
      <w:r w:rsidR="007D647D">
        <w:t xml:space="preserve"> </w:t>
      </w:r>
      <w:r w:rsidR="00A63F75">
        <w:t>by the</w:t>
      </w:r>
      <w:r w:rsidR="007D647D">
        <w:t xml:space="preserve"> </w:t>
      </w:r>
      <w:r w:rsidR="00A63F75">
        <w:t>I.O</w:t>
      </w:r>
      <w:r w:rsidR="007D647D">
        <w:t xml:space="preserve"> </w:t>
      </w:r>
      <w:r w:rsidR="00A63F75">
        <w:t xml:space="preserve">to have </w:t>
      </w:r>
      <w:r w:rsidR="009D3213">
        <w:t>used different names</w:t>
      </w:r>
      <w:r w:rsidR="00760BD5">
        <w:t xml:space="preserve"> </w:t>
      </w:r>
      <w:r w:rsidR="009D3213">
        <w:t>interchangeably.</w:t>
      </w:r>
      <w:r w:rsidR="007D647D">
        <w:t xml:space="preserve"> </w:t>
      </w:r>
      <w:r w:rsidR="00A63F75">
        <w:t>Whilst</w:t>
      </w:r>
      <w:r w:rsidR="007D647D">
        <w:t xml:space="preserve"> </w:t>
      </w:r>
      <w:r w:rsidR="00A63F75">
        <w:t>their</w:t>
      </w:r>
      <w:r w:rsidR="007D647D">
        <w:t xml:space="preserve"> </w:t>
      </w:r>
      <w:r w:rsidR="00A63F75">
        <w:t>counsel</w:t>
      </w:r>
      <w:r w:rsidR="007D647D">
        <w:t xml:space="preserve"> </w:t>
      </w:r>
      <w:r w:rsidR="00A63F75">
        <w:t>interrogated</w:t>
      </w:r>
      <w:r w:rsidR="007D647D">
        <w:t xml:space="preserve"> </w:t>
      </w:r>
      <w:r w:rsidR="00A63F75">
        <w:t>the</w:t>
      </w:r>
      <w:r w:rsidR="007D647D">
        <w:t xml:space="preserve"> </w:t>
      </w:r>
      <w:r w:rsidR="00A63F75">
        <w:t>I.O</w:t>
      </w:r>
      <w:r w:rsidR="007D647D">
        <w:t xml:space="preserve"> </w:t>
      </w:r>
      <w:r w:rsidR="00A63F75">
        <w:t>on the possibility</w:t>
      </w:r>
      <w:r w:rsidR="007D647D">
        <w:t xml:space="preserve"> </w:t>
      </w:r>
      <w:r w:rsidR="00A63F75">
        <w:t>of</w:t>
      </w:r>
      <w:r w:rsidR="007D647D">
        <w:t xml:space="preserve"> </w:t>
      </w:r>
      <w:r w:rsidR="00A63F75">
        <w:t>people having</w:t>
      </w:r>
      <w:r w:rsidR="007D647D">
        <w:t xml:space="preserve"> </w:t>
      </w:r>
      <w:r w:rsidR="00A63F75">
        <w:t>two</w:t>
      </w:r>
      <w:r w:rsidR="007D647D">
        <w:t xml:space="preserve"> </w:t>
      </w:r>
      <w:r w:rsidR="00A63F75">
        <w:t xml:space="preserve">names, </w:t>
      </w:r>
      <w:r w:rsidR="000D3B7B">
        <w:t xml:space="preserve">this </w:t>
      </w:r>
      <w:r w:rsidR="00A63F75">
        <w:t>did not</w:t>
      </w:r>
      <w:r w:rsidR="007D647D">
        <w:t xml:space="preserve"> go </w:t>
      </w:r>
      <w:r w:rsidR="00A63F75">
        <w:t>to</w:t>
      </w:r>
      <w:r w:rsidR="007D647D">
        <w:t xml:space="preserve"> </w:t>
      </w:r>
      <w:r w:rsidR="00A63F75">
        <w:t>the root</w:t>
      </w:r>
      <w:r w:rsidR="007D647D">
        <w:t xml:space="preserve"> </w:t>
      </w:r>
      <w:r w:rsidR="00A63F75">
        <w:t>of sati</w:t>
      </w:r>
      <w:r w:rsidR="007D647D">
        <w:t>s</w:t>
      </w:r>
      <w:r w:rsidR="00A63F75">
        <w:t>fyin</w:t>
      </w:r>
      <w:r w:rsidR="007D647D">
        <w:t>g</w:t>
      </w:r>
      <w:r w:rsidR="00A63F75">
        <w:t xml:space="preserve"> the</w:t>
      </w:r>
      <w:r w:rsidR="007D647D">
        <w:t xml:space="preserve"> </w:t>
      </w:r>
      <w:r w:rsidR="00A63F75">
        <w:t>court</w:t>
      </w:r>
      <w:r w:rsidR="007D647D">
        <w:t xml:space="preserve"> </w:t>
      </w:r>
      <w:r w:rsidR="00A63F75">
        <w:t>that</w:t>
      </w:r>
      <w:r w:rsidR="007D647D">
        <w:t xml:space="preserve"> their</w:t>
      </w:r>
      <w:r w:rsidR="00A63F75">
        <w:t xml:space="preserve"> identities were</w:t>
      </w:r>
      <w:r w:rsidR="007D647D">
        <w:t xml:space="preserve"> </w:t>
      </w:r>
      <w:r w:rsidR="00A63F75">
        <w:t>fully</w:t>
      </w:r>
      <w:r w:rsidR="007D647D">
        <w:t xml:space="preserve"> </w:t>
      </w:r>
      <w:r w:rsidR="00A63F75">
        <w:t>proven</w:t>
      </w:r>
      <w:r w:rsidR="007D647D">
        <w:t xml:space="preserve"> </w:t>
      </w:r>
      <w:r w:rsidR="00A63F75">
        <w:t>at that point.</w:t>
      </w:r>
      <w:r w:rsidR="007D647D">
        <w:t xml:space="preserve"> </w:t>
      </w:r>
      <w:r w:rsidR="00D37110">
        <w:t xml:space="preserve">It is clear from the record that the Investigation </w:t>
      </w:r>
      <w:r w:rsidR="000D3B7B">
        <w:t>O</w:t>
      </w:r>
      <w:r w:rsidR="00D37110">
        <w:t>ffice</w:t>
      </w:r>
      <w:r w:rsidR="000D3B7B">
        <w:t>r</w:t>
      </w:r>
      <w:r w:rsidR="00D37110">
        <w:t xml:space="preserve"> asked f</w:t>
      </w:r>
      <w:r w:rsidR="00DD5D79">
        <w:t>or</w:t>
      </w:r>
      <w:r w:rsidR="00D37110">
        <w:t xml:space="preserve"> more time to verify who exactly the two accused were in the absence of identity cards.</w:t>
      </w:r>
    </w:p>
    <w:p w:rsidR="00304EC5" w:rsidRDefault="000D3B7B" w:rsidP="00DF676C">
      <w:pPr>
        <w:spacing w:after="0" w:line="360" w:lineRule="auto"/>
        <w:ind w:firstLine="720"/>
        <w:jc w:val="both"/>
      </w:pPr>
      <w:r>
        <w:lastRenderedPageBreak/>
        <w:t>In addition</w:t>
      </w:r>
      <w:r w:rsidR="00DD5D79">
        <w:t>,</w:t>
      </w:r>
      <w:r>
        <w:t xml:space="preserve"> were </w:t>
      </w:r>
      <w:r w:rsidR="009D3213">
        <w:t>several</w:t>
      </w:r>
      <w:r w:rsidR="00F71A7F">
        <w:t xml:space="preserve"> </w:t>
      </w:r>
      <w:r w:rsidR="009D3213">
        <w:t>complaints of fraud</w:t>
      </w:r>
      <w:r>
        <w:t xml:space="preserve"> in which applicants</w:t>
      </w:r>
      <w:r w:rsidR="008D1C10">
        <w:t xml:space="preserve"> </w:t>
      </w:r>
      <w:r>
        <w:t>were</w:t>
      </w:r>
      <w:r w:rsidR="008D1C10">
        <w:t xml:space="preserve"> </w:t>
      </w:r>
      <w:r>
        <w:t>said to</w:t>
      </w:r>
      <w:r w:rsidR="008D1C10">
        <w:t xml:space="preserve"> </w:t>
      </w:r>
      <w:r>
        <w:t xml:space="preserve">have </w:t>
      </w:r>
      <w:r w:rsidR="00DD5D79">
        <w:t xml:space="preserve">used </w:t>
      </w:r>
      <w:r w:rsidR="009D3213">
        <w:t>the same</w:t>
      </w:r>
      <w:r w:rsidR="00F71A7F">
        <w:t xml:space="preserve"> </w:t>
      </w:r>
      <w:r w:rsidR="00F71A7F" w:rsidRPr="000D3B7B">
        <w:rPr>
          <w:i/>
        </w:rPr>
        <w:t xml:space="preserve">modus </w:t>
      </w:r>
      <w:r w:rsidR="009D3213" w:rsidRPr="000D3B7B">
        <w:rPr>
          <w:i/>
        </w:rPr>
        <w:t>operandi</w:t>
      </w:r>
      <w:r w:rsidR="008D1C10">
        <w:t xml:space="preserve"> </w:t>
      </w:r>
      <w:r>
        <w:t>in which</w:t>
      </w:r>
      <w:r w:rsidR="008D1C10">
        <w:t xml:space="preserve"> </w:t>
      </w:r>
      <w:r>
        <w:t>they</w:t>
      </w:r>
      <w:r w:rsidR="008D1C10">
        <w:t xml:space="preserve"> </w:t>
      </w:r>
      <w:r>
        <w:t>obtained</w:t>
      </w:r>
      <w:r w:rsidR="008D1C10">
        <w:t xml:space="preserve"> </w:t>
      </w:r>
      <w:r>
        <w:t>goods</w:t>
      </w:r>
      <w:r w:rsidR="008D1C10">
        <w:t xml:space="preserve"> </w:t>
      </w:r>
      <w:r>
        <w:t>from</w:t>
      </w:r>
      <w:r w:rsidR="008D1C10">
        <w:t xml:space="preserve"> </w:t>
      </w:r>
      <w:r>
        <w:t>complainants</w:t>
      </w:r>
      <w:r w:rsidR="008D1C10">
        <w:t xml:space="preserve"> </w:t>
      </w:r>
      <w:r>
        <w:t>which they were supposed</w:t>
      </w:r>
      <w:r w:rsidR="008D1C10">
        <w:t xml:space="preserve"> </w:t>
      </w:r>
      <w:r>
        <w:t xml:space="preserve">to </w:t>
      </w:r>
      <w:proofErr w:type="gramStart"/>
      <w:r>
        <w:t>sell.</w:t>
      </w:r>
      <w:proofErr w:type="gramEnd"/>
      <w:r>
        <w:t xml:space="preserve"> I</w:t>
      </w:r>
      <w:r w:rsidR="009D3213">
        <w:t xml:space="preserve">t was </w:t>
      </w:r>
      <w:r w:rsidR="002B1EE5">
        <w:t>conceded by</w:t>
      </w:r>
      <w:r>
        <w:t xml:space="preserve"> the I.O </w:t>
      </w:r>
      <w:r w:rsidR="0039368C">
        <w:t>that</w:t>
      </w:r>
      <w:r w:rsidR="00760BD5">
        <w:t xml:space="preserve"> </w:t>
      </w:r>
      <w:r w:rsidR="0039368C">
        <w:t>only</w:t>
      </w:r>
      <w:r w:rsidR="00760BD5">
        <w:t xml:space="preserve"> </w:t>
      </w:r>
      <w:r w:rsidR="0039368C">
        <w:t>one</w:t>
      </w:r>
      <w:r w:rsidR="00760BD5">
        <w:t xml:space="preserve"> </w:t>
      </w:r>
      <w:r w:rsidR="0039368C">
        <w:t>case</w:t>
      </w:r>
      <w:r>
        <w:t>,</w:t>
      </w:r>
      <w:r w:rsidR="00760BD5">
        <w:t xml:space="preserve"> </w:t>
      </w:r>
      <w:r w:rsidR="009D3213">
        <w:t>705/16</w:t>
      </w:r>
      <w:r w:rsidR="002B1EE5">
        <w:t>, involving</w:t>
      </w:r>
      <w:r w:rsidR="00F71A7F">
        <w:t xml:space="preserve"> </w:t>
      </w:r>
      <w:r w:rsidR="0039368C">
        <w:t xml:space="preserve">the first </w:t>
      </w:r>
      <w:r>
        <w:t>applicant</w:t>
      </w:r>
      <w:r w:rsidR="00F71A7F">
        <w:t xml:space="preserve"> </w:t>
      </w:r>
      <w:r w:rsidR="0039368C">
        <w:t>was officially</w:t>
      </w:r>
      <w:r w:rsidR="00F71A7F">
        <w:t xml:space="preserve"> </w:t>
      </w:r>
      <w:r w:rsidR="0039368C">
        <w:t>before the courts. It was said that he</w:t>
      </w:r>
      <w:r w:rsidR="00F71A7F">
        <w:t xml:space="preserve"> </w:t>
      </w:r>
      <w:r w:rsidR="0039368C">
        <w:t>had been granted</w:t>
      </w:r>
      <w:r w:rsidR="00760BD5">
        <w:t xml:space="preserve"> </w:t>
      </w:r>
      <w:r w:rsidR="0039368C">
        <w:t>bail in that</w:t>
      </w:r>
      <w:r w:rsidR="00760BD5">
        <w:t xml:space="preserve"> </w:t>
      </w:r>
      <w:r w:rsidR="0039368C">
        <w:t>case.</w:t>
      </w:r>
      <w:r w:rsidR="00D37110">
        <w:t xml:space="preserve"> The second applicant</w:t>
      </w:r>
      <w:r w:rsidR="007D647D">
        <w:t xml:space="preserve"> </w:t>
      </w:r>
      <w:r w:rsidR="00D37110">
        <w:t>was</w:t>
      </w:r>
      <w:r w:rsidR="007D647D">
        <w:t xml:space="preserve"> </w:t>
      </w:r>
      <w:r w:rsidR="00D37110">
        <w:t>said to have</w:t>
      </w:r>
      <w:r w:rsidR="007D647D">
        <w:t xml:space="preserve"> </w:t>
      </w:r>
      <w:r w:rsidR="00D37110">
        <w:t>several</w:t>
      </w:r>
      <w:r w:rsidR="007D647D">
        <w:t xml:space="preserve"> </w:t>
      </w:r>
      <w:r w:rsidR="00D37110">
        <w:t>matters</w:t>
      </w:r>
      <w:r w:rsidR="007D647D">
        <w:t xml:space="preserve"> </w:t>
      </w:r>
      <w:r w:rsidR="00D37110">
        <w:t>which</w:t>
      </w:r>
      <w:r w:rsidR="007D647D">
        <w:t xml:space="preserve"> </w:t>
      </w:r>
      <w:r w:rsidR="00D37110">
        <w:t>had</w:t>
      </w:r>
      <w:r w:rsidR="007D647D">
        <w:t xml:space="preserve"> </w:t>
      </w:r>
      <w:r w:rsidR="00D37110">
        <w:t>been</w:t>
      </w:r>
      <w:r w:rsidR="007D647D">
        <w:t xml:space="preserve"> </w:t>
      </w:r>
      <w:r w:rsidR="00D37110">
        <w:t>reported</w:t>
      </w:r>
      <w:r w:rsidR="007D647D">
        <w:t xml:space="preserve"> </w:t>
      </w:r>
      <w:r w:rsidR="00D37110">
        <w:t>although they</w:t>
      </w:r>
      <w:r w:rsidR="007D647D">
        <w:t xml:space="preserve"> </w:t>
      </w:r>
      <w:r w:rsidR="00D37110">
        <w:t>were not</w:t>
      </w:r>
      <w:r w:rsidR="008D1C10">
        <w:t xml:space="preserve"> yet</w:t>
      </w:r>
      <w:r w:rsidR="007D647D">
        <w:t xml:space="preserve"> </w:t>
      </w:r>
      <w:r w:rsidR="00D37110">
        <w:t>before the courts.</w:t>
      </w:r>
      <w:r w:rsidR="007D647D">
        <w:t xml:space="preserve"> </w:t>
      </w:r>
      <w:r w:rsidR="00DF676C">
        <w:t>The a</w:t>
      </w:r>
      <w:r w:rsidR="00F71A7F">
        <w:t>pplicants</w:t>
      </w:r>
      <w:r w:rsidR="00760BD5">
        <w:t xml:space="preserve"> </w:t>
      </w:r>
      <w:r w:rsidR="0039368C">
        <w:t>also</w:t>
      </w:r>
      <w:r w:rsidR="00F71A7F">
        <w:t xml:space="preserve"> </w:t>
      </w:r>
      <w:r w:rsidR="0039368C">
        <w:t>argued that</w:t>
      </w:r>
      <w:r w:rsidR="00760BD5">
        <w:t xml:space="preserve"> </w:t>
      </w:r>
      <w:r w:rsidR="0039368C">
        <w:t>the matters</w:t>
      </w:r>
      <w:r w:rsidR="00F71A7F">
        <w:t xml:space="preserve"> </w:t>
      </w:r>
      <w:r w:rsidR="0039368C">
        <w:t>that they</w:t>
      </w:r>
      <w:r w:rsidR="00760BD5">
        <w:t xml:space="preserve"> </w:t>
      </w:r>
      <w:r w:rsidR="0039368C">
        <w:t>face</w:t>
      </w:r>
      <w:r w:rsidR="008D1C10">
        <w:t>d</w:t>
      </w:r>
      <w:r w:rsidR="00F71A7F">
        <w:t xml:space="preserve"> </w:t>
      </w:r>
      <w:r>
        <w:t>are</w:t>
      </w:r>
      <w:r w:rsidR="0039368C">
        <w:t xml:space="preserve"> civil</w:t>
      </w:r>
      <w:r w:rsidR="00F71A7F">
        <w:t xml:space="preserve"> </w:t>
      </w:r>
      <w:r w:rsidR="0039368C">
        <w:t>matter</w:t>
      </w:r>
      <w:r w:rsidR="003A481B">
        <w:t>s</w:t>
      </w:r>
      <w:r w:rsidR="00760BD5">
        <w:t xml:space="preserve"> </w:t>
      </w:r>
      <w:r w:rsidR="0039368C">
        <w:t>arising</w:t>
      </w:r>
      <w:r w:rsidR="00F71A7F">
        <w:t xml:space="preserve"> </w:t>
      </w:r>
      <w:r w:rsidR="0039368C">
        <w:t>from</w:t>
      </w:r>
      <w:r w:rsidR="00760BD5">
        <w:t xml:space="preserve"> </w:t>
      </w:r>
      <w:r w:rsidR="0039368C">
        <w:t>civil</w:t>
      </w:r>
      <w:r w:rsidR="00F71A7F">
        <w:t xml:space="preserve"> </w:t>
      </w:r>
      <w:r w:rsidR="0039368C">
        <w:t>contracts.</w:t>
      </w:r>
      <w:r w:rsidR="0059755F">
        <w:t xml:space="preserve"> </w:t>
      </w:r>
    </w:p>
    <w:p w:rsidR="000D0CFB" w:rsidRDefault="000D0CFB" w:rsidP="00DF676C">
      <w:pPr>
        <w:spacing w:after="0" w:line="360" w:lineRule="auto"/>
        <w:ind w:firstLine="720"/>
        <w:jc w:val="both"/>
      </w:pPr>
      <w:r>
        <w:t>In denying</w:t>
      </w:r>
      <w:r w:rsidR="00760BD5">
        <w:t xml:space="preserve"> </w:t>
      </w:r>
      <w:r>
        <w:t>bail</w:t>
      </w:r>
      <w:r w:rsidR="008D1C10">
        <w:t>,</w:t>
      </w:r>
      <w:r>
        <w:t xml:space="preserve"> the magistrate’s</w:t>
      </w:r>
      <w:r w:rsidR="00760BD5">
        <w:t xml:space="preserve"> </w:t>
      </w:r>
      <w:r>
        <w:t xml:space="preserve">reasons were </w:t>
      </w:r>
      <w:r w:rsidR="00F71A7F">
        <w:t>therefore</w:t>
      </w:r>
      <w:r>
        <w:t xml:space="preserve"> that</w:t>
      </w:r>
      <w:r w:rsidR="00760BD5">
        <w:t xml:space="preserve"> </w:t>
      </w:r>
      <w:r>
        <w:t xml:space="preserve">no </w:t>
      </w:r>
      <w:r w:rsidR="00F71A7F">
        <w:t xml:space="preserve">identity </w:t>
      </w:r>
      <w:r>
        <w:t>cards</w:t>
      </w:r>
      <w:r w:rsidR="00760BD5">
        <w:t xml:space="preserve"> </w:t>
      </w:r>
      <w:r>
        <w:t>had been</w:t>
      </w:r>
      <w:r w:rsidR="00760BD5">
        <w:t xml:space="preserve"> </w:t>
      </w:r>
      <w:r>
        <w:t>produced and that the</w:t>
      </w:r>
      <w:r w:rsidR="00760BD5">
        <w:t xml:space="preserve"> </w:t>
      </w:r>
      <w:r>
        <w:t>names</w:t>
      </w:r>
      <w:r w:rsidR="001B1291">
        <w:t xml:space="preserve"> </w:t>
      </w:r>
      <w:r w:rsidR="002B1EE5">
        <w:t>of applicants were</w:t>
      </w:r>
      <w:r w:rsidR="00760BD5">
        <w:t xml:space="preserve"> </w:t>
      </w:r>
      <w:r>
        <w:t xml:space="preserve">still being </w:t>
      </w:r>
      <w:r w:rsidR="00F71A7F">
        <w:t>verified</w:t>
      </w:r>
      <w:r>
        <w:t>. The existence of</w:t>
      </w:r>
      <w:r w:rsidR="00760BD5">
        <w:t xml:space="preserve"> </w:t>
      </w:r>
      <w:r>
        <w:t>a CRB 705/16</w:t>
      </w:r>
      <w:r w:rsidR="00F71A7F">
        <w:t xml:space="preserve"> against</w:t>
      </w:r>
      <w:r w:rsidR="00760BD5">
        <w:t xml:space="preserve"> </w:t>
      </w:r>
      <w:r>
        <w:t>the</w:t>
      </w:r>
      <w:r w:rsidR="00F71A7F">
        <w:t xml:space="preserve"> </w:t>
      </w:r>
      <w:r w:rsidR="00DF676C">
        <w:t>first</w:t>
      </w:r>
      <w:r>
        <w:t xml:space="preserve"> </w:t>
      </w:r>
      <w:r w:rsidR="008D1C10">
        <w:t>applicant</w:t>
      </w:r>
      <w:r w:rsidR="00760BD5">
        <w:t xml:space="preserve"> </w:t>
      </w:r>
      <w:r>
        <w:t>was</w:t>
      </w:r>
      <w:r w:rsidR="00760BD5">
        <w:t xml:space="preserve"> </w:t>
      </w:r>
      <w:r>
        <w:t>also said to</w:t>
      </w:r>
      <w:r w:rsidR="00760BD5">
        <w:t xml:space="preserve"> </w:t>
      </w:r>
      <w:r>
        <w:t>show</w:t>
      </w:r>
      <w:r w:rsidR="00760BD5">
        <w:t xml:space="preserve"> </w:t>
      </w:r>
      <w:r>
        <w:t>propensity</w:t>
      </w:r>
      <w:r w:rsidR="00760BD5">
        <w:t xml:space="preserve"> </w:t>
      </w:r>
      <w:r>
        <w:t>to commit</w:t>
      </w:r>
      <w:r w:rsidR="00760BD5">
        <w:t xml:space="preserve"> </w:t>
      </w:r>
      <w:r>
        <w:t>similar</w:t>
      </w:r>
      <w:r w:rsidR="00F71A7F">
        <w:t xml:space="preserve"> </w:t>
      </w:r>
      <w:r>
        <w:t>offences. As regards</w:t>
      </w:r>
      <w:r w:rsidR="00F71A7F">
        <w:t xml:space="preserve"> </w:t>
      </w:r>
      <w:r w:rsidR="001B1291">
        <w:t>the second applicant,</w:t>
      </w:r>
      <w:r>
        <w:t xml:space="preserve"> the</w:t>
      </w:r>
      <w:r w:rsidR="00F71A7F">
        <w:t xml:space="preserve"> </w:t>
      </w:r>
      <w:r>
        <w:t>existence of</w:t>
      </w:r>
      <w:r w:rsidR="00F71A7F">
        <w:t xml:space="preserve"> </w:t>
      </w:r>
      <w:r>
        <w:t>other</w:t>
      </w:r>
      <w:r w:rsidR="00F71A7F">
        <w:t xml:space="preserve"> </w:t>
      </w:r>
      <w:r>
        <w:t>complain</w:t>
      </w:r>
      <w:r w:rsidR="00F71A7F">
        <w:t>t</w:t>
      </w:r>
      <w:r>
        <w:t>s</w:t>
      </w:r>
      <w:r w:rsidR="00F71A7F">
        <w:t xml:space="preserve"> </w:t>
      </w:r>
      <w:r>
        <w:t>with</w:t>
      </w:r>
      <w:r w:rsidR="00760BD5">
        <w:t xml:space="preserve"> </w:t>
      </w:r>
      <w:r>
        <w:t>CR</w:t>
      </w:r>
      <w:r w:rsidR="00760BD5">
        <w:t xml:space="preserve"> </w:t>
      </w:r>
      <w:r>
        <w:t>numbers</w:t>
      </w:r>
      <w:r w:rsidR="00760BD5">
        <w:t xml:space="preserve"> </w:t>
      </w:r>
      <w:r>
        <w:t>was</w:t>
      </w:r>
      <w:r w:rsidR="00760BD5">
        <w:t xml:space="preserve"> </w:t>
      </w:r>
      <w:r>
        <w:t>also</w:t>
      </w:r>
      <w:r w:rsidR="00F71A7F">
        <w:t xml:space="preserve"> </w:t>
      </w:r>
      <w:r>
        <w:t>taken</w:t>
      </w:r>
      <w:r w:rsidR="00760BD5">
        <w:t xml:space="preserve"> </w:t>
      </w:r>
      <w:r>
        <w:t>into account in arriving at the</w:t>
      </w:r>
      <w:r w:rsidR="00F71A7F">
        <w:t xml:space="preserve"> </w:t>
      </w:r>
      <w:r>
        <w:t>conclusion</w:t>
      </w:r>
      <w:r w:rsidR="00760BD5">
        <w:t xml:space="preserve"> </w:t>
      </w:r>
      <w:r>
        <w:t>that</w:t>
      </w:r>
      <w:r w:rsidR="00760BD5">
        <w:t xml:space="preserve"> </w:t>
      </w:r>
      <w:r>
        <w:t>it</w:t>
      </w:r>
      <w:r w:rsidR="00760BD5">
        <w:t xml:space="preserve"> </w:t>
      </w:r>
      <w:r>
        <w:t>was not</w:t>
      </w:r>
      <w:r w:rsidR="008D1C10">
        <w:t xml:space="preserve"> just </w:t>
      </w:r>
      <w:r>
        <w:t>a</w:t>
      </w:r>
      <w:r w:rsidR="00760BD5">
        <w:t xml:space="preserve"> </w:t>
      </w:r>
      <w:r>
        <w:t>bold</w:t>
      </w:r>
      <w:r w:rsidR="00760BD5">
        <w:t xml:space="preserve"> </w:t>
      </w:r>
      <w:r>
        <w:t>assertion to say that</w:t>
      </w:r>
      <w:r w:rsidR="00F71A7F">
        <w:t xml:space="preserve"> </w:t>
      </w:r>
      <w:r>
        <w:t>they have</w:t>
      </w:r>
      <w:r w:rsidR="00760BD5">
        <w:t xml:space="preserve"> </w:t>
      </w:r>
      <w:r>
        <w:t>a propensity to commit</w:t>
      </w:r>
      <w:r w:rsidR="00F71A7F">
        <w:t xml:space="preserve"> </w:t>
      </w:r>
      <w:r>
        <w:t>crimes.</w:t>
      </w:r>
    </w:p>
    <w:p w:rsidR="000D0CFB" w:rsidRDefault="00DF676C" w:rsidP="00DF676C">
      <w:pPr>
        <w:spacing w:after="0" w:line="360" w:lineRule="auto"/>
        <w:ind w:firstLine="720"/>
        <w:jc w:val="both"/>
      </w:pPr>
      <w:r>
        <w:t>The a</w:t>
      </w:r>
      <w:r w:rsidR="000D0CFB">
        <w:t>pplicants</w:t>
      </w:r>
      <w:r w:rsidR="00760BD5">
        <w:t xml:space="preserve"> </w:t>
      </w:r>
      <w:r w:rsidR="000D0CFB">
        <w:t>have</w:t>
      </w:r>
      <w:r w:rsidR="00F71A7F">
        <w:t xml:space="preserve"> appealed </w:t>
      </w:r>
      <w:r w:rsidR="000D0CFB">
        <w:t>against the</w:t>
      </w:r>
      <w:r w:rsidR="00760BD5">
        <w:t xml:space="preserve"> </w:t>
      </w:r>
      <w:r w:rsidR="000D0CFB">
        <w:t>magistrate’s</w:t>
      </w:r>
      <w:r w:rsidR="00760BD5">
        <w:t xml:space="preserve"> </w:t>
      </w:r>
      <w:r w:rsidR="000D0CFB">
        <w:t>ruling on the grounds</w:t>
      </w:r>
      <w:r w:rsidR="00760BD5">
        <w:t xml:space="preserve"> </w:t>
      </w:r>
      <w:r w:rsidR="00F71A7F">
        <w:t xml:space="preserve">that the </w:t>
      </w:r>
      <w:r w:rsidR="000D0CFB">
        <w:t>reasons</w:t>
      </w:r>
      <w:r w:rsidR="00760BD5">
        <w:t xml:space="preserve"> </w:t>
      </w:r>
      <w:r w:rsidR="00F71A7F">
        <w:t>for denying bail</w:t>
      </w:r>
      <w:r w:rsidR="00760BD5">
        <w:t xml:space="preserve"> </w:t>
      </w:r>
      <w:r w:rsidR="000D0CFB">
        <w:t>were</w:t>
      </w:r>
      <w:r w:rsidR="00760BD5">
        <w:t xml:space="preserve"> </w:t>
      </w:r>
      <w:r w:rsidR="000D0CFB">
        <w:t>not sufficient</w:t>
      </w:r>
      <w:r w:rsidR="00262309">
        <w:t xml:space="preserve"> and that</w:t>
      </w:r>
      <w:r w:rsidR="00760BD5">
        <w:t xml:space="preserve"> </w:t>
      </w:r>
      <w:r w:rsidR="00262309">
        <w:t>there</w:t>
      </w:r>
      <w:r w:rsidR="00760BD5">
        <w:t xml:space="preserve"> </w:t>
      </w:r>
      <w:r w:rsidR="00262309">
        <w:t xml:space="preserve">was no reliance on </w:t>
      </w:r>
      <w:r w:rsidR="00F71A7F">
        <w:t>relevant authorities</w:t>
      </w:r>
      <w:r w:rsidR="00262309">
        <w:t>. It was</w:t>
      </w:r>
      <w:r w:rsidR="00F71A7F">
        <w:t xml:space="preserve"> </w:t>
      </w:r>
      <w:r w:rsidR="00262309">
        <w:t>argued that the</w:t>
      </w:r>
      <w:r w:rsidR="00F71A7F">
        <w:t xml:space="preserve"> </w:t>
      </w:r>
      <w:r w:rsidR="00262309">
        <w:t>denial of</w:t>
      </w:r>
      <w:r w:rsidR="00F71A7F">
        <w:t xml:space="preserve"> </w:t>
      </w:r>
      <w:r w:rsidR="00262309">
        <w:t>bail was</w:t>
      </w:r>
      <w:r w:rsidR="00F71A7F">
        <w:t xml:space="preserve"> arbitrarily</w:t>
      </w:r>
      <w:r w:rsidR="00760BD5">
        <w:t xml:space="preserve"> </w:t>
      </w:r>
      <w:r w:rsidR="00262309">
        <w:t>arrived</w:t>
      </w:r>
      <w:r w:rsidR="00F71A7F">
        <w:t xml:space="preserve"> </w:t>
      </w:r>
      <w:r w:rsidR="00D37110">
        <w:t>at. It was</w:t>
      </w:r>
      <w:r w:rsidR="00760BD5">
        <w:t xml:space="preserve"> </w:t>
      </w:r>
      <w:r w:rsidR="00262309">
        <w:t>also</w:t>
      </w:r>
      <w:r w:rsidR="00F71A7F">
        <w:t xml:space="preserve"> argued</w:t>
      </w:r>
      <w:r w:rsidR="00262309">
        <w:t xml:space="preserve"> that there</w:t>
      </w:r>
      <w:r w:rsidR="00760BD5">
        <w:t xml:space="preserve"> </w:t>
      </w:r>
      <w:r w:rsidR="00262309">
        <w:t>was</w:t>
      </w:r>
      <w:r w:rsidR="00F71A7F">
        <w:t xml:space="preserve"> </w:t>
      </w:r>
      <w:r w:rsidR="00262309">
        <w:t>a</w:t>
      </w:r>
      <w:r w:rsidR="00760BD5">
        <w:t xml:space="preserve"> </w:t>
      </w:r>
      <w:r w:rsidR="00262309">
        <w:t>failure to</w:t>
      </w:r>
      <w:r w:rsidR="00F71A7F">
        <w:t xml:space="preserve"> </w:t>
      </w:r>
      <w:r w:rsidR="00262309">
        <w:t>recognise that bail is</w:t>
      </w:r>
      <w:r w:rsidR="00760BD5">
        <w:t xml:space="preserve"> </w:t>
      </w:r>
      <w:r w:rsidR="00262309">
        <w:t xml:space="preserve">now a </w:t>
      </w:r>
      <w:r w:rsidR="00F71A7F">
        <w:t>constitutional right</w:t>
      </w:r>
      <w:r w:rsidR="00262309">
        <w:t xml:space="preserve">. </w:t>
      </w:r>
      <w:proofErr w:type="gramStart"/>
      <w:r w:rsidR="00262309" w:rsidRPr="00F71A7F">
        <w:rPr>
          <w:i/>
        </w:rPr>
        <w:t>S</w:t>
      </w:r>
      <w:r w:rsidR="00F71A7F" w:rsidRPr="00F71A7F">
        <w:rPr>
          <w:i/>
        </w:rPr>
        <w:t xml:space="preserve"> </w:t>
      </w:r>
      <w:r w:rsidR="00262309" w:rsidRPr="00DF676C">
        <w:t>v</w:t>
      </w:r>
      <w:r w:rsidR="00760BD5" w:rsidRPr="00F71A7F">
        <w:rPr>
          <w:i/>
        </w:rPr>
        <w:t xml:space="preserve"> </w:t>
      </w:r>
      <w:proofErr w:type="spellStart"/>
      <w:r w:rsidR="00262309" w:rsidRPr="00F71A7F">
        <w:rPr>
          <w:i/>
        </w:rPr>
        <w:t>Munsaka</w:t>
      </w:r>
      <w:proofErr w:type="spellEnd"/>
      <w:r w:rsidR="00760BD5" w:rsidRPr="00F71A7F">
        <w:rPr>
          <w:i/>
        </w:rPr>
        <w:t xml:space="preserve"> </w:t>
      </w:r>
      <w:r w:rsidR="00262309" w:rsidRPr="00DF676C">
        <w:t>HB</w:t>
      </w:r>
      <w:r w:rsidR="001B1291" w:rsidRPr="00DF676C">
        <w:t xml:space="preserve"> </w:t>
      </w:r>
      <w:r w:rsidR="00262309" w:rsidRPr="00DF676C">
        <w:t>57/17</w:t>
      </w:r>
      <w:r w:rsidR="00D37110" w:rsidRPr="00DF676C">
        <w:t>.</w:t>
      </w:r>
      <w:proofErr w:type="gramEnd"/>
      <w:r w:rsidR="00D37110">
        <w:rPr>
          <w:i/>
        </w:rPr>
        <w:t xml:space="preserve"> </w:t>
      </w:r>
      <w:r w:rsidR="00D37110">
        <w:t>Additional</w:t>
      </w:r>
      <w:r w:rsidR="00D37110" w:rsidRPr="00D37110">
        <w:t>ly</w:t>
      </w:r>
      <w:r w:rsidR="001B1291">
        <w:t>,</w:t>
      </w:r>
      <w:r w:rsidR="007D647D">
        <w:rPr>
          <w:i/>
        </w:rPr>
        <w:t xml:space="preserve"> </w:t>
      </w:r>
      <w:r w:rsidR="00D37110">
        <w:t>it</w:t>
      </w:r>
      <w:r w:rsidR="007D647D">
        <w:t xml:space="preserve"> </w:t>
      </w:r>
      <w:r w:rsidR="00F71A7F">
        <w:t>was</w:t>
      </w:r>
      <w:r w:rsidR="00760BD5">
        <w:t xml:space="preserve"> </w:t>
      </w:r>
      <w:r w:rsidR="00F71A7F">
        <w:t>also</w:t>
      </w:r>
      <w:r w:rsidR="00760BD5">
        <w:t xml:space="preserve"> </w:t>
      </w:r>
      <w:r w:rsidR="00262309">
        <w:t>argued that</w:t>
      </w:r>
      <w:r w:rsidR="00F71A7F">
        <w:t xml:space="preserve"> </w:t>
      </w:r>
      <w:r w:rsidR="00262309">
        <w:t>their</w:t>
      </w:r>
      <w:r w:rsidR="00F71A7F">
        <w:t xml:space="preserve"> </w:t>
      </w:r>
      <w:r w:rsidR="00262309">
        <w:t>said</w:t>
      </w:r>
      <w:r w:rsidR="00F71A7F">
        <w:t xml:space="preserve"> </w:t>
      </w:r>
      <w:r w:rsidR="00262309">
        <w:t>propensity to</w:t>
      </w:r>
      <w:r w:rsidR="00F71A7F">
        <w:t xml:space="preserve"> </w:t>
      </w:r>
      <w:r w:rsidR="00262309">
        <w:t>commit</w:t>
      </w:r>
      <w:r w:rsidR="00F71A7F">
        <w:t xml:space="preserve"> </w:t>
      </w:r>
      <w:r w:rsidR="00262309">
        <w:t>crimes</w:t>
      </w:r>
      <w:r w:rsidR="00760BD5">
        <w:t xml:space="preserve"> </w:t>
      </w:r>
      <w:r w:rsidR="00262309">
        <w:t>was not backed</w:t>
      </w:r>
      <w:r w:rsidR="00760BD5">
        <w:t xml:space="preserve"> </w:t>
      </w:r>
      <w:r w:rsidR="00262309">
        <w:t>by</w:t>
      </w:r>
      <w:r w:rsidR="00F71A7F">
        <w:t xml:space="preserve"> </w:t>
      </w:r>
      <w:r w:rsidR="00262309">
        <w:t>material</w:t>
      </w:r>
      <w:r w:rsidR="00760BD5">
        <w:t xml:space="preserve"> </w:t>
      </w:r>
      <w:r w:rsidR="00F71A7F">
        <w:t>evidence</w:t>
      </w:r>
      <w:r w:rsidR="0059755F">
        <w:t xml:space="preserve"> and that</w:t>
      </w:r>
      <w:r w:rsidR="00760BD5">
        <w:t xml:space="preserve"> </w:t>
      </w:r>
      <w:r w:rsidR="0059755F">
        <w:t>they</w:t>
      </w:r>
      <w:r w:rsidR="00F71A7F">
        <w:t xml:space="preserve"> </w:t>
      </w:r>
      <w:r w:rsidR="0059755F">
        <w:t>could</w:t>
      </w:r>
      <w:r w:rsidR="00F71A7F">
        <w:t xml:space="preserve"> </w:t>
      </w:r>
      <w:r w:rsidR="0059755F">
        <w:t>not</w:t>
      </w:r>
      <w:r w:rsidR="00760BD5">
        <w:t xml:space="preserve"> </w:t>
      </w:r>
      <w:r w:rsidR="0059755F">
        <w:t>be</w:t>
      </w:r>
      <w:r w:rsidR="00760BD5">
        <w:t xml:space="preserve"> </w:t>
      </w:r>
      <w:r w:rsidR="0059755F">
        <w:t>charged</w:t>
      </w:r>
      <w:r w:rsidR="00F71A7F">
        <w:t xml:space="preserve"> criminally</w:t>
      </w:r>
      <w:r w:rsidR="00760BD5">
        <w:t xml:space="preserve"> </w:t>
      </w:r>
      <w:r w:rsidR="0059755F">
        <w:t>for</w:t>
      </w:r>
      <w:r w:rsidR="00F71A7F">
        <w:t xml:space="preserve"> failing</w:t>
      </w:r>
      <w:r w:rsidR="0059755F">
        <w:t xml:space="preserve"> </w:t>
      </w:r>
      <w:r w:rsidR="00F71A7F">
        <w:t>to perform</w:t>
      </w:r>
      <w:r w:rsidR="0059755F">
        <w:t xml:space="preserve"> a</w:t>
      </w:r>
      <w:r w:rsidR="00760BD5">
        <w:t xml:space="preserve"> </w:t>
      </w:r>
      <w:r w:rsidR="00F71A7F">
        <w:t xml:space="preserve">contractual </w:t>
      </w:r>
      <w:r w:rsidR="0059755F">
        <w:t>obligation.</w:t>
      </w:r>
    </w:p>
    <w:p w:rsidR="008C0847" w:rsidRDefault="002B1EE5" w:rsidP="00DF676C">
      <w:pPr>
        <w:spacing w:after="0" w:line="360" w:lineRule="auto"/>
        <w:ind w:firstLine="720"/>
        <w:jc w:val="both"/>
      </w:pPr>
      <w:r>
        <w:t>Whilst agreeing</w:t>
      </w:r>
      <w:r w:rsidR="001B1291">
        <w:t xml:space="preserve"> </w:t>
      </w:r>
      <w:r w:rsidR="008C0847">
        <w:t>that</w:t>
      </w:r>
      <w:r w:rsidR="00760BD5">
        <w:t xml:space="preserve"> </w:t>
      </w:r>
      <w:r w:rsidR="008C0847">
        <w:t>generally</w:t>
      </w:r>
      <w:r w:rsidR="00F71A7F">
        <w:t xml:space="preserve"> </w:t>
      </w:r>
      <w:r w:rsidR="008C0847">
        <w:t>an</w:t>
      </w:r>
      <w:r w:rsidR="00760BD5">
        <w:t xml:space="preserve"> </w:t>
      </w:r>
      <w:r w:rsidR="008C0847">
        <w:t>appellate</w:t>
      </w:r>
      <w:r w:rsidR="00760BD5">
        <w:t xml:space="preserve"> </w:t>
      </w:r>
      <w:r w:rsidR="008C0847">
        <w:t>court</w:t>
      </w:r>
      <w:r w:rsidR="00F71A7F">
        <w:t xml:space="preserve"> will</w:t>
      </w:r>
      <w:r w:rsidR="00760BD5">
        <w:t xml:space="preserve"> </w:t>
      </w:r>
      <w:r w:rsidR="008C0847">
        <w:t>not interfere</w:t>
      </w:r>
      <w:r w:rsidR="00760BD5">
        <w:t xml:space="preserve"> </w:t>
      </w:r>
      <w:r w:rsidR="008C0847">
        <w:t>with the exercise</w:t>
      </w:r>
      <w:r w:rsidR="00F71A7F">
        <w:t xml:space="preserve"> </w:t>
      </w:r>
      <w:r w:rsidR="008C0847">
        <w:t>of</w:t>
      </w:r>
      <w:r w:rsidR="00760BD5">
        <w:t xml:space="preserve"> </w:t>
      </w:r>
      <w:r w:rsidR="008C0847">
        <w:t>discretion</w:t>
      </w:r>
      <w:r w:rsidR="00760BD5">
        <w:t xml:space="preserve"> </w:t>
      </w:r>
      <w:r w:rsidR="008C0847">
        <w:t>by</w:t>
      </w:r>
      <w:r w:rsidR="00760BD5">
        <w:t xml:space="preserve"> </w:t>
      </w:r>
      <w:r w:rsidR="008C0847">
        <w:t>the lower</w:t>
      </w:r>
      <w:r w:rsidR="00F71A7F">
        <w:t xml:space="preserve"> </w:t>
      </w:r>
      <w:r w:rsidR="008C0847">
        <w:t>court</w:t>
      </w:r>
      <w:r w:rsidR="00F71A7F">
        <w:t xml:space="preserve"> </w:t>
      </w:r>
      <w:r w:rsidR="008C0847">
        <w:t>unless there is</w:t>
      </w:r>
      <w:r w:rsidR="00760BD5">
        <w:t xml:space="preserve"> </w:t>
      </w:r>
      <w:r w:rsidR="008C0847">
        <w:t>some</w:t>
      </w:r>
      <w:r w:rsidR="00F71A7F">
        <w:t xml:space="preserve"> </w:t>
      </w:r>
      <w:r w:rsidR="008C0847">
        <w:t xml:space="preserve">misdirection, </w:t>
      </w:r>
      <w:r w:rsidR="00F71A7F">
        <w:t>the</w:t>
      </w:r>
      <w:r w:rsidR="00760BD5">
        <w:t xml:space="preserve"> </w:t>
      </w:r>
      <w:r w:rsidR="008C0847">
        <w:t>state</w:t>
      </w:r>
      <w:r w:rsidR="00760BD5">
        <w:t xml:space="preserve"> </w:t>
      </w:r>
      <w:r w:rsidR="00D37110">
        <w:t>wa</w:t>
      </w:r>
      <w:r w:rsidR="008C0847">
        <w:t xml:space="preserve">s not </w:t>
      </w:r>
      <w:r w:rsidR="007D647D">
        <w:t>opposed</w:t>
      </w:r>
      <w:r w:rsidR="008C0847">
        <w:t xml:space="preserve"> t</w:t>
      </w:r>
      <w:r w:rsidR="00F71A7F">
        <w:t>o</w:t>
      </w:r>
      <w:r w:rsidR="008C0847">
        <w:t xml:space="preserve"> the</w:t>
      </w:r>
      <w:r w:rsidR="00F71A7F">
        <w:t xml:space="preserve"> </w:t>
      </w:r>
      <w:r w:rsidR="008C0847">
        <w:t xml:space="preserve">application. </w:t>
      </w:r>
      <w:r w:rsidR="00FE701E">
        <w:t>The</w:t>
      </w:r>
      <w:r w:rsidR="00760BD5">
        <w:t xml:space="preserve"> </w:t>
      </w:r>
      <w:r w:rsidR="00FE701E">
        <w:t>state</w:t>
      </w:r>
      <w:r w:rsidR="007D647D">
        <w:t xml:space="preserve"> </w:t>
      </w:r>
      <w:r w:rsidR="00D37110">
        <w:t xml:space="preserve">observed that </w:t>
      </w:r>
      <w:r w:rsidR="00FE701E">
        <w:t>the magistrate’s</w:t>
      </w:r>
      <w:r w:rsidR="00F71A7F">
        <w:t xml:space="preserve"> </w:t>
      </w:r>
      <w:r w:rsidR="00FE701E">
        <w:t>misdirection</w:t>
      </w:r>
      <w:r w:rsidR="00D37110">
        <w:t xml:space="preserve"> was</w:t>
      </w:r>
      <w:r w:rsidR="00F71A7F">
        <w:t xml:space="preserve"> </w:t>
      </w:r>
      <w:r w:rsidR="00FE701E">
        <w:t>in</w:t>
      </w:r>
      <w:r w:rsidR="00760BD5">
        <w:t xml:space="preserve"> </w:t>
      </w:r>
      <w:r w:rsidR="00FE701E">
        <w:t>the finding that</w:t>
      </w:r>
      <w:r w:rsidR="00760BD5">
        <w:t xml:space="preserve"> </w:t>
      </w:r>
      <w:r w:rsidR="00FE701E">
        <w:t>they</w:t>
      </w:r>
      <w:r w:rsidR="00760BD5">
        <w:t xml:space="preserve"> </w:t>
      </w:r>
      <w:r w:rsidR="00FE701E">
        <w:t>were</w:t>
      </w:r>
      <w:r w:rsidR="00760BD5">
        <w:t xml:space="preserve"> </w:t>
      </w:r>
      <w:r w:rsidR="00FE701E">
        <w:t xml:space="preserve">not </w:t>
      </w:r>
      <w:r w:rsidR="00F71A7F">
        <w:t>suitable candidates</w:t>
      </w:r>
      <w:r w:rsidR="00760BD5">
        <w:t xml:space="preserve"> </w:t>
      </w:r>
      <w:r w:rsidR="00FE701E">
        <w:t>for</w:t>
      </w:r>
      <w:r w:rsidR="00760BD5">
        <w:t xml:space="preserve"> </w:t>
      </w:r>
      <w:r w:rsidR="00FE701E">
        <w:t>bail</w:t>
      </w:r>
      <w:r w:rsidR="00760BD5">
        <w:t xml:space="preserve"> </w:t>
      </w:r>
      <w:r w:rsidR="00FE701E">
        <w:t>because</w:t>
      </w:r>
      <w:r w:rsidR="00760BD5">
        <w:t xml:space="preserve"> </w:t>
      </w:r>
      <w:r w:rsidR="00FE701E">
        <w:t>there</w:t>
      </w:r>
      <w:r w:rsidR="00760BD5">
        <w:t xml:space="preserve"> </w:t>
      </w:r>
      <w:r w:rsidR="00FE701E">
        <w:t>was</w:t>
      </w:r>
      <w:r w:rsidR="00F71A7F">
        <w:t xml:space="preserve"> </w:t>
      </w:r>
      <w:r w:rsidR="00FE701E">
        <w:t xml:space="preserve">overwhelming </w:t>
      </w:r>
      <w:r w:rsidR="00F71A7F">
        <w:t xml:space="preserve">evidence </w:t>
      </w:r>
      <w:r w:rsidR="00FE701E">
        <w:t>against</w:t>
      </w:r>
      <w:r w:rsidR="00F71A7F">
        <w:t xml:space="preserve"> </w:t>
      </w:r>
      <w:r w:rsidR="00FE701E">
        <w:t>them and that</w:t>
      </w:r>
      <w:r w:rsidR="00F71A7F">
        <w:t xml:space="preserve"> </w:t>
      </w:r>
      <w:r w:rsidR="00FE701E">
        <w:t>they</w:t>
      </w:r>
      <w:r w:rsidR="00760BD5">
        <w:t xml:space="preserve"> </w:t>
      </w:r>
      <w:r w:rsidR="00FE701E">
        <w:t>had</w:t>
      </w:r>
      <w:r w:rsidR="00760BD5">
        <w:t xml:space="preserve"> </w:t>
      </w:r>
      <w:r w:rsidR="00FE701E">
        <w:t>a propensity to</w:t>
      </w:r>
      <w:r w:rsidR="00F71A7F">
        <w:t xml:space="preserve"> </w:t>
      </w:r>
      <w:r w:rsidR="00FE701E">
        <w:t>commit</w:t>
      </w:r>
      <w:r w:rsidR="00F71A7F">
        <w:t xml:space="preserve"> </w:t>
      </w:r>
      <w:r w:rsidR="00FE701E">
        <w:t>similar offences.</w:t>
      </w:r>
      <w:r w:rsidR="00D37110">
        <w:t xml:space="preserve"> In conceding to bail</w:t>
      </w:r>
      <w:r w:rsidR="001B1291">
        <w:t>,</w:t>
      </w:r>
      <w:r w:rsidR="00D37110">
        <w:t xml:space="preserve"> the state argued that what the applicants were facing were mere allegations.</w:t>
      </w:r>
      <w:r w:rsidR="00584C59">
        <w:t xml:space="preserve"> </w:t>
      </w:r>
      <w:r w:rsidR="00F71A7F">
        <w:t>The state</w:t>
      </w:r>
      <w:r w:rsidR="00584C59">
        <w:t xml:space="preserve"> also</w:t>
      </w:r>
      <w:r w:rsidR="00F71A7F">
        <w:t xml:space="preserve"> dr</w:t>
      </w:r>
      <w:r w:rsidR="00D37110">
        <w:t>e</w:t>
      </w:r>
      <w:r w:rsidR="00F71A7F">
        <w:t>w</w:t>
      </w:r>
      <w:r w:rsidR="00584C59">
        <w:t xml:space="preserve"> on the</w:t>
      </w:r>
      <w:r w:rsidR="00F71A7F">
        <w:t xml:space="preserve"> </w:t>
      </w:r>
      <w:r w:rsidR="00584C59">
        <w:t>case</w:t>
      </w:r>
      <w:r w:rsidR="00760BD5">
        <w:t xml:space="preserve"> </w:t>
      </w:r>
      <w:r w:rsidR="00584C59">
        <w:t>of</w:t>
      </w:r>
      <w:r w:rsidR="00760BD5">
        <w:t xml:space="preserve"> </w:t>
      </w:r>
      <w:r w:rsidR="00584C59" w:rsidRPr="00D37110">
        <w:rPr>
          <w:i/>
        </w:rPr>
        <w:t>S</w:t>
      </w:r>
      <w:r w:rsidR="00760BD5" w:rsidRPr="00D37110">
        <w:rPr>
          <w:i/>
        </w:rPr>
        <w:t xml:space="preserve"> </w:t>
      </w:r>
      <w:r w:rsidR="00584C59" w:rsidRPr="00DF676C">
        <w:t>v</w:t>
      </w:r>
      <w:r w:rsidR="00760BD5" w:rsidRPr="00D37110">
        <w:rPr>
          <w:i/>
        </w:rPr>
        <w:t xml:space="preserve"> </w:t>
      </w:r>
      <w:r w:rsidR="00584C59" w:rsidRPr="00D37110">
        <w:rPr>
          <w:i/>
        </w:rPr>
        <w:t>Hussey</w:t>
      </w:r>
      <w:r w:rsidR="00584C59">
        <w:t xml:space="preserve"> 1991 (2) ZLR</w:t>
      </w:r>
      <w:r w:rsidR="00760BD5">
        <w:t xml:space="preserve"> </w:t>
      </w:r>
      <w:r w:rsidR="00584C59">
        <w:t>187 (SC)</w:t>
      </w:r>
      <w:r w:rsidR="00760BD5">
        <w:t xml:space="preserve"> </w:t>
      </w:r>
      <w:r w:rsidR="00584C59">
        <w:t>to argue</w:t>
      </w:r>
      <w:r w:rsidR="00760BD5">
        <w:t xml:space="preserve"> </w:t>
      </w:r>
      <w:r w:rsidR="00584C59">
        <w:t>that</w:t>
      </w:r>
      <w:r w:rsidR="00760BD5">
        <w:t xml:space="preserve"> </w:t>
      </w:r>
      <w:r w:rsidR="00584C59">
        <w:t>there</w:t>
      </w:r>
      <w:r w:rsidR="00760BD5">
        <w:t xml:space="preserve"> </w:t>
      </w:r>
      <w:r w:rsidR="00584C59">
        <w:t>was</w:t>
      </w:r>
      <w:r w:rsidR="00760BD5">
        <w:t xml:space="preserve"> </w:t>
      </w:r>
      <w:r w:rsidR="00584C59">
        <w:t>a</w:t>
      </w:r>
      <w:r w:rsidR="00760BD5">
        <w:t xml:space="preserve"> </w:t>
      </w:r>
      <w:r w:rsidR="00584C59">
        <w:t>misdirection since the</w:t>
      </w:r>
      <w:r w:rsidR="00F71A7F">
        <w:t xml:space="preserve"> seriousness</w:t>
      </w:r>
      <w:r w:rsidR="00584C59">
        <w:t xml:space="preserve"> of</w:t>
      </w:r>
      <w:r w:rsidR="00760BD5">
        <w:t xml:space="preserve"> </w:t>
      </w:r>
      <w:r w:rsidR="00584C59">
        <w:t>an offence</w:t>
      </w:r>
      <w:r w:rsidR="00760BD5">
        <w:t xml:space="preserve"> </w:t>
      </w:r>
      <w:r w:rsidR="00584C59">
        <w:t>on its own</w:t>
      </w:r>
      <w:r w:rsidR="00760BD5">
        <w:t xml:space="preserve"> </w:t>
      </w:r>
      <w:r w:rsidR="00584C59">
        <w:t>does</w:t>
      </w:r>
      <w:r w:rsidR="00F71A7F">
        <w:t xml:space="preserve"> </w:t>
      </w:r>
      <w:r w:rsidR="00584C59">
        <w:t>not</w:t>
      </w:r>
      <w:r w:rsidR="00760BD5">
        <w:t xml:space="preserve"> </w:t>
      </w:r>
      <w:r w:rsidR="00584C59">
        <w:t>justify the</w:t>
      </w:r>
      <w:r w:rsidR="00760BD5">
        <w:t xml:space="preserve"> </w:t>
      </w:r>
      <w:r w:rsidR="00F71A7F">
        <w:t>refusal of</w:t>
      </w:r>
      <w:r w:rsidR="00760BD5">
        <w:t xml:space="preserve"> </w:t>
      </w:r>
      <w:r w:rsidR="00584C59">
        <w:t>bail. It was also</w:t>
      </w:r>
      <w:r w:rsidR="00F71A7F">
        <w:t xml:space="preserve"> </w:t>
      </w:r>
      <w:r w:rsidR="00584C59">
        <w:t>argued</w:t>
      </w:r>
      <w:r w:rsidR="00760BD5">
        <w:t xml:space="preserve"> </w:t>
      </w:r>
      <w:r w:rsidR="00584C59">
        <w:t>that</w:t>
      </w:r>
      <w:r w:rsidR="00F71A7F">
        <w:t xml:space="preserve"> </w:t>
      </w:r>
      <w:r w:rsidR="00584C59">
        <w:t>n</w:t>
      </w:r>
      <w:r w:rsidR="00D37110">
        <w:t>o</w:t>
      </w:r>
      <w:r w:rsidR="00F71A7F">
        <w:t xml:space="preserve"> compelling</w:t>
      </w:r>
      <w:r w:rsidR="00584C59">
        <w:t xml:space="preserve"> reasons were</w:t>
      </w:r>
      <w:r w:rsidR="00760BD5">
        <w:t xml:space="preserve"> </w:t>
      </w:r>
      <w:r w:rsidR="00584C59">
        <w:t>given</w:t>
      </w:r>
      <w:r w:rsidR="00760BD5">
        <w:t xml:space="preserve"> </w:t>
      </w:r>
      <w:r w:rsidR="00584C59">
        <w:t>to</w:t>
      </w:r>
      <w:r w:rsidR="00F71A7F">
        <w:t xml:space="preserve"> </w:t>
      </w:r>
      <w:r w:rsidR="00584C59">
        <w:t>deny</w:t>
      </w:r>
      <w:r w:rsidR="00F71A7F">
        <w:t xml:space="preserve"> their</w:t>
      </w:r>
      <w:r w:rsidR="00760BD5">
        <w:t xml:space="preserve"> </w:t>
      </w:r>
      <w:r w:rsidR="00F71A7F">
        <w:t>constitutional right</w:t>
      </w:r>
      <w:r w:rsidR="00584C59">
        <w:t xml:space="preserve"> to liberty </w:t>
      </w:r>
      <w:r w:rsidR="00F71A7F">
        <w:t>particular</w:t>
      </w:r>
      <w:r w:rsidR="00760BD5">
        <w:t xml:space="preserve"> </w:t>
      </w:r>
      <w:r w:rsidR="00584C59">
        <w:t>as</w:t>
      </w:r>
      <w:r w:rsidR="00760BD5">
        <w:t xml:space="preserve"> </w:t>
      </w:r>
      <w:r w:rsidR="00584C59">
        <w:t>they had</w:t>
      </w:r>
      <w:r w:rsidR="00F71A7F">
        <w:t xml:space="preserve"> </w:t>
      </w:r>
      <w:r w:rsidR="00584C59">
        <w:t>not run away</w:t>
      </w:r>
      <w:r w:rsidR="00760BD5">
        <w:t xml:space="preserve"> </w:t>
      </w:r>
      <w:r w:rsidR="00584C59">
        <w:t>from the</w:t>
      </w:r>
      <w:r w:rsidR="00760BD5">
        <w:t xml:space="preserve"> </w:t>
      </w:r>
      <w:r w:rsidR="00F71A7F">
        <w:t xml:space="preserve">criminal justice </w:t>
      </w:r>
      <w:r w:rsidR="00584C59">
        <w:t>system.</w:t>
      </w:r>
    </w:p>
    <w:p w:rsidR="00F71A7F" w:rsidRPr="0028768F" w:rsidRDefault="00D37110" w:rsidP="00DF676C">
      <w:pPr>
        <w:autoSpaceDE w:val="0"/>
        <w:autoSpaceDN w:val="0"/>
        <w:adjustRightInd w:val="0"/>
        <w:spacing w:after="0" w:line="360" w:lineRule="auto"/>
        <w:ind w:firstLine="720"/>
        <w:jc w:val="both"/>
      </w:pPr>
      <w:r>
        <w:rPr>
          <w:color w:val="000000"/>
        </w:rPr>
        <w:t xml:space="preserve">A key </w:t>
      </w:r>
      <w:r w:rsidR="00F71A7F" w:rsidRPr="0028768F">
        <w:rPr>
          <w:color w:val="000000"/>
        </w:rPr>
        <w:t>factor to be considered in whether or not to grant bail is whether the accused will not stand his or her trial or appear to receive sentence. In considering w</w:t>
      </w:r>
      <w:r w:rsidR="00F71A7F">
        <w:rPr>
          <w:color w:val="000000"/>
        </w:rPr>
        <w:t>h</w:t>
      </w:r>
      <w:r w:rsidR="00F71A7F" w:rsidRPr="0028768F">
        <w:rPr>
          <w:color w:val="000000"/>
        </w:rPr>
        <w:t xml:space="preserve">ether this has </w:t>
      </w:r>
      <w:r w:rsidR="00F71A7F" w:rsidRPr="0028768F">
        <w:rPr>
          <w:color w:val="000000"/>
        </w:rPr>
        <w:lastRenderedPageBreak/>
        <w:t xml:space="preserve">been established the court is enjoined to consider among others the strength of the case for the prosecution and the corresponding incentive of the accused to flee. The nature and gravity of the offence or the nature and gravity of the likely penalty </w:t>
      </w:r>
      <w:r w:rsidR="001B1291">
        <w:rPr>
          <w:color w:val="000000"/>
        </w:rPr>
        <w:t xml:space="preserve">are </w:t>
      </w:r>
      <w:r w:rsidR="00F71A7F" w:rsidRPr="0028768F">
        <w:rPr>
          <w:color w:val="000000"/>
        </w:rPr>
        <w:t xml:space="preserve">also taken into account. </w:t>
      </w:r>
    </w:p>
    <w:p w:rsidR="00BF6488" w:rsidRDefault="00BF6488" w:rsidP="0040594E">
      <w:pPr>
        <w:spacing w:after="0" w:line="360" w:lineRule="auto"/>
        <w:ind w:firstLine="720"/>
        <w:jc w:val="both"/>
      </w:pPr>
      <w:r>
        <w:t xml:space="preserve">In the absence of any </w:t>
      </w:r>
      <w:r w:rsidR="00F71A7F">
        <w:t xml:space="preserve">positive </w:t>
      </w:r>
      <w:r>
        <w:t>identification</w:t>
      </w:r>
      <w:r w:rsidR="00F71A7F">
        <w:t xml:space="preserve"> </w:t>
      </w:r>
      <w:r>
        <w:t>having been</w:t>
      </w:r>
      <w:r w:rsidR="00F71A7F">
        <w:t xml:space="preserve"> produced</w:t>
      </w:r>
      <w:r w:rsidR="00AE7441">
        <w:t>,</w:t>
      </w:r>
      <w:r w:rsidR="00F71A7F">
        <w:t xml:space="preserve"> I</w:t>
      </w:r>
      <w:r>
        <w:t xml:space="preserve"> am</w:t>
      </w:r>
      <w:r w:rsidR="00760BD5">
        <w:t xml:space="preserve"> </w:t>
      </w:r>
      <w:r>
        <w:t>at great pains</w:t>
      </w:r>
      <w:r w:rsidR="00760BD5">
        <w:t xml:space="preserve"> </w:t>
      </w:r>
      <w:r>
        <w:t>to see</w:t>
      </w:r>
      <w:r w:rsidR="00760BD5">
        <w:t xml:space="preserve"> </w:t>
      </w:r>
      <w:r>
        <w:t>how the</w:t>
      </w:r>
      <w:r w:rsidR="00F71A7F">
        <w:t xml:space="preserve"> </w:t>
      </w:r>
      <w:r>
        <w:t>magistrate</w:t>
      </w:r>
      <w:r w:rsidR="00F71A7F">
        <w:t xml:space="preserve"> </w:t>
      </w:r>
      <w:r>
        <w:t>can</w:t>
      </w:r>
      <w:r w:rsidR="00760BD5">
        <w:t xml:space="preserve"> </w:t>
      </w:r>
      <w:r>
        <w:t>be</w:t>
      </w:r>
      <w:r w:rsidR="00F71A7F">
        <w:t xml:space="preserve"> </w:t>
      </w:r>
      <w:r>
        <w:t>said to</w:t>
      </w:r>
      <w:r w:rsidR="00F71A7F">
        <w:t xml:space="preserve"> </w:t>
      </w:r>
      <w:r>
        <w:t>have</w:t>
      </w:r>
      <w:r w:rsidR="00760BD5">
        <w:t xml:space="preserve"> </w:t>
      </w:r>
      <w:r>
        <w:t>misdirected</w:t>
      </w:r>
      <w:r w:rsidR="00AE7441">
        <w:t xml:space="preserve"> herself</w:t>
      </w:r>
      <w:r w:rsidR="007D647D">
        <w:t xml:space="preserve"> </w:t>
      </w:r>
      <w:r>
        <w:t>in</w:t>
      </w:r>
      <w:r w:rsidR="00F71A7F">
        <w:t xml:space="preserve"> </w:t>
      </w:r>
      <w:r>
        <w:t>not</w:t>
      </w:r>
      <w:r w:rsidR="00760BD5">
        <w:t xml:space="preserve"> </w:t>
      </w:r>
      <w:r>
        <w:t>granting</w:t>
      </w:r>
      <w:r w:rsidR="00F71A7F">
        <w:t xml:space="preserve"> </w:t>
      </w:r>
      <w:r>
        <w:t>bail.</w:t>
      </w:r>
      <w:r w:rsidR="00F71A7F">
        <w:t xml:space="preserve"> </w:t>
      </w:r>
      <w:r>
        <w:t>The record</w:t>
      </w:r>
      <w:r w:rsidR="007D647D">
        <w:t xml:space="preserve"> </w:t>
      </w:r>
      <w:r>
        <w:t>is</w:t>
      </w:r>
      <w:r w:rsidR="00F71A7F">
        <w:t xml:space="preserve"> clear</w:t>
      </w:r>
      <w:r w:rsidR="00760BD5">
        <w:t xml:space="preserve"> </w:t>
      </w:r>
      <w:r>
        <w:t>that</w:t>
      </w:r>
      <w:r w:rsidR="00760BD5">
        <w:t xml:space="preserve"> </w:t>
      </w:r>
      <w:r>
        <w:t>the</w:t>
      </w:r>
      <w:r w:rsidR="00F71A7F">
        <w:t xml:space="preserve"> </w:t>
      </w:r>
      <w:r>
        <w:t>I</w:t>
      </w:r>
      <w:r w:rsidR="00AE7441">
        <w:t xml:space="preserve">.O </w:t>
      </w:r>
      <w:r w:rsidR="00F71A7F">
        <w:t>aske</w:t>
      </w:r>
      <w:r>
        <w:t>d</w:t>
      </w:r>
      <w:r w:rsidR="00F71A7F">
        <w:t xml:space="preserve"> </w:t>
      </w:r>
      <w:r>
        <w:t>for</w:t>
      </w:r>
      <w:r w:rsidR="00760BD5">
        <w:t xml:space="preserve"> </w:t>
      </w:r>
      <w:r w:rsidR="00F71A7F">
        <w:t>more time</w:t>
      </w:r>
      <w:r w:rsidR="00760BD5">
        <w:t xml:space="preserve"> </w:t>
      </w:r>
      <w:r>
        <w:t>to</w:t>
      </w:r>
      <w:r w:rsidR="00760BD5">
        <w:t xml:space="preserve"> </w:t>
      </w:r>
      <w:r>
        <w:t>verify</w:t>
      </w:r>
      <w:r w:rsidR="00760BD5">
        <w:t xml:space="preserve"> </w:t>
      </w:r>
      <w:r w:rsidR="00AE7441">
        <w:t>who</w:t>
      </w:r>
      <w:r w:rsidR="007D647D">
        <w:t xml:space="preserve"> </w:t>
      </w:r>
      <w:r w:rsidR="00AE7441">
        <w:t>the</w:t>
      </w:r>
      <w:r w:rsidR="00760BD5">
        <w:t xml:space="preserve"> </w:t>
      </w:r>
      <w:r>
        <w:t>accused</w:t>
      </w:r>
      <w:r w:rsidR="00F71A7F">
        <w:t xml:space="preserve"> </w:t>
      </w:r>
      <w:r>
        <w:t>real</w:t>
      </w:r>
      <w:r w:rsidR="00AE7441">
        <w:t>l</w:t>
      </w:r>
      <w:r>
        <w:t>y</w:t>
      </w:r>
      <w:r w:rsidR="00F71A7F">
        <w:t xml:space="preserve"> </w:t>
      </w:r>
      <w:r>
        <w:t xml:space="preserve">are. The </w:t>
      </w:r>
      <w:r w:rsidR="00F71A7F">
        <w:t xml:space="preserve">magistrate’s </w:t>
      </w:r>
      <w:r>
        <w:t>reasons</w:t>
      </w:r>
      <w:r w:rsidR="00760BD5">
        <w:t xml:space="preserve"> </w:t>
      </w:r>
      <w:r>
        <w:t xml:space="preserve">are </w:t>
      </w:r>
      <w:r w:rsidR="00F71A7F">
        <w:t xml:space="preserve">clear that </w:t>
      </w:r>
      <w:r>
        <w:t>the absence</w:t>
      </w:r>
      <w:r w:rsidR="001B1291">
        <w:t xml:space="preserve"> of </w:t>
      </w:r>
      <w:r w:rsidR="002B1EE5">
        <w:t>confirmed identities</w:t>
      </w:r>
      <w:r w:rsidR="00F71A7F">
        <w:t xml:space="preserve"> </w:t>
      </w:r>
      <w:r>
        <w:t>was</w:t>
      </w:r>
      <w:r w:rsidR="00F71A7F">
        <w:t xml:space="preserve"> crucial </w:t>
      </w:r>
      <w:r>
        <w:t>in the</w:t>
      </w:r>
      <w:r w:rsidR="00F71A7F">
        <w:t xml:space="preserve"> </w:t>
      </w:r>
      <w:r>
        <w:t>decision</w:t>
      </w:r>
      <w:r w:rsidR="00760BD5">
        <w:t xml:space="preserve"> </w:t>
      </w:r>
      <w:r>
        <w:t>to</w:t>
      </w:r>
      <w:r w:rsidR="00F71A7F">
        <w:t xml:space="preserve"> </w:t>
      </w:r>
      <w:r w:rsidR="00AE7441">
        <w:t>re</w:t>
      </w:r>
      <w:r>
        <w:t>fuse</w:t>
      </w:r>
      <w:r w:rsidR="00760BD5">
        <w:t xml:space="preserve"> </w:t>
      </w:r>
      <w:r>
        <w:t>to</w:t>
      </w:r>
      <w:r w:rsidR="00F71A7F">
        <w:t xml:space="preserve"> </w:t>
      </w:r>
      <w:r>
        <w:t>grant</w:t>
      </w:r>
      <w:r w:rsidR="00F71A7F">
        <w:t xml:space="preserve"> </w:t>
      </w:r>
      <w:r>
        <w:t>bail.</w:t>
      </w:r>
      <w:r w:rsidR="001732C3">
        <w:t xml:space="preserve"> Whilst the</w:t>
      </w:r>
      <w:r w:rsidR="00760BD5">
        <w:t xml:space="preserve"> </w:t>
      </w:r>
      <w:r w:rsidR="001732C3">
        <w:t>record</w:t>
      </w:r>
      <w:r w:rsidR="00760BD5">
        <w:t xml:space="preserve"> </w:t>
      </w:r>
      <w:r w:rsidR="001732C3">
        <w:t>show</w:t>
      </w:r>
      <w:r w:rsidR="00AE7441">
        <w:t>s</w:t>
      </w:r>
      <w:r w:rsidR="001732C3">
        <w:t xml:space="preserve"> that</w:t>
      </w:r>
      <w:r w:rsidR="00760BD5">
        <w:t xml:space="preserve"> </w:t>
      </w:r>
      <w:r w:rsidR="00F71A7F">
        <w:t>applicant’s counsel</w:t>
      </w:r>
      <w:r w:rsidR="00760BD5">
        <w:t xml:space="preserve"> </w:t>
      </w:r>
      <w:r w:rsidR="00F71A7F">
        <w:t>pivoted</w:t>
      </w:r>
      <w:r w:rsidR="001732C3">
        <w:t xml:space="preserve"> his argument</w:t>
      </w:r>
      <w:r w:rsidR="00760BD5">
        <w:t xml:space="preserve"> </w:t>
      </w:r>
      <w:r w:rsidR="001732C3">
        <w:t>on the</w:t>
      </w:r>
      <w:r w:rsidR="00760BD5">
        <w:t xml:space="preserve"> </w:t>
      </w:r>
      <w:r w:rsidR="001732C3">
        <w:t>fact that</w:t>
      </w:r>
      <w:r w:rsidR="00F71A7F">
        <w:t xml:space="preserve"> </w:t>
      </w:r>
      <w:r w:rsidR="001732C3">
        <w:t>it was</w:t>
      </w:r>
      <w:r w:rsidR="00F71A7F">
        <w:t xml:space="preserve"> </w:t>
      </w:r>
      <w:r w:rsidR="001732C3">
        <w:t>not unusual for</w:t>
      </w:r>
      <w:r w:rsidR="00760BD5">
        <w:t xml:space="preserve"> </w:t>
      </w:r>
      <w:r w:rsidR="001732C3">
        <w:t>a</w:t>
      </w:r>
      <w:r w:rsidR="00760BD5">
        <w:t xml:space="preserve"> </w:t>
      </w:r>
      <w:r w:rsidR="001732C3">
        <w:t xml:space="preserve">person to </w:t>
      </w:r>
      <w:r w:rsidR="00F71A7F">
        <w:t>have</w:t>
      </w:r>
      <w:r w:rsidR="00760BD5">
        <w:t xml:space="preserve"> </w:t>
      </w:r>
      <w:r w:rsidR="00F71A7F">
        <w:t xml:space="preserve">two </w:t>
      </w:r>
      <w:r w:rsidR="001732C3">
        <w:t>names</w:t>
      </w:r>
      <w:r w:rsidR="00F71A7F">
        <w:t xml:space="preserve"> which they could</w:t>
      </w:r>
      <w:r w:rsidR="001732C3">
        <w:t xml:space="preserve"> use</w:t>
      </w:r>
      <w:r w:rsidR="00F71A7F">
        <w:t xml:space="preserve"> </w:t>
      </w:r>
      <w:r w:rsidR="001732C3">
        <w:t>interchangeably</w:t>
      </w:r>
      <w:r w:rsidR="007B05D6">
        <w:t>,</w:t>
      </w:r>
      <w:r w:rsidR="001732C3">
        <w:t xml:space="preserve"> this was not</w:t>
      </w:r>
      <w:r w:rsidR="00760BD5">
        <w:t xml:space="preserve"> </w:t>
      </w:r>
      <w:r w:rsidR="001732C3">
        <w:t>the point. The central</w:t>
      </w:r>
      <w:r w:rsidR="00F71A7F">
        <w:t xml:space="preserve"> </w:t>
      </w:r>
      <w:r w:rsidR="001732C3">
        <w:t>point in</w:t>
      </w:r>
      <w:r w:rsidR="00F71A7F">
        <w:t xml:space="preserve"> </w:t>
      </w:r>
      <w:r w:rsidR="001732C3">
        <w:t>refusing</w:t>
      </w:r>
      <w:r w:rsidR="00F71A7F">
        <w:t xml:space="preserve"> </w:t>
      </w:r>
      <w:r w:rsidR="001732C3">
        <w:t>bail</w:t>
      </w:r>
      <w:r w:rsidR="00F71A7F">
        <w:t xml:space="preserve"> </w:t>
      </w:r>
      <w:r w:rsidR="001732C3">
        <w:t>hinged on the</w:t>
      </w:r>
      <w:r w:rsidR="00760BD5">
        <w:t xml:space="preserve"> </w:t>
      </w:r>
      <w:r w:rsidR="001732C3">
        <w:t>lack of</w:t>
      </w:r>
      <w:r w:rsidR="00AE7441">
        <w:t xml:space="preserve"> concrete </w:t>
      </w:r>
      <w:r w:rsidR="001732C3">
        <w:t>proof of</w:t>
      </w:r>
      <w:r w:rsidR="00760BD5">
        <w:t xml:space="preserve"> </w:t>
      </w:r>
      <w:r w:rsidR="001732C3">
        <w:t>who</w:t>
      </w:r>
      <w:r w:rsidR="00F71A7F">
        <w:t xml:space="preserve"> </w:t>
      </w:r>
      <w:r w:rsidR="001732C3">
        <w:t>the applicants</w:t>
      </w:r>
      <w:r w:rsidR="00F71A7F">
        <w:t xml:space="preserve"> </w:t>
      </w:r>
      <w:r w:rsidR="001732C3">
        <w:t>were. The charge</w:t>
      </w:r>
      <w:r w:rsidR="00F71A7F">
        <w:t xml:space="preserve"> that they </w:t>
      </w:r>
      <w:r w:rsidR="001732C3">
        <w:t>are</w:t>
      </w:r>
      <w:r w:rsidR="00760BD5">
        <w:t xml:space="preserve"> </w:t>
      </w:r>
      <w:r w:rsidR="001732C3">
        <w:t>facing</w:t>
      </w:r>
      <w:r w:rsidR="00F71A7F">
        <w:t xml:space="preserve"> </w:t>
      </w:r>
      <w:r w:rsidR="001732C3">
        <w:t>does</w:t>
      </w:r>
      <w:r w:rsidR="00760BD5">
        <w:t xml:space="preserve"> </w:t>
      </w:r>
      <w:r w:rsidR="00F71A7F">
        <w:t>carry the</w:t>
      </w:r>
      <w:r w:rsidR="001732C3">
        <w:t xml:space="preserve"> potential</w:t>
      </w:r>
      <w:r w:rsidR="00760BD5">
        <w:t xml:space="preserve"> </w:t>
      </w:r>
      <w:r w:rsidR="001732C3">
        <w:t>of</w:t>
      </w:r>
      <w:r w:rsidR="00760BD5">
        <w:t xml:space="preserve"> </w:t>
      </w:r>
      <w:r w:rsidR="001732C3">
        <w:t>a</w:t>
      </w:r>
      <w:r w:rsidR="00760BD5">
        <w:t xml:space="preserve"> </w:t>
      </w:r>
      <w:r w:rsidR="001732C3">
        <w:t>custodial</w:t>
      </w:r>
      <w:r w:rsidR="00F71A7F">
        <w:t xml:space="preserve"> </w:t>
      </w:r>
      <w:r w:rsidR="001732C3">
        <w:t>sentence. One</w:t>
      </w:r>
      <w:r w:rsidR="00F71A7F">
        <w:t xml:space="preserve"> </w:t>
      </w:r>
      <w:r w:rsidR="001732C3">
        <w:t>would</w:t>
      </w:r>
      <w:r w:rsidR="00760BD5">
        <w:t xml:space="preserve"> </w:t>
      </w:r>
      <w:r w:rsidR="00F71A7F">
        <w:t xml:space="preserve">have </w:t>
      </w:r>
      <w:r w:rsidR="001732C3">
        <w:t>thought that</w:t>
      </w:r>
      <w:r w:rsidR="00F71A7F">
        <w:t xml:space="preserve"> </w:t>
      </w:r>
      <w:r w:rsidR="001732C3">
        <w:t>in the face</w:t>
      </w:r>
      <w:r w:rsidR="00F71A7F">
        <w:t xml:space="preserve"> </w:t>
      </w:r>
      <w:r w:rsidR="001732C3">
        <w:t xml:space="preserve">of </w:t>
      </w:r>
      <w:r w:rsidR="00F71A7F">
        <w:t>the undisputed</w:t>
      </w:r>
      <w:r w:rsidR="00760BD5">
        <w:t xml:space="preserve"> </w:t>
      </w:r>
      <w:r w:rsidR="001732C3">
        <w:t xml:space="preserve">fact that </w:t>
      </w:r>
      <w:r w:rsidR="00F71A7F">
        <w:t>both</w:t>
      </w:r>
      <w:r w:rsidR="00760BD5">
        <w:t xml:space="preserve"> </w:t>
      </w:r>
      <w:r w:rsidR="001732C3">
        <w:t>husband and wife</w:t>
      </w:r>
      <w:r w:rsidR="00F71A7F">
        <w:t xml:space="preserve"> </w:t>
      </w:r>
      <w:r w:rsidR="001732C3">
        <w:t>had</w:t>
      </w:r>
      <w:r w:rsidR="00760BD5">
        <w:t xml:space="preserve"> </w:t>
      </w:r>
      <w:r w:rsidR="001732C3">
        <w:t>not</w:t>
      </w:r>
      <w:r w:rsidR="00760BD5">
        <w:t xml:space="preserve"> </w:t>
      </w:r>
      <w:r w:rsidR="00F71A7F">
        <w:t>produced an</w:t>
      </w:r>
      <w:r w:rsidR="001732C3">
        <w:t>y</w:t>
      </w:r>
      <w:r w:rsidR="00760BD5">
        <w:t xml:space="preserve"> </w:t>
      </w:r>
      <w:r w:rsidR="001732C3">
        <w:t>identity</w:t>
      </w:r>
      <w:r w:rsidR="00F71A7F">
        <w:t xml:space="preserve"> </w:t>
      </w:r>
      <w:proofErr w:type="gramStart"/>
      <w:r w:rsidR="008D1C10">
        <w:t xml:space="preserve">cards, </w:t>
      </w:r>
      <w:r w:rsidR="002B1EE5">
        <w:t>that</w:t>
      </w:r>
      <w:proofErr w:type="gramEnd"/>
      <w:r w:rsidR="00760BD5">
        <w:t xml:space="preserve"> </w:t>
      </w:r>
      <w:r w:rsidR="001732C3">
        <w:t>their</w:t>
      </w:r>
      <w:r w:rsidR="00F71A7F">
        <w:t xml:space="preserve"> </w:t>
      </w:r>
      <w:r w:rsidR="001732C3">
        <w:t>counsel</w:t>
      </w:r>
      <w:r w:rsidR="00F71A7F">
        <w:t xml:space="preserve"> would</w:t>
      </w:r>
      <w:r w:rsidR="001732C3">
        <w:t xml:space="preserve"> have been prudent</w:t>
      </w:r>
      <w:r w:rsidR="00F71A7F">
        <w:t xml:space="preserve"> </w:t>
      </w:r>
      <w:r w:rsidR="001732C3">
        <w:t>enough to</w:t>
      </w:r>
      <w:r w:rsidR="008D1C10">
        <w:t xml:space="preserve"> have </w:t>
      </w:r>
      <w:r w:rsidR="001732C3">
        <w:t>ask</w:t>
      </w:r>
      <w:r w:rsidR="008D1C10">
        <w:t>ed</w:t>
      </w:r>
      <w:r w:rsidR="001732C3">
        <w:t xml:space="preserve"> the</w:t>
      </w:r>
      <w:r w:rsidR="00F71A7F">
        <w:t xml:space="preserve"> court</w:t>
      </w:r>
      <w:r w:rsidR="008D1C10">
        <w:t xml:space="preserve"> to </w:t>
      </w:r>
      <w:r w:rsidR="00F71A7F">
        <w:t>hold</w:t>
      </w:r>
      <w:r w:rsidR="00760BD5">
        <w:t xml:space="preserve"> </w:t>
      </w:r>
      <w:r w:rsidR="001732C3">
        <w:t>off</w:t>
      </w:r>
      <w:r w:rsidR="00760BD5">
        <w:t xml:space="preserve"> </w:t>
      </w:r>
      <w:r w:rsidR="001732C3">
        <w:t>making</w:t>
      </w:r>
      <w:r w:rsidR="00760BD5">
        <w:t xml:space="preserve"> </w:t>
      </w:r>
      <w:r w:rsidR="00F71A7F">
        <w:t>a</w:t>
      </w:r>
      <w:r w:rsidR="001732C3">
        <w:t xml:space="preserve"> decision</w:t>
      </w:r>
      <w:r w:rsidR="00760BD5">
        <w:t xml:space="preserve"> </w:t>
      </w:r>
      <w:r w:rsidR="001732C3">
        <w:t>on</w:t>
      </w:r>
      <w:r w:rsidR="00F71A7F">
        <w:t xml:space="preserve"> bail</w:t>
      </w:r>
      <w:r w:rsidR="00760BD5">
        <w:t xml:space="preserve"> </w:t>
      </w:r>
      <w:r w:rsidR="001732C3">
        <w:t xml:space="preserve">whilst the </w:t>
      </w:r>
      <w:r w:rsidR="00F71A7F">
        <w:t>investigation officer</w:t>
      </w:r>
      <w:r w:rsidR="00760BD5">
        <w:t xml:space="preserve"> </w:t>
      </w:r>
      <w:r w:rsidR="001732C3">
        <w:t>confirmed</w:t>
      </w:r>
      <w:r w:rsidR="00760BD5">
        <w:t xml:space="preserve"> </w:t>
      </w:r>
      <w:r w:rsidR="00F71A7F">
        <w:t xml:space="preserve">their </w:t>
      </w:r>
      <w:r w:rsidR="001732C3">
        <w:t>identity.</w:t>
      </w:r>
      <w:r w:rsidR="00760BD5">
        <w:t xml:space="preserve"> </w:t>
      </w:r>
      <w:r w:rsidR="00AA27C1">
        <w:t>T</w:t>
      </w:r>
      <w:r w:rsidR="00760BD5">
        <w:t>he magistrate</w:t>
      </w:r>
      <w:r w:rsidR="00F71A7F">
        <w:t xml:space="preserve"> </w:t>
      </w:r>
      <w:r w:rsidR="00760BD5">
        <w:t>also</w:t>
      </w:r>
      <w:r w:rsidR="00F71A7F">
        <w:t xml:space="preserve"> </w:t>
      </w:r>
      <w:r w:rsidR="00760BD5">
        <w:t>relied</w:t>
      </w:r>
      <w:r w:rsidR="00F71A7F">
        <w:t xml:space="preserve"> on</w:t>
      </w:r>
      <w:r w:rsidR="00760BD5">
        <w:t xml:space="preserve"> </w:t>
      </w:r>
      <w:r w:rsidR="00F71A7F">
        <w:t>t</w:t>
      </w:r>
      <w:r w:rsidR="00760BD5">
        <w:t>he</w:t>
      </w:r>
      <w:r w:rsidR="00F71A7F">
        <w:t xml:space="preserve"> </w:t>
      </w:r>
      <w:r w:rsidR="00760BD5">
        <w:t xml:space="preserve">fact that </w:t>
      </w:r>
      <w:r w:rsidR="00F71A7F">
        <w:t xml:space="preserve">the allegations </w:t>
      </w:r>
      <w:r w:rsidR="001B1291">
        <w:t>t</w:t>
      </w:r>
      <w:r w:rsidR="00F71A7F">
        <w:t>hey were facing involved multiple counts</w:t>
      </w:r>
      <w:r w:rsidR="008D1C10">
        <w:t xml:space="preserve"> and that </w:t>
      </w:r>
      <w:r w:rsidR="00760BD5">
        <w:t>there was</w:t>
      </w:r>
      <w:r w:rsidR="00F71A7F">
        <w:t xml:space="preserve"> </w:t>
      </w:r>
      <w:r w:rsidR="00760BD5">
        <w:t xml:space="preserve">a </w:t>
      </w:r>
      <w:r w:rsidR="00F71A7F">
        <w:t>propensity</w:t>
      </w:r>
      <w:r w:rsidR="00760BD5">
        <w:t xml:space="preserve"> to</w:t>
      </w:r>
      <w:r w:rsidR="00F71A7F">
        <w:t xml:space="preserve"> commit </w:t>
      </w:r>
      <w:r w:rsidR="00760BD5">
        <w:t>similar</w:t>
      </w:r>
      <w:r w:rsidR="00F71A7F">
        <w:t xml:space="preserve"> c</w:t>
      </w:r>
      <w:r w:rsidR="00760BD5">
        <w:t>r</w:t>
      </w:r>
      <w:r w:rsidR="00F71A7F">
        <w:t>i</w:t>
      </w:r>
      <w:r w:rsidR="00760BD5">
        <w:t>mes</w:t>
      </w:r>
      <w:r w:rsidR="00F71A7F">
        <w:t xml:space="preserve"> </w:t>
      </w:r>
      <w:r w:rsidR="00760BD5">
        <w:t>based on the charges</w:t>
      </w:r>
      <w:r w:rsidR="00F71A7F">
        <w:t xml:space="preserve"> they were facing.</w:t>
      </w:r>
      <w:r w:rsidR="00AA27C1">
        <w:t xml:space="preserve"> </w:t>
      </w:r>
      <w:r w:rsidR="007D647D">
        <w:t>There</w:t>
      </w:r>
      <w:r w:rsidR="00AA27C1">
        <w:t xml:space="preserve"> was nothing improper</w:t>
      </w:r>
      <w:r w:rsidR="007D647D">
        <w:t xml:space="preserve"> </w:t>
      </w:r>
      <w:r w:rsidR="00AA27C1">
        <w:t>in this</w:t>
      </w:r>
      <w:r w:rsidR="007D647D">
        <w:t xml:space="preserve"> </w:t>
      </w:r>
      <w:r w:rsidR="00AA27C1">
        <w:t>as the</w:t>
      </w:r>
      <w:r w:rsidR="007D647D">
        <w:t xml:space="preserve"> </w:t>
      </w:r>
      <w:r w:rsidR="00AA27C1">
        <w:t>fact that</w:t>
      </w:r>
      <w:r w:rsidR="007D647D">
        <w:t xml:space="preserve"> </w:t>
      </w:r>
      <w:r w:rsidR="00AA27C1">
        <w:t>complaints</w:t>
      </w:r>
      <w:r w:rsidR="007D647D">
        <w:t xml:space="preserve"> </w:t>
      </w:r>
      <w:r w:rsidR="00AA27C1">
        <w:t>have been filed</w:t>
      </w:r>
      <w:r w:rsidR="007D647D">
        <w:t xml:space="preserve"> </w:t>
      </w:r>
      <w:r w:rsidR="00AA27C1">
        <w:t>is</w:t>
      </w:r>
      <w:r w:rsidR="007D647D">
        <w:t xml:space="preserve"> </w:t>
      </w:r>
      <w:r w:rsidR="00AA27C1">
        <w:t>clearly of</w:t>
      </w:r>
      <w:r w:rsidR="007D647D">
        <w:t xml:space="preserve"> </w:t>
      </w:r>
      <w:r w:rsidR="00AA27C1">
        <w:t>relevance</w:t>
      </w:r>
      <w:r w:rsidR="007D647D">
        <w:t xml:space="preserve"> </w:t>
      </w:r>
      <w:r w:rsidR="00AA27C1">
        <w:t>to the issue</w:t>
      </w:r>
      <w:r w:rsidR="007D647D">
        <w:t xml:space="preserve"> </w:t>
      </w:r>
      <w:r w:rsidR="00AA27C1">
        <w:t xml:space="preserve">of </w:t>
      </w:r>
      <w:r w:rsidR="001B1291">
        <w:t>a</w:t>
      </w:r>
      <w:r w:rsidR="00AA27C1">
        <w:t xml:space="preserve"> bail</w:t>
      </w:r>
      <w:r w:rsidR="007D647D">
        <w:t xml:space="preserve"> </w:t>
      </w:r>
      <w:r w:rsidR="00AA27C1">
        <w:t>application</w:t>
      </w:r>
      <w:r w:rsidR="001B1291">
        <w:t xml:space="preserve"> since</w:t>
      </w:r>
      <w:r w:rsidR="007D647D">
        <w:t xml:space="preserve"> </w:t>
      </w:r>
      <w:r w:rsidR="00AA27C1">
        <w:t>complaints</w:t>
      </w:r>
      <w:r w:rsidR="007D647D">
        <w:t xml:space="preserve"> </w:t>
      </w:r>
      <w:r w:rsidR="00AA27C1">
        <w:t>to</w:t>
      </w:r>
      <w:r w:rsidR="007D647D">
        <w:t xml:space="preserve"> </w:t>
      </w:r>
      <w:r w:rsidR="00AA27C1">
        <w:t>tend</w:t>
      </w:r>
      <w:r w:rsidR="007D647D">
        <w:t xml:space="preserve"> </w:t>
      </w:r>
      <w:r w:rsidR="00AA27C1">
        <w:t>to show</w:t>
      </w:r>
      <w:r w:rsidR="007D647D">
        <w:t xml:space="preserve"> </w:t>
      </w:r>
      <w:r w:rsidR="00AA27C1">
        <w:t>a</w:t>
      </w:r>
      <w:r w:rsidR="007D647D">
        <w:t xml:space="preserve"> </w:t>
      </w:r>
      <w:r w:rsidR="00AA27C1">
        <w:t>disposition</w:t>
      </w:r>
      <w:r w:rsidR="007D647D">
        <w:t xml:space="preserve"> </w:t>
      </w:r>
      <w:r w:rsidR="00AA27C1">
        <w:t>towards</w:t>
      </w:r>
      <w:r w:rsidR="007D647D">
        <w:t xml:space="preserve"> </w:t>
      </w:r>
      <w:r w:rsidR="00AA27C1">
        <w:t>certain</w:t>
      </w:r>
      <w:r w:rsidR="007D647D">
        <w:t xml:space="preserve"> </w:t>
      </w:r>
      <w:r w:rsidR="00AA27C1">
        <w:t>conduct.</w:t>
      </w:r>
      <w:r w:rsidR="006A1FA5">
        <w:t xml:space="preserve"> In</w:t>
      </w:r>
      <w:r w:rsidR="001B1291">
        <w:t xml:space="preserve"> </w:t>
      </w:r>
      <w:r w:rsidR="006A1FA5">
        <w:t>a bail application, i</w:t>
      </w:r>
      <w:r w:rsidR="00AA27C1">
        <w:t xml:space="preserve">t is </w:t>
      </w:r>
      <w:r w:rsidR="007D647D">
        <w:t xml:space="preserve">not just </w:t>
      </w:r>
      <w:r w:rsidR="00AA27C1">
        <w:t>cases</w:t>
      </w:r>
      <w:r w:rsidR="007D647D">
        <w:t xml:space="preserve"> </w:t>
      </w:r>
      <w:r w:rsidR="00AA27C1">
        <w:t>where</w:t>
      </w:r>
      <w:r w:rsidR="007D647D">
        <w:t xml:space="preserve"> </w:t>
      </w:r>
      <w:r w:rsidR="00AA27C1">
        <w:t>there has</w:t>
      </w:r>
      <w:r w:rsidR="007D647D">
        <w:t xml:space="preserve"> </w:t>
      </w:r>
      <w:r w:rsidR="00AA27C1">
        <w:t xml:space="preserve">been </w:t>
      </w:r>
      <w:proofErr w:type="gramStart"/>
      <w:r w:rsidR="00AA27C1">
        <w:t>conviction</w:t>
      </w:r>
      <w:r w:rsidR="007D647D">
        <w:t xml:space="preserve"> that</w:t>
      </w:r>
      <w:r w:rsidR="00AA27C1">
        <w:t xml:space="preserve"> are</w:t>
      </w:r>
      <w:proofErr w:type="gramEnd"/>
      <w:r w:rsidR="00AA27C1">
        <w:t xml:space="preserve"> of </w:t>
      </w:r>
      <w:r w:rsidR="007D647D">
        <w:t>relevance</w:t>
      </w:r>
      <w:r w:rsidR="00AA27C1">
        <w:t xml:space="preserve"> or</w:t>
      </w:r>
      <w:r w:rsidR="006A1FA5">
        <w:t xml:space="preserve"> those </w:t>
      </w:r>
      <w:r w:rsidR="00AA27C1">
        <w:t>where a</w:t>
      </w:r>
      <w:r w:rsidR="007D647D">
        <w:t xml:space="preserve"> </w:t>
      </w:r>
      <w:r w:rsidR="00AA27C1">
        <w:t>trial is still pending. Complaints</w:t>
      </w:r>
      <w:r w:rsidR="001B1291">
        <w:t xml:space="preserve"> lodged</w:t>
      </w:r>
      <w:r w:rsidR="00AA27C1">
        <w:t xml:space="preserve"> themselves</w:t>
      </w:r>
      <w:r w:rsidR="007D647D">
        <w:t xml:space="preserve"> </w:t>
      </w:r>
      <w:r w:rsidR="00AA27C1">
        <w:t>are</w:t>
      </w:r>
      <w:r w:rsidR="007D647D">
        <w:t xml:space="preserve"> </w:t>
      </w:r>
      <w:r w:rsidR="00AA27C1">
        <w:t>an indic</w:t>
      </w:r>
      <w:r w:rsidR="007D647D">
        <w:t>ator of disposition</w:t>
      </w:r>
      <w:r w:rsidR="006A1FA5">
        <w:t xml:space="preserve"> towards particular conduct</w:t>
      </w:r>
      <w:r w:rsidR="001B1291">
        <w:t xml:space="preserve"> for purposes of</w:t>
      </w:r>
      <w:r w:rsidR="008D1C10">
        <w:t xml:space="preserve"> </w:t>
      </w:r>
      <w:r w:rsidR="001B1291">
        <w:t xml:space="preserve">determining a </w:t>
      </w:r>
      <w:r w:rsidR="002B1EE5">
        <w:t>bail application</w:t>
      </w:r>
      <w:r w:rsidR="006A1FA5">
        <w:t xml:space="preserve">. </w:t>
      </w:r>
    </w:p>
    <w:p w:rsidR="00F71A7F" w:rsidRDefault="00F71A7F" w:rsidP="0040594E">
      <w:pPr>
        <w:spacing w:after="0" w:line="360" w:lineRule="auto"/>
        <w:ind w:firstLine="720"/>
        <w:jc w:val="both"/>
      </w:pPr>
      <w:r>
        <w:t xml:space="preserve">In my view in the absence of identity particulars and given the multiplicity of complaints that formed the allegations that the </w:t>
      </w:r>
      <w:r w:rsidR="001B1291">
        <w:t>two</w:t>
      </w:r>
      <w:r>
        <w:t xml:space="preserve"> were facing, </w:t>
      </w:r>
      <w:r w:rsidR="007B05D6">
        <w:t>the learned</w:t>
      </w:r>
      <w:r>
        <w:t xml:space="preserve"> magistrate cannot be said to have committed any gross irregularity or misdirection that can be said to have been so unreasonable or improper as to vitiate his finding which would warrant interference by this court. I do not think that the state’s </w:t>
      </w:r>
      <w:r w:rsidR="002B1EE5">
        <w:t>concession was</w:t>
      </w:r>
      <w:r w:rsidR="001B1291">
        <w:t xml:space="preserve"> </w:t>
      </w:r>
      <w:r>
        <w:t xml:space="preserve">properly made. </w:t>
      </w:r>
    </w:p>
    <w:p w:rsidR="00F71A7F" w:rsidRPr="0040594E" w:rsidRDefault="00F71A7F" w:rsidP="00F71A7F">
      <w:pPr>
        <w:spacing w:line="360" w:lineRule="auto"/>
        <w:jc w:val="both"/>
      </w:pPr>
      <w:r>
        <w:t xml:space="preserve">As stated in </w:t>
      </w:r>
      <w:r>
        <w:rPr>
          <w:i/>
        </w:rPr>
        <w:t xml:space="preserve">S </w:t>
      </w:r>
      <w:r w:rsidRPr="0040594E">
        <w:t>v</w:t>
      </w:r>
      <w:r>
        <w:rPr>
          <w:i/>
        </w:rPr>
        <w:t xml:space="preserve"> </w:t>
      </w:r>
      <w:proofErr w:type="spellStart"/>
      <w:r>
        <w:rPr>
          <w:i/>
        </w:rPr>
        <w:t>Ruturi</w:t>
      </w:r>
      <w:proofErr w:type="spellEnd"/>
      <w:r>
        <w:rPr>
          <w:i/>
        </w:rPr>
        <w:t xml:space="preserve"> </w:t>
      </w:r>
      <w:r w:rsidRPr="0040594E">
        <w:t>HH 23-03</w:t>
      </w:r>
      <w:r w:rsidR="0040594E">
        <w:t>.</w:t>
      </w:r>
    </w:p>
    <w:p w:rsidR="00F71A7F" w:rsidRDefault="00F71A7F" w:rsidP="0040594E">
      <w:pPr>
        <w:spacing w:after="0" w:line="240" w:lineRule="auto"/>
        <w:ind w:left="720"/>
        <w:jc w:val="both"/>
        <w:rPr>
          <w:sz w:val="22"/>
          <w:szCs w:val="22"/>
        </w:rPr>
      </w:pPr>
      <w:r w:rsidRPr="0040594E">
        <w:rPr>
          <w:sz w:val="22"/>
          <w:szCs w:val="22"/>
        </w:rPr>
        <w:t>“An appeal to the High Court against the decision of magistrate is an appeal in the narrow sense and the decision will be interfered with only if the magistrate committed an irregularity or misdirection unreasonably or improperly as to vitiate his decision.”</w:t>
      </w:r>
    </w:p>
    <w:p w:rsidR="0040594E" w:rsidRPr="0040594E" w:rsidRDefault="0040594E" w:rsidP="0040594E">
      <w:pPr>
        <w:spacing w:after="0" w:line="240" w:lineRule="auto"/>
        <w:ind w:left="720"/>
        <w:jc w:val="both"/>
        <w:rPr>
          <w:sz w:val="22"/>
          <w:szCs w:val="22"/>
        </w:rPr>
      </w:pPr>
    </w:p>
    <w:p w:rsidR="00F71A7F" w:rsidRDefault="0040594E" w:rsidP="00F71A7F">
      <w:pPr>
        <w:spacing w:line="240" w:lineRule="auto"/>
        <w:jc w:val="both"/>
      </w:pPr>
      <w:r>
        <w:lastRenderedPageBreak/>
        <w:tab/>
      </w:r>
      <w:r w:rsidR="007D647D">
        <w:t>I see no such irregularity here</w:t>
      </w:r>
      <w:r w:rsidR="001B1291">
        <w:t>.</w:t>
      </w:r>
    </w:p>
    <w:p w:rsidR="00F71A7F" w:rsidRDefault="0040594E" w:rsidP="00F71A7F">
      <w:pPr>
        <w:spacing w:line="240" w:lineRule="auto"/>
        <w:jc w:val="both"/>
      </w:pPr>
      <w:r>
        <w:tab/>
      </w:r>
      <w:r w:rsidR="00F71A7F">
        <w:t>Accordingly</w:t>
      </w:r>
      <w:r w:rsidR="006A1FA5">
        <w:t>,</w:t>
      </w:r>
      <w:r w:rsidR="00F71A7F">
        <w:t xml:space="preserve"> the application is dismissed. </w:t>
      </w:r>
    </w:p>
    <w:p w:rsidR="002B1EE5" w:rsidRDefault="002B1EE5" w:rsidP="00F71A7F">
      <w:pPr>
        <w:spacing w:line="240" w:lineRule="auto"/>
        <w:jc w:val="both"/>
      </w:pPr>
    </w:p>
    <w:p w:rsidR="0040594E" w:rsidRDefault="0040594E" w:rsidP="00F71A7F">
      <w:pPr>
        <w:spacing w:line="240" w:lineRule="auto"/>
        <w:jc w:val="both"/>
      </w:pPr>
    </w:p>
    <w:p w:rsidR="0040594E" w:rsidRDefault="0040594E" w:rsidP="00F71A7F">
      <w:pPr>
        <w:spacing w:line="240" w:lineRule="auto"/>
        <w:jc w:val="both"/>
      </w:pPr>
    </w:p>
    <w:p w:rsidR="002B1EE5" w:rsidRPr="0053228C" w:rsidRDefault="002B1EE5" w:rsidP="002B1EE5">
      <w:pPr>
        <w:spacing w:line="240" w:lineRule="auto"/>
      </w:pPr>
      <w:proofErr w:type="spellStart"/>
      <w:r>
        <w:rPr>
          <w:i/>
        </w:rPr>
        <w:t>Mugiya</w:t>
      </w:r>
      <w:proofErr w:type="spellEnd"/>
      <w:r>
        <w:rPr>
          <w:i/>
        </w:rPr>
        <w:t xml:space="preserve"> and </w:t>
      </w:r>
      <w:proofErr w:type="spellStart"/>
      <w:r>
        <w:rPr>
          <w:i/>
        </w:rPr>
        <w:t>Macharaga</w:t>
      </w:r>
      <w:proofErr w:type="spellEnd"/>
      <w:r>
        <w:rPr>
          <w:i/>
        </w:rPr>
        <w:t xml:space="preserve"> Law Chambers</w:t>
      </w:r>
      <w:r w:rsidR="00285DAD">
        <w:t>,</w:t>
      </w:r>
      <w:r>
        <w:rPr>
          <w:i/>
        </w:rPr>
        <w:t xml:space="preserve"> </w:t>
      </w:r>
      <w:r w:rsidR="00285DAD" w:rsidRPr="00285DAD">
        <w:t>applicants’ legal practitioners</w:t>
      </w:r>
      <w:r w:rsidR="0053228C">
        <w:rPr>
          <w:i/>
        </w:rPr>
        <w:br/>
        <w:t>National Prosecuting Authority</w:t>
      </w:r>
      <w:r w:rsidR="0053228C">
        <w:t>,</w:t>
      </w:r>
      <w:r>
        <w:rPr>
          <w:i/>
        </w:rPr>
        <w:t xml:space="preserve"> </w:t>
      </w:r>
      <w:r w:rsidR="0053228C">
        <w:t xml:space="preserve">respondent’s legal practitioners </w:t>
      </w:r>
    </w:p>
    <w:sectPr w:rsidR="002B1EE5" w:rsidRPr="005322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9D0" w:rsidRDefault="006D49D0" w:rsidP="00F71A7F">
      <w:pPr>
        <w:spacing w:after="0" w:line="240" w:lineRule="auto"/>
      </w:pPr>
      <w:r>
        <w:separator/>
      </w:r>
    </w:p>
  </w:endnote>
  <w:endnote w:type="continuationSeparator" w:id="0">
    <w:p w:rsidR="006D49D0" w:rsidRDefault="006D49D0" w:rsidP="00F7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D89" w:rsidRDefault="00F53D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A7F" w:rsidRDefault="00F71A7F">
    <w:pPr>
      <w:pStyle w:val="Footer"/>
      <w:jc w:val="right"/>
    </w:pPr>
  </w:p>
  <w:p w:rsidR="00F71A7F" w:rsidRDefault="00F71A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D89" w:rsidRDefault="00F53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9D0" w:rsidRDefault="006D49D0" w:rsidP="00F71A7F">
      <w:pPr>
        <w:spacing w:after="0" w:line="240" w:lineRule="auto"/>
      </w:pPr>
      <w:r>
        <w:separator/>
      </w:r>
    </w:p>
  </w:footnote>
  <w:footnote w:type="continuationSeparator" w:id="0">
    <w:p w:rsidR="006D49D0" w:rsidRDefault="006D49D0" w:rsidP="00F71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D89" w:rsidRDefault="00F53D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547759"/>
      <w:docPartObj>
        <w:docPartGallery w:val="Page Numbers (Top of Page)"/>
        <w:docPartUnique/>
      </w:docPartObj>
    </w:sdtPr>
    <w:sdtEndPr>
      <w:rPr>
        <w:noProof/>
      </w:rPr>
    </w:sdtEndPr>
    <w:sdtContent>
      <w:p w:rsidR="001E7FB5" w:rsidRDefault="001E7FB5">
        <w:pPr>
          <w:pStyle w:val="Header"/>
          <w:jc w:val="right"/>
          <w:rPr>
            <w:noProof/>
          </w:rPr>
        </w:pPr>
        <w:r>
          <w:fldChar w:fldCharType="begin"/>
        </w:r>
        <w:r>
          <w:instrText xml:space="preserve"> PAGE   \* MERGEFORMAT </w:instrText>
        </w:r>
        <w:r>
          <w:fldChar w:fldCharType="separate"/>
        </w:r>
        <w:r w:rsidR="003733A1">
          <w:rPr>
            <w:noProof/>
          </w:rPr>
          <w:t>1</w:t>
        </w:r>
        <w:r>
          <w:rPr>
            <w:noProof/>
          </w:rPr>
          <w:fldChar w:fldCharType="end"/>
        </w:r>
      </w:p>
      <w:p w:rsidR="001E7FB5" w:rsidRDefault="001E7FB5">
        <w:pPr>
          <w:pStyle w:val="Header"/>
          <w:jc w:val="right"/>
          <w:rPr>
            <w:noProof/>
          </w:rPr>
        </w:pPr>
        <w:r>
          <w:rPr>
            <w:noProof/>
          </w:rPr>
          <w:t>HH</w:t>
        </w:r>
        <w:r w:rsidR="00F53D89">
          <w:rPr>
            <w:noProof/>
          </w:rPr>
          <w:t xml:space="preserve"> 235-17</w:t>
        </w:r>
      </w:p>
      <w:p w:rsidR="001E7FB5" w:rsidRDefault="001E7FB5">
        <w:pPr>
          <w:pStyle w:val="Header"/>
          <w:jc w:val="right"/>
          <w:rPr>
            <w:noProof/>
          </w:rPr>
        </w:pPr>
        <w:r>
          <w:rPr>
            <w:noProof/>
          </w:rPr>
          <w:t>B 382/17</w:t>
        </w:r>
      </w:p>
      <w:p w:rsidR="001E7FB5" w:rsidRDefault="001E7FB5">
        <w:pPr>
          <w:pStyle w:val="Header"/>
          <w:jc w:val="right"/>
        </w:pPr>
        <w:r>
          <w:rPr>
            <w:noProof/>
          </w:rPr>
          <w:t>Ref Case CRB 382/17</w:t>
        </w:r>
      </w:p>
    </w:sdtContent>
  </w:sdt>
  <w:p w:rsidR="00F71A7F" w:rsidRDefault="00F71A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D89" w:rsidRDefault="00F53D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C5"/>
    <w:rsid w:val="00035719"/>
    <w:rsid w:val="00055CB8"/>
    <w:rsid w:val="000641E7"/>
    <w:rsid w:val="0008127D"/>
    <w:rsid w:val="000D0CFB"/>
    <w:rsid w:val="000D3B7B"/>
    <w:rsid w:val="000E5293"/>
    <w:rsid w:val="001732C3"/>
    <w:rsid w:val="00174930"/>
    <w:rsid w:val="00175372"/>
    <w:rsid w:val="001B1291"/>
    <w:rsid w:val="001B62F5"/>
    <w:rsid w:val="001C2BE9"/>
    <w:rsid w:val="001D0859"/>
    <w:rsid w:val="001E7FB5"/>
    <w:rsid w:val="00210E1D"/>
    <w:rsid w:val="002226DE"/>
    <w:rsid w:val="002331F4"/>
    <w:rsid w:val="0023506F"/>
    <w:rsid w:val="002445BB"/>
    <w:rsid w:val="00262309"/>
    <w:rsid w:val="00285DAD"/>
    <w:rsid w:val="002B1EE5"/>
    <w:rsid w:val="002C7E69"/>
    <w:rsid w:val="00304EC5"/>
    <w:rsid w:val="00333A6F"/>
    <w:rsid w:val="00350625"/>
    <w:rsid w:val="003733A1"/>
    <w:rsid w:val="0039368C"/>
    <w:rsid w:val="00397371"/>
    <w:rsid w:val="003A481B"/>
    <w:rsid w:val="003B432F"/>
    <w:rsid w:val="003D25A8"/>
    <w:rsid w:val="003D5B17"/>
    <w:rsid w:val="003D6CBB"/>
    <w:rsid w:val="003F3804"/>
    <w:rsid w:val="004016AE"/>
    <w:rsid w:val="0040594E"/>
    <w:rsid w:val="00414A85"/>
    <w:rsid w:val="00450095"/>
    <w:rsid w:val="004B1D37"/>
    <w:rsid w:val="004B5EEC"/>
    <w:rsid w:val="004E3D0C"/>
    <w:rsid w:val="0053228C"/>
    <w:rsid w:val="00555CA0"/>
    <w:rsid w:val="00571A4E"/>
    <w:rsid w:val="00584C59"/>
    <w:rsid w:val="0059755F"/>
    <w:rsid w:val="005B3B57"/>
    <w:rsid w:val="005C549F"/>
    <w:rsid w:val="005D1DF1"/>
    <w:rsid w:val="005F77DD"/>
    <w:rsid w:val="00647932"/>
    <w:rsid w:val="00664B5F"/>
    <w:rsid w:val="0069326B"/>
    <w:rsid w:val="006A1FA5"/>
    <w:rsid w:val="006C1768"/>
    <w:rsid w:val="006D49D0"/>
    <w:rsid w:val="006F2884"/>
    <w:rsid w:val="006F6733"/>
    <w:rsid w:val="00740BB9"/>
    <w:rsid w:val="00747E78"/>
    <w:rsid w:val="00760BD5"/>
    <w:rsid w:val="00782651"/>
    <w:rsid w:val="00796388"/>
    <w:rsid w:val="007A55A6"/>
    <w:rsid w:val="007B05D6"/>
    <w:rsid w:val="007C37F8"/>
    <w:rsid w:val="007D647D"/>
    <w:rsid w:val="0080414B"/>
    <w:rsid w:val="0081375E"/>
    <w:rsid w:val="00822667"/>
    <w:rsid w:val="00833652"/>
    <w:rsid w:val="008605C5"/>
    <w:rsid w:val="008B7699"/>
    <w:rsid w:val="008C0847"/>
    <w:rsid w:val="008D1C10"/>
    <w:rsid w:val="00966D6D"/>
    <w:rsid w:val="00986ADB"/>
    <w:rsid w:val="009D3213"/>
    <w:rsid w:val="00A50126"/>
    <w:rsid w:val="00A52A54"/>
    <w:rsid w:val="00A63F75"/>
    <w:rsid w:val="00AA27C1"/>
    <w:rsid w:val="00AD4CFF"/>
    <w:rsid w:val="00AE7441"/>
    <w:rsid w:val="00B3346D"/>
    <w:rsid w:val="00B56756"/>
    <w:rsid w:val="00B910A1"/>
    <w:rsid w:val="00BB6C23"/>
    <w:rsid w:val="00BC3727"/>
    <w:rsid w:val="00BF6488"/>
    <w:rsid w:val="00C30C1A"/>
    <w:rsid w:val="00C347D2"/>
    <w:rsid w:val="00C407C5"/>
    <w:rsid w:val="00D37110"/>
    <w:rsid w:val="00DD5D79"/>
    <w:rsid w:val="00DD6002"/>
    <w:rsid w:val="00DD6FE2"/>
    <w:rsid w:val="00DF676C"/>
    <w:rsid w:val="00DF6850"/>
    <w:rsid w:val="00E2609A"/>
    <w:rsid w:val="00E27674"/>
    <w:rsid w:val="00E41343"/>
    <w:rsid w:val="00E51AA7"/>
    <w:rsid w:val="00E72133"/>
    <w:rsid w:val="00E73261"/>
    <w:rsid w:val="00E7471E"/>
    <w:rsid w:val="00E93830"/>
    <w:rsid w:val="00ED4671"/>
    <w:rsid w:val="00EE1B3F"/>
    <w:rsid w:val="00EE604D"/>
    <w:rsid w:val="00EF74CD"/>
    <w:rsid w:val="00F103FD"/>
    <w:rsid w:val="00F53D89"/>
    <w:rsid w:val="00F71A7F"/>
    <w:rsid w:val="00FC3831"/>
    <w:rsid w:val="00FE1A8E"/>
    <w:rsid w:val="00FE70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A7F"/>
  </w:style>
  <w:style w:type="paragraph" w:styleId="Footer">
    <w:name w:val="footer"/>
    <w:basedOn w:val="Normal"/>
    <w:link w:val="FooterChar"/>
    <w:uiPriority w:val="99"/>
    <w:unhideWhenUsed/>
    <w:rsid w:val="00F71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A7F"/>
  </w:style>
  <w:style w:type="paragraph" w:styleId="BalloonText">
    <w:name w:val="Balloon Text"/>
    <w:basedOn w:val="Normal"/>
    <w:link w:val="BalloonTextChar"/>
    <w:uiPriority w:val="99"/>
    <w:semiHidden/>
    <w:unhideWhenUsed/>
    <w:rsid w:val="004016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6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A7F"/>
  </w:style>
  <w:style w:type="paragraph" w:styleId="Footer">
    <w:name w:val="footer"/>
    <w:basedOn w:val="Normal"/>
    <w:link w:val="FooterChar"/>
    <w:uiPriority w:val="99"/>
    <w:unhideWhenUsed/>
    <w:rsid w:val="00F71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A7F"/>
  </w:style>
  <w:style w:type="paragraph" w:styleId="BalloonText">
    <w:name w:val="Balloon Text"/>
    <w:basedOn w:val="Normal"/>
    <w:link w:val="BalloonTextChar"/>
    <w:uiPriority w:val="99"/>
    <w:semiHidden/>
    <w:unhideWhenUsed/>
    <w:rsid w:val="004016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2017-04-07T13:42:00Z</cp:lastPrinted>
  <dcterms:created xsi:type="dcterms:W3CDTF">2017-04-11T12:27:00Z</dcterms:created>
  <dcterms:modified xsi:type="dcterms:W3CDTF">2017-04-11T12:27:00Z</dcterms:modified>
</cp:coreProperties>
</file>