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4A8" w:rsidRDefault="00AB34A8" w:rsidP="00AB34A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SABINAH RWATIZHA</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TITUS VENGESAI</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BRIGHTON MAZITI</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TENDAI MUNEDZI</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JACOB MANYEMHESA</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ASIMA CHEISA</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LOVELY CHAGONDA</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TATENDA CHAGONDA</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EUPHIA MASOKA</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GEORGE SILAS MAGAMBA</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LONAH BANDA</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NIGEL MUNYARADZI DANIEL JERE</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CECILIA TINASHE SAMBO</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ALLEN MAPURANGA</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LETICIA MUTEDE</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ENIMY MUTEDE</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ROBERT PARAFINI</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NYARAI MUCHECHETERE</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KUDZANAI TEMBO</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TAKURA VENGESA</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TAWANDA DEREK NDUDZO</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MANAI ANTONY</w:t>
      </w:r>
    </w:p>
    <w:p w:rsidR="00AA6898"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A6898">
        <w:rPr>
          <w:rFonts w:ascii="Times New Roman" w:hAnsi="Times New Roman" w:cs="Times New Roman"/>
          <w:sz w:val="24"/>
          <w:szCs w:val="24"/>
        </w:rPr>
        <w:t>nd</w:t>
      </w:r>
    </w:p>
    <w:p w:rsidR="00AA6898" w:rsidRDefault="00AA689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EDINAH KASEKE</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EMELDAR GONDO</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CHIPO MUSARA</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HENRY TENDENEDZAI</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AC069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SHINGI</w:t>
      </w:r>
      <w:r w:rsidR="00420000">
        <w:rPr>
          <w:rFonts w:ascii="Times New Roman" w:hAnsi="Times New Roman" w:cs="Times New Roman"/>
          <w:sz w:val="24"/>
          <w:szCs w:val="24"/>
        </w:rPr>
        <w:t xml:space="preserve">AI </w:t>
      </w:r>
      <w:r>
        <w:rPr>
          <w:rFonts w:ascii="Times New Roman" w:hAnsi="Times New Roman" w:cs="Times New Roman"/>
          <w:sz w:val="24"/>
          <w:szCs w:val="24"/>
        </w:rPr>
        <w:t xml:space="preserve">RAY </w:t>
      </w:r>
      <w:r w:rsidR="00420000">
        <w:rPr>
          <w:rFonts w:ascii="Times New Roman" w:hAnsi="Times New Roman" w:cs="Times New Roman"/>
          <w:sz w:val="24"/>
          <w:szCs w:val="24"/>
        </w:rPr>
        <w:t>MANGO</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TAPUWA MAGWERE</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PETROS PATISANI</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IAN MADUME</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PRISCILLA SHUWISAI HANDIKATARE</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VICTOR PAULINE MBAYO</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MARSHALL TSEKE</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w:t>
      </w:r>
      <w:r w:rsidR="00420000">
        <w:rPr>
          <w:rFonts w:ascii="Times New Roman" w:hAnsi="Times New Roman" w:cs="Times New Roman"/>
          <w:sz w:val="24"/>
          <w:szCs w:val="24"/>
        </w:rPr>
        <w:t>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TONGAI MAVUNDUSE</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w:t>
      </w:r>
      <w:r w:rsidR="00420000">
        <w:rPr>
          <w:rFonts w:ascii="Times New Roman" w:hAnsi="Times New Roman" w:cs="Times New Roman"/>
          <w:sz w:val="24"/>
          <w:szCs w:val="24"/>
        </w:rPr>
        <w:t>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MERCY MUGWENI</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w:t>
      </w:r>
      <w:r w:rsidR="00420000">
        <w:rPr>
          <w:rFonts w:ascii="Times New Roman" w:hAnsi="Times New Roman" w:cs="Times New Roman"/>
          <w:sz w:val="24"/>
          <w:szCs w:val="24"/>
        </w:rPr>
        <w:t>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MUSA PHIRI</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SIMONDENI NCUBE</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JOSHUA BIRI</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URITA BIRI</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ERNEST NYAMBO</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OSWELL TAWINEYI</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MUNYARADZI NYANGA</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RICHMOND NYAHORE</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RUTH NYAHORE</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OPPAH MOYO</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MOREBLESSINGS MUNOUYA</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MACKENZIE EUGENE</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NORMAN GWEZUVA</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MUNYARADZI LAWRENCE TSUNGA</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MUCHIMBIDZIKE FATIMA</w:t>
      </w:r>
    </w:p>
    <w:p w:rsidR="00420000"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0000">
        <w:rPr>
          <w:rFonts w:ascii="Times New Roman" w:hAnsi="Times New Roman" w:cs="Times New Roman"/>
          <w:sz w:val="24"/>
          <w:szCs w:val="24"/>
        </w:rPr>
        <w:t>nd</w:t>
      </w:r>
    </w:p>
    <w:p w:rsidR="00420000" w:rsidRDefault="00420000"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MUCHIMBIDZIKE STEWART</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3588A">
        <w:rPr>
          <w:rFonts w:ascii="Times New Roman" w:hAnsi="Times New Roman" w:cs="Times New Roman"/>
          <w:sz w:val="24"/>
          <w:szCs w:val="24"/>
        </w:rPr>
        <w:t>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LOVEJOY MURAMBIWA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ERASMUS NYAMUSHONYONGORA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COLEEN MAFIKA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HENRY MUVANDIRI</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ISAIAH CHINHENGO</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NABOTH</w:t>
      </w:r>
      <w:r w:rsidR="00AC069A">
        <w:rPr>
          <w:rFonts w:ascii="Times New Roman" w:hAnsi="Times New Roman" w:cs="Times New Roman"/>
          <w:sz w:val="24"/>
          <w:szCs w:val="24"/>
        </w:rPr>
        <w:t xml:space="preserve"> T.</w:t>
      </w:r>
      <w:r>
        <w:rPr>
          <w:rFonts w:ascii="Times New Roman" w:hAnsi="Times New Roman" w:cs="Times New Roman"/>
          <w:sz w:val="24"/>
          <w:szCs w:val="24"/>
        </w:rPr>
        <w:t xml:space="preserve"> MAGWERE</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ALVIN LOVEMORE MAGWERE</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LOVEMORE MAGWERE</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ALETTER MAGWERE</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SHELLY ELIZABETH CHITSUNGO</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JEREMIAH JANDA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MAXWELL NEKENDE CHITENDENI</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B3588A">
        <w:rPr>
          <w:rFonts w:ascii="Times New Roman" w:hAnsi="Times New Roman" w:cs="Times New Roman"/>
          <w:sz w:val="24"/>
          <w:szCs w:val="24"/>
        </w:rPr>
        <w:t xml:space="preserve"> </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CLIFFORD NKOMO</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PRIVILEGE MUKWAIRA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FANUEL KANGONDO</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KILLIAN Z MASUKUSA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MEMORY CHIPUNGU</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WAYNE PAMIRE</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ZACHEO PATISANI</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FARAI NYABEZE</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VIVIAN S. SITHOLE</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EDINAH DAMBUDZO MASIYIWA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AC069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LIVISON TIZ</w:t>
      </w:r>
      <w:r w:rsidR="00B3588A">
        <w:rPr>
          <w:rFonts w:ascii="Times New Roman" w:hAnsi="Times New Roman" w:cs="Times New Roman"/>
          <w:sz w:val="24"/>
          <w:szCs w:val="24"/>
        </w:rPr>
        <w:t>IRAI</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THEODORA MUTSAGO</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LIYON CHIKOMO</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LIND</w:t>
      </w:r>
      <w:r w:rsidR="00AC069A">
        <w:rPr>
          <w:rFonts w:ascii="Times New Roman" w:hAnsi="Times New Roman" w:cs="Times New Roman"/>
          <w:sz w:val="24"/>
          <w:szCs w:val="24"/>
        </w:rPr>
        <w:t>A</w:t>
      </w:r>
      <w:r>
        <w:rPr>
          <w:rFonts w:ascii="Times New Roman" w:hAnsi="Times New Roman" w:cs="Times New Roman"/>
          <w:sz w:val="24"/>
          <w:szCs w:val="24"/>
        </w:rPr>
        <w:t>RAY TANYANYIWA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MARIMIROFA ADVANCE</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LETWIN MARIMIROFA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LUNGISANI MAKHALIMA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FADZAI C. MAKHALIMA</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B3588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FUNGAI FELISTAS GAMU</w:t>
      </w:r>
    </w:p>
    <w:p w:rsidR="00B3588A"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588A"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JOSEPHINE CHAMBALANGA</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ELMON MANGENA</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RUVIMBO PATRICIA NCUBE</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JENIFER DHLIWAYO</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PARADZAI MAZUVAMANA</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SALLY ANN</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SHUPAI MOSES NYAMBO</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CHIKOMBINGO SEVERINO</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VANESA E. SALIMU</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ELISMORE TAVENGWA</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NEWTON TAWANDA MURINGAGOMO</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CALVIN CHINEKA</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PRECIOUS MAKWINJA</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SHAKEY MUNYUKI BARE</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LEVISON PHIRI</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JOSPHINE TIZORA</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MASHMELLON TINOTENDA MAZWI</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JOYCE TINARWO</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MAMBINGI MAKURIRA</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GEORGE TINASHE SARE</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NOMATTER NIKISI</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CONSTANCE CHIMUKA</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GODFREE MARIMBIRE</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KUDIWA MAZANGO</w:t>
      </w:r>
    </w:p>
    <w:p w:rsidR="00F21409" w:rsidRDefault="00AB637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F21409">
        <w:rPr>
          <w:rFonts w:ascii="Times New Roman" w:hAnsi="Times New Roman" w:cs="Times New Roman"/>
          <w:sz w:val="24"/>
          <w:szCs w:val="24"/>
        </w:rPr>
        <w:t xml:space="preserve"> </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ABBIGAIL CHARUKA</w:t>
      </w:r>
    </w:p>
    <w:p w:rsidR="00F21409"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GARIKAI CHIKWEKWETE</w:t>
      </w:r>
    </w:p>
    <w:p w:rsidR="00F21409"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JOE CHAKANYUKA</w:t>
      </w:r>
    </w:p>
    <w:p w:rsidR="00F21409"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TICHAYANA MAKOTA</w:t>
      </w:r>
    </w:p>
    <w:p w:rsidR="00F21409"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RUTENDO BLESSING MARIZA</w:t>
      </w:r>
    </w:p>
    <w:p w:rsidR="00F21409"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MUNYARADI G. MUSWERAKUENDA</w:t>
      </w:r>
    </w:p>
    <w:p w:rsidR="00F21409"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JULIET CHIBANDA</w:t>
      </w:r>
    </w:p>
    <w:p w:rsidR="00F21409"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CHARLES CHIBANDA</w:t>
      </w:r>
    </w:p>
    <w:p w:rsidR="00F21409"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F21409"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ROPAFADZO MAPOSA</w:t>
      </w:r>
    </w:p>
    <w:p w:rsidR="00F21409"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21409"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PESEVEARANCE MUZANYA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KENNETH MAKAZA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IREEN MUZAKA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NICODEMUS MUBVUMBA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JOSEPHAT MUBVUMBA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NGONIDZASHE MANIKA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ABIGIRL MANIKA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MANDIPE NGWADZAYI</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ESTHER MUTSENGI</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ESTHER DLAMINI</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DICKSON MAPFUTI</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BETTY MAPFUTI</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IAN N. MANDIHLARE</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TANAKA CLIVE MUKAKA CHITIYO</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ACKIM MAKINA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LLOYD DOMBODZVUKU</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MARYGRACE VALERIA ZINGONI</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ALBERT ZHANJE</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DEBBIE MTANDABARE</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HERBERT MUNEMO</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JOYLINE MHASHO</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MASON WHITE</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JULIA WHITE</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PATMORE MADA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ISRAEL CHARM SIZIBA</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STELLA CHIMBUMU</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KUD</w:t>
      </w:r>
      <w:r w:rsidR="00AC069A">
        <w:rPr>
          <w:rFonts w:ascii="Times New Roman" w:hAnsi="Times New Roman" w:cs="Times New Roman"/>
          <w:sz w:val="24"/>
          <w:szCs w:val="24"/>
        </w:rPr>
        <w:t>Z</w:t>
      </w:r>
      <w:r>
        <w:rPr>
          <w:rFonts w:ascii="Times New Roman" w:hAnsi="Times New Roman" w:cs="Times New Roman"/>
          <w:sz w:val="24"/>
          <w:szCs w:val="24"/>
        </w:rPr>
        <w:t>AI NEMACHA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TEDDY NYAJEKA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FAITH SHOKO</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ROBERT MUCHECHETERE</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AGATHA CHIKUKWA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NETSAI MATEWERE</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AC069A"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SYNTHIA</w:t>
      </w:r>
      <w:r w:rsidR="005C33F5">
        <w:rPr>
          <w:rFonts w:ascii="Times New Roman" w:hAnsi="Times New Roman" w:cs="Times New Roman"/>
          <w:sz w:val="24"/>
          <w:szCs w:val="24"/>
        </w:rPr>
        <w:t xml:space="preserve"> KATONDO</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MODESTA TUTURU</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5C33F5"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JACKQELINE MUTAMBARA</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33F5"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FREDRICK KASEKE</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NOBERT MUSAKWA</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CECILIA MUGARIRI</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RONWELL CHITAMBIRA</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STANFORD BUKUTA</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PEARSON NGULUBE</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MERCY MUGWENI</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IAN MANYANDE</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VIMBAI FAITH MBERI</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MCDAVID OSLEM MBERI</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JULIA MUCHEMWA</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PRISCILLA MUGOBERA</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02FFE" w:rsidRDefault="00902FFE"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LINDIWE MAKONI</w:t>
      </w:r>
    </w:p>
    <w:p w:rsidR="00AB34A8" w:rsidRDefault="00AB34A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AB34A8" w:rsidRDefault="00AB34A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LUNA ESTATES (PRIVATE) LIMITED.</w:t>
      </w:r>
    </w:p>
    <w:p w:rsidR="00AB34A8" w:rsidRDefault="0032770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B34A8">
        <w:rPr>
          <w:rFonts w:ascii="Times New Roman" w:hAnsi="Times New Roman" w:cs="Times New Roman"/>
          <w:sz w:val="24"/>
          <w:szCs w:val="24"/>
        </w:rPr>
        <w:t>nd</w:t>
      </w:r>
    </w:p>
    <w:p w:rsidR="00AB34A8" w:rsidRDefault="00AB34A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DEVINE AID TRUST COMPANY (PRIVATE) LIMITED</w:t>
      </w:r>
    </w:p>
    <w:p w:rsidR="00327703" w:rsidRDefault="00327703" w:rsidP="00AB34A8">
      <w:pPr>
        <w:spacing w:after="0" w:line="240" w:lineRule="auto"/>
        <w:rPr>
          <w:rFonts w:ascii="Times New Roman" w:hAnsi="Times New Roman" w:cs="Times New Roman"/>
          <w:sz w:val="24"/>
          <w:szCs w:val="24"/>
        </w:rPr>
      </w:pPr>
    </w:p>
    <w:p w:rsidR="00327703" w:rsidRDefault="00327703"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B34A8" w:rsidRDefault="00AB34A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AB34A8" w:rsidRDefault="00AB34A8" w:rsidP="00AB34A8">
      <w:pPr>
        <w:spacing w:after="0" w:line="240" w:lineRule="auto"/>
        <w:rPr>
          <w:rFonts w:ascii="Times New Roman" w:hAnsi="Times New Roman" w:cs="Times New Roman"/>
          <w:sz w:val="24"/>
          <w:szCs w:val="24"/>
        </w:rPr>
      </w:pPr>
      <w:r>
        <w:rPr>
          <w:rFonts w:ascii="Times New Roman" w:hAnsi="Times New Roman" w:cs="Times New Roman"/>
          <w:sz w:val="24"/>
          <w:szCs w:val="24"/>
        </w:rPr>
        <w:t>HARARE,  18 &amp; 26 May 2021</w:t>
      </w:r>
    </w:p>
    <w:p w:rsidR="00AB34A8" w:rsidRDefault="00AB34A8" w:rsidP="00AB34A8">
      <w:pPr>
        <w:spacing w:line="254" w:lineRule="auto"/>
        <w:rPr>
          <w:rFonts w:ascii="Times New Roman" w:hAnsi="Times New Roman" w:cs="Times New Roman"/>
          <w:b/>
          <w:sz w:val="24"/>
          <w:szCs w:val="24"/>
        </w:rPr>
      </w:pPr>
    </w:p>
    <w:p w:rsidR="00AB34A8" w:rsidRDefault="00327703" w:rsidP="00AB34A8">
      <w:pPr>
        <w:spacing w:line="254" w:lineRule="auto"/>
        <w:rPr>
          <w:rFonts w:ascii="Times New Roman" w:hAnsi="Times New Roman" w:cs="Times New Roman"/>
          <w:b/>
          <w:sz w:val="24"/>
          <w:szCs w:val="24"/>
        </w:rPr>
      </w:pPr>
      <w:r>
        <w:rPr>
          <w:rFonts w:ascii="Times New Roman" w:hAnsi="Times New Roman" w:cs="Times New Roman"/>
          <w:b/>
          <w:sz w:val="24"/>
          <w:szCs w:val="24"/>
        </w:rPr>
        <w:t>Court Application</w:t>
      </w:r>
    </w:p>
    <w:p w:rsidR="00327703" w:rsidRDefault="00327703" w:rsidP="00AB34A8">
      <w:pPr>
        <w:spacing w:after="0" w:line="240" w:lineRule="auto"/>
        <w:jc w:val="both"/>
        <w:rPr>
          <w:rFonts w:ascii="Times New Roman" w:hAnsi="Times New Roman" w:cs="Times New Roman"/>
          <w:sz w:val="24"/>
          <w:szCs w:val="24"/>
        </w:rPr>
      </w:pPr>
    </w:p>
    <w:p w:rsidR="00AB34A8" w:rsidRDefault="00AB34A8" w:rsidP="00AB34A8">
      <w:pPr>
        <w:spacing w:after="0" w:line="240" w:lineRule="auto"/>
        <w:jc w:val="both"/>
        <w:rPr>
          <w:rFonts w:ascii="Times New Roman" w:hAnsi="Times New Roman" w:cs="Times New Roman"/>
          <w:sz w:val="24"/>
          <w:szCs w:val="24"/>
        </w:rPr>
      </w:pPr>
      <w:r w:rsidRPr="00327703">
        <w:rPr>
          <w:rFonts w:ascii="Times New Roman" w:hAnsi="Times New Roman" w:cs="Times New Roman"/>
          <w:i/>
          <w:sz w:val="24"/>
          <w:szCs w:val="24"/>
        </w:rPr>
        <w:t>P Kawonde</w:t>
      </w:r>
      <w:r>
        <w:rPr>
          <w:rFonts w:ascii="Times New Roman" w:hAnsi="Times New Roman" w:cs="Times New Roman"/>
          <w:sz w:val="24"/>
          <w:szCs w:val="24"/>
        </w:rPr>
        <w:t>, for the applicant</w:t>
      </w:r>
    </w:p>
    <w:p w:rsidR="00AB34A8" w:rsidRDefault="00AB34A8" w:rsidP="00AB34A8">
      <w:pPr>
        <w:spacing w:after="0" w:line="240" w:lineRule="auto"/>
        <w:jc w:val="both"/>
        <w:rPr>
          <w:rFonts w:ascii="Times New Roman" w:hAnsi="Times New Roman" w:cs="Times New Roman"/>
          <w:sz w:val="24"/>
          <w:szCs w:val="24"/>
        </w:rPr>
      </w:pPr>
      <w:r w:rsidRPr="00327703">
        <w:rPr>
          <w:rFonts w:ascii="Times New Roman" w:hAnsi="Times New Roman" w:cs="Times New Roman"/>
          <w:i/>
          <w:sz w:val="24"/>
          <w:szCs w:val="24"/>
        </w:rPr>
        <w:t>G R J Sithole</w:t>
      </w:r>
      <w:r>
        <w:rPr>
          <w:rFonts w:ascii="Times New Roman" w:hAnsi="Times New Roman" w:cs="Times New Roman"/>
          <w:sz w:val="24"/>
          <w:szCs w:val="24"/>
        </w:rPr>
        <w:t>, for the 1</w:t>
      </w:r>
      <w:r w:rsidRPr="00AB34A8">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respondent</w:t>
      </w:r>
    </w:p>
    <w:p w:rsidR="00AB34A8" w:rsidRDefault="00AB34A8" w:rsidP="00AB34A8">
      <w:pPr>
        <w:spacing w:line="254" w:lineRule="auto"/>
        <w:jc w:val="both"/>
        <w:rPr>
          <w:rFonts w:ascii="Times New Roman" w:hAnsi="Times New Roman" w:cs="Times New Roman"/>
          <w:sz w:val="24"/>
          <w:szCs w:val="24"/>
        </w:rPr>
      </w:pPr>
    </w:p>
    <w:p w:rsidR="00AB34A8" w:rsidRDefault="00327703" w:rsidP="0032770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B34A8">
        <w:rPr>
          <w:rFonts w:ascii="Times New Roman" w:hAnsi="Times New Roman" w:cs="Times New Roman"/>
          <w:sz w:val="24"/>
          <w:szCs w:val="24"/>
        </w:rPr>
        <w:t>MANZUNZU J</w:t>
      </w:r>
      <w:r>
        <w:rPr>
          <w:rFonts w:ascii="Times New Roman" w:hAnsi="Times New Roman" w:cs="Times New Roman"/>
          <w:sz w:val="24"/>
          <w:szCs w:val="24"/>
        </w:rPr>
        <w:t>:</w:t>
      </w:r>
      <w:r w:rsidR="00AB34A8">
        <w:rPr>
          <w:rFonts w:ascii="Times New Roman" w:hAnsi="Times New Roman" w:cs="Times New Roman"/>
          <w:sz w:val="24"/>
          <w:szCs w:val="24"/>
        </w:rPr>
        <w:t xml:space="preserve">  This is a court application by 163 applicants seeking a declaratory order in the following terms</w:t>
      </w:r>
      <w:r>
        <w:rPr>
          <w:rFonts w:ascii="Times New Roman" w:hAnsi="Times New Roman" w:cs="Times New Roman"/>
          <w:sz w:val="24"/>
          <w:szCs w:val="24"/>
        </w:rPr>
        <w:t>:</w:t>
      </w:r>
    </w:p>
    <w:p w:rsidR="00AB34A8" w:rsidRPr="00327703" w:rsidRDefault="00327703" w:rsidP="00327703">
      <w:pPr>
        <w:spacing w:line="240" w:lineRule="auto"/>
        <w:jc w:val="both"/>
        <w:rPr>
          <w:rFonts w:ascii="Times New Roman" w:hAnsi="Times New Roman" w:cs="Times New Roman"/>
        </w:rPr>
      </w:pPr>
      <w:r>
        <w:rPr>
          <w:rFonts w:ascii="Times New Roman" w:hAnsi="Times New Roman" w:cs="Times New Roman"/>
          <w:sz w:val="24"/>
          <w:szCs w:val="24"/>
        </w:rPr>
        <w:tab/>
      </w:r>
      <w:r w:rsidR="00AB34A8" w:rsidRPr="00327703">
        <w:rPr>
          <w:rFonts w:ascii="Times New Roman" w:hAnsi="Times New Roman" w:cs="Times New Roman"/>
        </w:rPr>
        <w:t>“</w:t>
      </w:r>
      <w:r w:rsidR="004D6D7E" w:rsidRPr="00327703">
        <w:rPr>
          <w:rFonts w:ascii="Times New Roman" w:hAnsi="Times New Roman" w:cs="Times New Roman"/>
        </w:rPr>
        <w:t>IT IS ORDERED AS FOLLOWS:</w:t>
      </w:r>
    </w:p>
    <w:p w:rsidR="004D6D7E" w:rsidRPr="00327703" w:rsidRDefault="004D6D7E" w:rsidP="00327703">
      <w:pPr>
        <w:pStyle w:val="ListParagraph"/>
        <w:numPr>
          <w:ilvl w:val="0"/>
          <w:numId w:val="1"/>
        </w:numPr>
        <w:spacing w:line="240" w:lineRule="auto"/>
        <w:ind w:firstLine="0"/>
        <w:jc w:val="both"/>
        <w:rPr>
          <w:rFonts w:ascii="Times New Roman" w:hAnsi="Times New Roman" w:cs="Times New Roman"/>
        </w:rPr>
      </w:pPr>
      <w:r w:rsidRPr="00327703">
        <w:rPr>
          <w:rFonts w:ascii="Times New Roman" w:hAnsi="Times New Roman" w:cs="Times New Roman"/>
        </w:rPr>
        <w:t xml:space="preserve">It is declared that the agreements of sale which were entered into between the applicants </w:t>
      </w:r>
      <w:r w:rsidR="00327703">
        <w:rPr>
          <w:rFonts w:ascii="Times New Roman" w:hAnsi="Times New Roman" w:cs="Times New Roman"/>
        </w:rPr>
        <w:tab/>
      </w:r>
      <w:r w:rsidRPr="00327703">
        <w:rPr>
          <w:rFonts w:ascii="Times New Roman" w:hAnsi="Times New Roman" w:cs="Times New Roman"/>
        </w:rPr>
        <w:t>and the 1</w:t>
      </w:r>
      <w:r w:rsidRPr="00327703">
        <w:rPr>
          <w:rFonts w:ascii="Times New Roman" w:hAnsi="Times New Roman" w:cs="Times New Roman"/>
          <w:vertAlign w:val="superscript"/>
        </w:rPr>
        <w:t>st</w:t>
      </w:r>
      <w:r w:rsidRPr="00327703">
        <w:rPr>
          <w:rFonts w:ascii="Times New Roman" w:hAnsi="Times New Roman" w:cs="Times New Roman"/>
        </w:rPr>
        <w:t xml:space="preserve"> respondent represented by the 2</w:t>
      </w:r>
      <w:r w:rsidRPr="00327703">
        <w:rPr>
          <w:rFonts w:ascii="Times New Roman" w:hAnsi="Times New Roman" w:cs="Times New Roman"/>
          <w:vertAlign w:val="superscript"/>
        </w:rPr>
        <w:t>nd</w:t>
      </w:r>
      <w:r w:rsidRPr="00327703">
        <w:rPr>
          <w:rFonts w:ascii="Times New Roman" w:hAnsi="Times New Roman" w:cs="Times New Roman"/>
        </w:rPr>
        <w:t xml:space="preserve"> respondent be and are hereby held to be </w:t>
      </w:r>
      <w:r w:rsidR="00327703">
        <w:rPr>
          <w:rFonts w:ascii="Times New Roman" w:hAnsi="Times New Roman" w:cs="Times New Roman"/>
        </w:rPr>
        <w:tab/>
      </w:r>
      <w:r w:rsidRPr="00327703">
        <w:rPr>
          <w:rFonts w:ascii="Times New Roman" w:hAnsi="Times New Roman" w:cs="Times New Roman"/>
        </w:rPr>
        <w:t>valid.</w:t>
      </w:r>
    </w:p>
    <w:p w:rsidR="004D6D7E" w:rsidRPr="00327703" w:rsidRDefault="004D6D7E" w:rsidP="00327703">
      <w:pPr>
        <w:pStyle w:val="ListParagraph"/>
        <w:numPr>
          <w:ilvl w:val="0"/>
          <w:numId w:val="1"/>
        </w:numPr>
        <w:spacing w:line="240" w:lineRule="auto"/>
        <w:ind w:firstLine="0"/>
        <w:jc w:val="both"/>
        <w:rPr>
          <w:rFonts w:ascii="Times New Roman" w:hAnsi="Times New Roman" w:cs="Times New Roman"/>
        </w:rPr>
      </w:pPr>
      <w:r w:rsidRPr="00327703">
        <w:rPr>
          <w:rFonts w:ascii="Times New Roman" w:hAnsi="Times New Roman" w:cs="Times New Roman"/>
        </w:rPr>
        <w:t>The 1</w:t>
      </w:r>
      <w:r w:rsidRPr="00327703">
        <w:rPr>
          <w:rFonts w:ascii="Times New Roman" w:hAnsi="Times New Roman" w:cs="Times New Roman"/>
          <w:vertAlign w:val="superscript"/>
        </w:rPr>
        <w:t>st</w:t>
      </w:r>
      <w:r w:rsidRPr="00327703">
        <w:rPr>
          <w:rFonts w:ascii="Times New Roman" w:hAnsi="Times New Roman" w:cs="Times New Roman"/>
        </w:rPr>
        <w:t xml:space="preserve"> respondent pays costs of this application on a legal practitioner and client scale.”</w:t>
      </w:r>
    </w:p>
    <w:p w:rsidR="004D6D7E" w:rsidRDefault="00327703" w:rsidP="003277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6D7E">
        <w:rPr>
          <w:rFonts w:ascii="Times New Roman" w:hAnsi="Times New Roman" w:cs="Times New Roman"/>
          <w:sz w:val="24"/>
          <w:szCs w:val="24"/>
        </w:rPr>
        <w:t xml:space="preserve">The background to the matter is largely common cause. </w:t>
      </w:r>
      <w:r w:rsidR="00B04E4A">
        <w:rPr>
          <w:rFonts w:ascii="Times New Roman" w:hAnsi="Times New Roman" w:cs="Times New Roman"/>
          <w:sz w:val="24"/>
          <w:szCs w:val="24"/>
        </w:rPr>
        <w:t xml:space="preserve">The </w:t>
      </w:r>
      <w:r w:rsidR="00AE6E26">
        <w:rPr>
          <w:rFonts w:ascii="Times New Roman" w:hAnsi="Times New Roman" w:cs="Times New Roman"/>
          <w:sz w:val="24"/>
          <w:szCs w:val="24"/>
        </w:rPr>
        <w:t xml:space="preserve">first </w:t>
      </w:r>
      <w:r w:rsidR="00B04E4A">
        <w:rPr>
          <w:rFonts w:ascii="Times New Roman" w:hAnsi="Times New Roman" w:cs="Times New Roman"/>
          <w:sz w:val="24"/>
          <w:szCs w:val="24"/>
        </w:rPr>
        <w:t xml:space="preserve">respondent is the registered owner of a piece of land in the district of Zvimba measuring 200.72 hectares (the property).  In the year 2012 the </w:t>
      </w:r>
      <w:r w:rsidR="00AE6E26">
        <w:rPr>
          <w:rFonts w:ascii="Times New Roman" w:hAnsi="Times New Roman" w:cs="Times New Roman"/>
          <w:sz w:val="24"/>
          <w:szCs w:val="24"/>
        </w:rPr>
        <w:t xml:space="preserve">first </w:t>
      </w:r>
      <w:r w:rsidR="00B04E4A">
        <w:rPr>
          <w:rFonts w:ascii="Times New Roman" w:hAnsi="Times New Roman" w:cs="Times New Roman"/>
          <w:sz w:val="24"/>
          <w:szCs w:val="24"/>
        </w:rPr>
        <w:t xml:space="preserve">respondent and </w:t>
      </w:r>
      <w:r w:rsidR="00AE6E26">
        <w:rPr>
          <w:rFonts w:ascii="Times New Roman" w:hAnsi="Times New Roman" w:cs="Times New Roman"/>
          <w:sz w:val="24"/>
          <w:szCs w:val="24"/>
        </w:rPr>
        <w:t>second</w:t>
      </w:r>
      <w:r w:rsidR="00B04E4A">
        <w:rPr>
          <w:rFonts w:ascii="Times New Roman" w:hAnsi="Times New Roman" w:cs="Times New Roman"/>
          <w:sz w:val="24"/>
          <w:szCs w:val="24"/>
        </w:rPr>
        <w:t xml:space="preserve"> respondent entered into a land development agreement for the </w:t>
      </w:r>
      <w:r>
        <w:rPr>
          <w:rFonts w:ascii="Times New Roman" w:hAnsi="Times New Roman" w:cs="Times New Roman"/>
          <w:sz w:val="24"/>
          <w:szCs w:val="24"/>
        </w:rPr>
        <w:t>second</w:t>
      </w:r>
      <w:r w:rsidR="00B04E4A">
        <w:rPr>
          <w:rFonts w:ascii="Times New Roman" w:hAnsi="Times New Roman" w:cs="Times New Roman"/>
          <w:sz w:val="24"/>
          <w:szCs w:val="24"/>
        </w:rPr>
        <w:t xml:space="preserve"> respondent to develop the property into residential and business stands. The </w:t>
      </w:r>
      <w:r>
        <w:rPr>
          <w:rFonts w:ascii="Times New Roman" w:hAnsi="Times New Roman" w:cs="Times New Roman"/>
          <w:sz w:val="24"/>
          <w:szCs w:val="24"/>
        </w:rPr>
        <w:t>second</w:t>
      </w:r>
      <w:r w:rsidR="00B04E4A">
        <w:rPr>
          <w:rFonts w:ascii="Times New Roman" w:hAnsi="Times New Roman" w:cs="Times New Roman"/>
          <w:sz w:val="24"/>
          <w:szCs w:val="24"/>
        </w:rPr>
        <w:t xml:space="preserve"> respondent was also given the mandate to sell the subdivided stands on behalf of </w:t>
      </w:r>
      <w:r w:rsidR="00AE6E26">
        <w:rPr>
          <w:rFonts w:ascii="Times New Roman" w:hAnsi="Times New Roman" w:cs="Times New Roman"/>
          <w:sz w:val="24"/>
          <w:szCs w:val="24"/>
        </w:rPr>
        <w:t xml:space="preserve">first </w:t>
      </w:r>
      <w:r w:rsidR="00B04E4A">
        <w:rPr>
          <w:rFonts w:ascii="Times New Roman" w:hAnsi="Times New Roman" w:cs="Times New Roman"/>
          <w:sz w:val="24"/>
          <w:szCs w:val="24"/>
        </w:rPr>
        <w:t xml:space="preserve">respondent. The applicants are some of the people who bought the stands from the </w:t>
      </w:r>
      <w:r w:rsidR="00AE6E26">
        <w:rPr>
          <w:rFonts w:ascii="Times New Roman" w:hAnsi="Times New Roman" w:cs="Times New Roman"/>
          <w:sz w:val="24"/>
          <w:szCs w:val="24"/>
        </w:rPr>
        <w:t xml:space="preserve">first </w:t>
      </w:r>
      <w:r w:rsidR="00B04E4A">
        <w:rPr>
          <w:rFonts w:ascii="Times New Roman" w:hAnsi="Times New Roman" w:cs="Times New Roman"/>
          <w:sz w:val="24"/>
          <w:szCs w:val="24"/>
        </w:rPr>
        <w:t xml:space="preserve">respondent through the </w:t>
      </w:r>
      <w:r>
        <w:rPr>
          <w:rFonts w:ascii="Times New Roman" w:hAnsi="Times New Roman" w:cs="Times New Roman"/>
          <w:sz w:val="24"/>
          <w:szCs w:val="24"/>
        </w:rPr>
        <w:t>second</w:t>
      </w:r>
      <w:r w:rsidR="00B04E4A">
        <w:rPr>
          <w:rFonts w:ascii="Times New Roman" w:hAnsi="Times New Roman" w:cs="Times New Roman"/>
          <w:sz w:val="24"/>
          <w:szCs w:val="24"/>
        </w:rPr>
        <w:t xml:space="preserve"> respondent. Agreements of sale were signed between the individual applicants and the </w:t>
      </w:r>
      <w:r>
        <w:rPr>
          <w:rFonts w:ascii="Times New Roman" w:hAnsi="Times New Roman" w:cs="Times New Roman"/>
          <w:sz w:val="24"/>
          <w:szCs w:val="24"/>
        </w:rPr>
        <w:t>second</w:t>
      </w:r>
      <w:r w:rsidR="00B04E4A">
        <w:rPr>
          <w:rFonts w:ascii="Times New Roman" w:hAnsi="Times New Roman" w:cs="Times New Roman"/>
          <w:sz w:val="24"/>
          <w:szCs w:val="24"/>
        </w:rPr>
        <w:t xml:space="preserve"> respondent as agent of the </w:t>
      </w:r>
      <w:r w:rsidR="00AE6E26">
        <w:rPr>
          <w:rFonts w:ascii="Times New Roman" w:hAnsi="Times New Roman" w:cs="Times New Roman"/>
          <w:sz w:val="24"/>
          <w:szCs w:val="24"/>
        </w:rPr>
        <w:t xml:space="preserve">first </w:t>
      </w:r>
      <w:r>
        <w:rPr>
          <w:rFonts w:ascii="Times New Roman" w:hAnsi="Times New Roman" w:cs="Times New Roman"/>
          <w:sz w:val="24"/>
          <w:szCs w:val="24"/>
        </w:rPr>
        <w:t xml:space="preserve"> </w:t>
      </w:r>
      <w:r w:rsidR="00B04E4A">
        <w:rPr>
          <w:rFonts w:ascii="Times New Roman" w:hAnsi="Times New Roman" w:cs="Times New Roman"/>
          <w:sz w:val="24"/>
          <w:szCs w:val="24"/>
        </w:rPr>
        <w:t xml:space="preserve"> respondent.</w:t>
      </w:r>
    </w:p>
    <w:p w:rsidR="00A013F8" w:rsidRDefault="00327703" w:rsidP="003277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13F8">
        <w:rPr>
          <w:rFonts w:ascii="Times New Roman" w:hAnsi="Times New Roman" w:cs="Times New Roman"/>
          <w:sz w:val="24"/>
          <w:szCs w:val="24"/>
        </w:rPr>
        <w:t xml:space="preserve">The </w:t>
      </w:r>
      <w:r w:rsidR="00A317AA">
        <w:rPr>
          <w:rFonts w:ascii="Times New Roman" w:hAnsi="Times New Roman" w:cs="Times New Roman"/>
          <w:sz w:val="24"/>
          <w:szCs w:val="24"/>
        </w:rPr>
        <w:t xml:space="preserve">first </w:t>
      </w:r>
      <w:r w:rsidR="00A013F8">
        <w:rPr>
          <w:rFonts w:ascii="Times New Roman" w:hAnsi="Times New Roman" w:cs="Times New Roman"/>
          <w:sz w:val="24"/>
          <w:szCs w:val="24"/>
        </w:rPr>
        <w:t xml:space="preserve">and </w:t>
      </w:r>
      <w:r>
        <w:rPr>
          <w:rFonts w:ascii="Times New Roman" w:hAnsi="Times New Roman" w:cs="Times New Roman"/>
          <w:sz w:val="24"/>
          <w:szCs w:val="24"/>
        </w:rPr>
        <w:t>second</w:t>
      </w:r>
      <w:r w:rsidR="00A013F8">
        <w:rPr>
          <w:rFonts w:ascii="Times New Roman" w:hAnsi="Times New Roman" w:cs="Times New Roman"/>
          <w:sz w:val="24"/>
          <w:szCs w:val="24"/>
        </w:rPr>
        <w:t xml:space="preserve"> respondents’ contractual relationship fell sour and they went for arbitration. An arbitration </w:t>
      </w:r>
      <w:r w:rsidR="003C24AF">
        <w:rPr>
          <w:rFonts w:ascii="Times New Roman" w:hAnsi="Times New Roman" w:cs="Times New Roman"/>
          <w:sz w:val="24"/>
          <w:szCs w:val="24"/>
        </w:rPr>
        <w:t>award</w:t>
      </w:r>
      <w:r w:rsidR="003C24AF" w:rsidRPr="003C24AF">
        <w:rPr>
          <w:rFonts w:ascii="Times New Roman" w:hAnsi="Times New Roman" w:cs="Times New Roman"/>
          <w:sz w:val="24"/>
          <w:szCs w:val="24"/>
        </w:rPr>
        <w:t xml:space="preserve"> </w:t>
      </w:r>
      <w:r w:rsidR="003C24AF">
        <w:rPr>
          <w:rFonts w:ascii="Times New Roman" w:hAnsi="Times New Roman" w:cs="Times New Roman"/>
          <w:sz w:val="24"/>
          <w:szCs w:val="24"/>
        </w:rPr>
        <w:t>confirmed,</w:t>
      </w:r>
      <w:r w:rsidR="00A013F8">
        <w:rPr>
          <w:rFonts w:ascii="Times New Roman" w:hAnsi="Times New Roman" w:cs="Times New Roman"/>
          <w:sz w:val="24"/>
          <w:szCs w:val="24"/>
        </w:rPr>
        <w:t xml:space="preserve"> inter alia</w:t>
      </w:r>
      <w:r w:rsidR="003C24AF">
        <w:rPr>
          <w:rFonts w:ascii="Times New Roman" w:hAnsi="Times New Roman" w:cs="Times New Roman"/>
          <w:sz w:val="24"/>
          <w:szCs w:val="24"/>
        </w:rPr>
        <w:t xml:space="preserve">, </w:t>
      </w:r>
      <w:r w:rsidR="00A013F8">
        <w:rPr>
          <w:rFonts w:ascii="Times New Roman" w:hAnsi="Times New Roman" w:cs="Times New Roman"/>
          <w:sz w:val="24"/>
          <w:szCs w:val="24"/>
        </w:rPr>
        <w:t>the cancellation of the memorandum agreement for land development between the respondents</w:t>
      </w:r>
      <w:r w:rsidR="003C24AF">
        <w:rPr>
          <w:rFonts w:ascii="Times New Roman" w:hAnsi="Times New Roman" w:cs="Times New Roman"/>
          <w:sz w:val="24"/>
          <w:szCs w:val="24"/>
        </w:rPr>
        <w:t xml:space="preserve"> as at 20 July 2017</w:t>
      </w:r>
      <w:r w:rsidR="00A013F8">
        <w:rPr>
          <w:rFonts w:ascii="Times New Roman" w:hAnsi="Times New Roman" w:cs="Times New Roman"/>
          <w:sz w:val="24"/>
          <w:szCs w:val="24"/>
        </w:rPr>
        <w:t xml:space="preserve">. Despite the termination of </w:t>
      </w:r>
      <w:r w:rsidR="00AC069A">
        <w:rPr>
          <w:rFonts w:ascii="Times New Roman" w:hAnsi="Times New Roman" w:cs="Times New Roman"/>
          <w:sz w:val="24"/>
          <w:szCs w:val="24"/>
        </w:rPr>
        <w:t xml:space="preserve">the land </w:t>
      </w:r>
      <w:r w:rsidR="00A013F8">
        <w:rPr>
          <w:rFonts w:ascii="Times New Roman" w:hAnsi="Times New Roman" w:cs="Times New Roman"/>
          <w:sz w:val="24"/>
          <w:szCs w:val="24"/>
        </w:rPr>
        <w:t>development agreement</w:t>
      </w:r>
      <w:r w:rsidR="00C54BE0">
        <w:rPr>
          <w:rFonts w:ascii="Times New Roman" w:hAnsi="Times New Roman" w:cs="Times New Roman"/>
          <w:sz w:val="24"/>
          <w:szCs w:val="24"/>
        </w:rPr>
        <w:t xml:space="preserve">, </w:t>
      </w:r>
      <w:r w:rsidR="00A013F8">
        <w:rPr>
          <w:rFonts w:ascii="Times New Roman" w:hAnsi="Times New Roman" w:cs="Times New Roman"/>
          <w:sz w:val="24"/>
          <w:szCs w:val="24"/>
        </w:rPr>
        <w:t xml:space="preserve">the </w:t>
      </w:r>
      <w:r>
        <w:rPr>
          <w:rFonts w:ascii="Times New Roman" w:hAnsi="Times New Roman" w:cs="Times New Roman"/>
          <w:sz w:val="24"/>
          <w:szCs w:val="24"/>
        </w:rPr>
        <w:t>second</w:t>
      </w:r>
      <w:r w:rsidR="00A013F8">
        <w:rPr>
          <w:rFonts w:ascii="Times New Roman" w:hAnsi="Times New Roman" w:cs="Times New Roman"/>
          <w:sz w:val="24"/>
          <w:szCs w:val="24"/>
        </w:rPr>
        <w:t xml:space="preserve"> respondent went ahead to sign some agreement</w:t>
      </w:r>
      <w:r w:rsidR="00C54BE0">
        <w:rPr>
          <w:rFonts w:ascii="Times New Roman" w:hAnsi="Times New Roman" w:cs="Times New Roman"/>
          <w:sz w:val="24"/>
          <w:szCs w:val="24"/>
        </w:rPr>
        <w:t>s</w:t>
      </w:r>
      <w:r w:rsidR="00A013F8">
        <w:rPr>
          <w:rFonts w:ascii="Times New Roman" w:hAnsi="Times New Roman" w:cs="Times New Roman"/>
          <w:sz w:val="24"/>
          <w:szCs w:val="24"/>
        </w:rPr>
        <w:t xml:space="preserve"> of sale </w:t>
      </w:r>
      <w:r w:rsidR="00AE3EEF">
        <w:rPr>
          <w:rFonts w:ascii="Times New Roman" w:hAnsi="Times New Roman" w:cs="Times New Roman"/>
          <w:sz w:val="24"/>
          <w:szCs w:val="24"/>
        </w:rPr>
        <w:t xml:space="preserve">purportedly as agent </w:t>
      </w:r>
      <w:r w:rsidR="00A013F8">
        <w:rPr>
          <w:rFonts w:ascii="Times New Roman" w:hAnsi="Times New Roman" w:cs="Times New Roman"/>
          <w:sz w:val="24"/>
          <w:szCs w:val="24"/>
        </w:rPr>
        <w:t xml:space="preserve">of the </w:t>
      </w:r>
      <w:r w:rsidR="00384A0B">
        <w:rPr>
          <w:rFonts w:ascii="Times New Roman" w:hAnsi="Times New Roman" w:cs="Times New Roman"/>
          <w:sz w:val="24"/>
          <w:szCs w:val="24"/>
        </w:rPr>
        <w:t xml:space="preserve">first </w:t>
      </w:r>
      <w:r w:rsidR="00A013F8">
        <w:rPr>
          <w:rFonts w:ascii="Times New Roman" w:hAnsi="Times New Roman" w:cs="Times New Roman"/>
          <w:sz w:val="24"/>
          <w:szCs w:val="24"/>
        </w:rPr>
        <w:t>respondent with some 21 of these applicants.</w:t>
      </w:r>
      <w:r w:rsidR="00C54BE0">
        <w:rPr>
          <w:rFonts w:ascii="Times New Roman" w:hAnsi="Times New Roman" w:cs="Times New Roman"/>
          <w:sz w:val="24"/>
          <w:szCs w:val="24"/>
        </w:rPr>
        <w:t xml:space="preserve"> It is in respect to those 21 applicants that the </w:t>
      </w:r>
      <w:r w:rsidR="00384A0B">
        <w:rPr>
          <w:rFonts w:ascii="Times New Roman" w:hAnsi="Times New Roman" w:cs="Times New Roman"/>
          <w:sz w:val="24"/>
          <w:szCs w:val="24"/>
        </w:rPr>
        <w:t xml:space="preserve">first </w:t>
      </w:r>
      <w:r w:rsidR="00C54BE0">
        <w:rPr>
          <w:rFonts w:ascii="Times New Roman" w:hAnsi="Times New Roman" w:cs="Times New Roman"/>
          <w:sz w:val="24"/>
          <w:szCs w:val="24"/>
        </w:rPr>
        <w:t xml:space="preserve">respondent has resisted the order prayed for. </w:t>
      </w:r>
    </w:p>
    <w:p w:rsidR="00C54BE0" w:rsidRDefault="00AC069A"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4BE0">
        <w:rPr>
          <w:rFonts w:ascii="Times New Roman" w:hAnsi="Times New Roman" w:cs="Times New Roman"/>
          <w:sz w:val="24"/>
          <w:szCs w:val="24"/>
        </w:rPr>
        <w:t xml:space="preserve">The </w:t>
      </w:r>
      <w:r w:rsidR="00384A0B">
        <w:rPr>
          <w:rFonts w:ascii="Times New Roman" w:hAnsi="Times New Roman" w:cs="Times New Roman"/>
          <w:sz w:val="24"/>
          <w:szCs w:val="24"/>
        </w:rPr>
        <w:t xml:space="preserve">first </w:t>
      </w:r>
      <w:r w:rsidR="00AE3EEF">
        <w:rPr>
          <w:rFonts w:ascii="Times New Roman" w:hAnsi="Times New Roman" w:cs="Times New Roman"/>
          <w:sz w:val="24"/>
          <w:szCs w:val="24"/>
        </w:rPr>
        <w:t>respondent</w:t>
      </w:r>
      <w:r w:rsidR="00C54BE0">
        <w:rPr>
          <w:rFonts w:ascii="Times New Roman" w:hAnsi="Times New Roman" w:cs="Times New Roman"/>
          <w:sz w:val="24"/>
          <w:szCs w:val="24"/>
        </w:rPr>
        <w:t xml:space="preserve"> concedes to the order being sought by the applicants save in respect to the 21 applicants who signed their agreements after the </w:t>
      </w:r>
      <w:r w:rsidR="00327703">
        <w:rPr>
          <w:rFonts w:ascii="Times New Roman" w:hAnsi="Times New Roman" w:cs="Times New Roman"/>
          <w:sz w:val="24"/>
          <w:szCs w:val="24"/>
        </w:rPr>
        <w:t>second</w:t>
      </w:r>
      <w:r w:rsidR="00C54BE0">
        <w:rPr>
          <w:rFonts w:ascii="Times New Roman" w:hAnsi="Times New Roman" w:cs="Times New Roman"/>
          <w:sz w:val="24"/>
          <w:szCs w:val="24"/>
        </w:rPr>
        <w:t xml:space="preserve"> respondent’s mand</w:t>
      </w:r>
      <w:r w:rsidR="003C24AF">
        <w:rPr>
          <w:rFonts w:ascii="Times New Roman" w:hAnsi="Times New Roman" w:cs="Times New Roman"/>
          <w:sz w:val="24"/>
          <w:szCs w:val="24"/>
        </w:rPr>
        <w:t>ate was terminated on 20 July</w:t>
      </w:r>
      <w:r w:rsidR="00C54BE0">
        <w:rPr>
          <w:rFonts w:ascii="Times New Roman" w:hAnsi="Times New Roman" w:cs="Times New Roman"/>
          <w:sz w:val="24"/>
          <w:szCs w:val="24"/>
        </w:rPr>
        <w:t xml:space="preserve"> 2017. The </w:t>
      </w:r>
      <w:r>
        <w:rPr>
          <w:rFonts w:ascii="Times New Roman" w:hAnsi="Times New Roman" w:cs="Times New Roman"/>
          <w:sz w:val="24"/>
          <w:szCs w:val="24"/>
        </w:rPr>
        <w:t>1</w:t>
      </w:r>
      <w:r w:rsidRPr="00AC069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54BE0">
        <w:rPr>
          <w:rFonts w:ascii="Times New Roman" w:hAnsi="Times New Roman" w:cs="Times New Roman"/>
          <w:sz w:val="24"/>
          <w:szCs w:val="24"/>
        </w:rPr>
        <w:t>respondent claims the following</w:t>
      </w:r>
      <w:r w:rsidR="00AE3EEF">
        <w:rPr>
          <w:rFonts w:ascii="Times New Roman" w:hAnsi="Times New Roman" w:cs="Times New Roman"/>
          <w:sz w:val="24"/>
          <w:szCs w:val="24"/>
        </w:rPr>
        <w:t xml:space="preserve"> 21</w:t>
      </w:r>
      <w:r w:rsidR="00C54BE0">
        <w:rPr>
          <w:rFonts w:ascii="Times New Roman" w:hAnsi="Times New Roman" w:cs="Times New Roman"/>
          <w:sz w:val="24"/>
          <w:szCs w:val="24"/>
        </w:rPr>
        <w:t xml:space="preserve"> applicants have no cause of action against it, 13</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19</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20</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24</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25</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43</w:t>
      </w:r>
      <w:r w:rsidR="00C54BE0" w:rsidRPr="00C54BE0">
        <w:rPr>
          <w:rFonts w:ascii="Times New Roman" w:hAnsi="Times New Roman" w:cs="Times New Roman"/>
          <w:sz w:val="24"/>
          <w:szCs w:val="24"/>
          <w:vertAlign w:val="superscript"/>
        </w:rPr>
        <w:t>rd</w:t>
      </w:r>
      <w:r w:rsidR="00C54BE0">
        <w:rPr>
          <w:rFonts w:ascii="Times New Roman" w:hAnsi="Times New Roman" w:cs="Times New Roman"/>
          <w:sz w:val="24"/>
          <w:szCs w:val="24"/>
        </w:rPr>
        <w:t>,</w:t>
      </w:r>
      <w:r w:rsidR="003C24AF">
        <w:rPr>
          <w:rFonts w:ascii="Times New Roman" w:hAnsi="Times New Roman" w:cs="Times New Roman"/>
          <w:sz w:val="24"/>
          <w:szCs w:val="24"/>
        </w:rPr>
        <w:t xml:space="preserve"> </w:t>
      </w:r>
      <w:r w:rsidR="00C54BE0">
        <w:rPr>
          <w:rFonts w:ascii="Times New Roman" w:hAnsi="Times New Roman" w:cs="Times New Roman"/>
          <w:sz w:val="24"/>
          <w:szCs w:val="24"/>
        </w:rPr>
        <w:t>44</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57</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58</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70</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99</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101th, 102th, 103th, 112</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113</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114</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123</w:t>
      </w:r>
      <w:r w:rsidR="00C54BE0" w:rsidRPr="00C54BE0">
        <w:rPr>
          <w:rFonts w:ascii="Times New Roman" w:hAnsi="Times New Roman" w:cs="Times New Roman"/>
          <w:sz w:val="24"/>
          <w:szCs w:val="24"/>
          <w:vertAlign w:val="superscript"/>
        </w:rPr>
        <w:t>rd</w:t>
      </w:r>
      <w:r w:rsidR="00C54BE0">
        <w:rPr>
          <w:rFonts w:ascii="Times New Roman" w:hAnsi="Times New Roman" w:cs="Times New Roman"/>
          <w:sz w:val="24"/>
          <w:szCs w:val="24"/>
        </w:rPr>
        <w:t>, 130</w:t>
      </w:r>
      <w:r w:rsidR="00C54BE0" w:rsidRPr="00C54BE0">
        <w:rPr>
          <w:rFonts w:ascii="Times New Roman" w:hAnsi="Times New Roman" w:cs="Times New Roman"/>
          <w:sz w:val="24"/>
          <w:szCs w:val="24"/>
          <w:vertAlign w:val="superscript"/>
        </w:rPr>
        <w:t>th</w:t>
      </w:r>
      <w:r w:rsidR="00C54BE0">
        <w:rPr>
          <w:rFonts w:ascii="Times New Roman" w:hAnsi="Times New Roman" w:cs="Times New Roman"/>
          <w:sz w:val="24"/>
          <w:szCs w:val="24"/>
        </w:rPr>
        <w:t>, 15</w:t>
      </w:r>
      <w:r w:rsidR="00384A0B">
        <w:rPr>
          <w:rFonts w:ascii="Times New Roman" w:hAnsi="Times New Roman" w:cs="Times New Roman"/>
          <w:sz w:val="24"/>
          <w:szCs w:val="24"/>
        </w:rPr>
        <w:t>,2</w:t>
      </w:r>
      <w:r w:rsidR="00384A0B" w:rsidRPr="00384A0B">
        <w:rPr>
          <w:rFonts w:ascii="Times New Roman" w:hAnsi="Times New Roman" w:cs="Times New Roman"/>
          <w:sz w:val="24"/>
          <w:szCs w:val="24"/>
          <w:vertAlign w:val="superscript"/>
        </w:rPr>
        <w:t>nd</w:t>
      </w:r>
      <w:r w:rsidR="00384A0B">
        <w:rPr>
          <w:rFonts w:ascii="Times New Roman" w:hAnsi="Times New Roman" w:cs="Times New Roman"/>
          <w:sz w:val="24"/>
          <w:szCs w:val="24"/>
        </w:rPr>
        <w:t xml:space="preserve"> a</w:t>
      </w:r>
      <w:r w:rsidR="00C54BE0">
        <w:rPr>
          <w:rFonts w:ascii="Times New Roman" w:hAnsi="Times New Roman" w:cs="Times New Roman"/>
          <w:sz w:val="24"/>
          <w:szCs w:val="24"/>
        </w:rPr>
        <w:t xml:space="preserve">nd </w:t>
      </w:r>
      <w:r w:rsidR="00300907">
        <w:rPr>
          <w:rFonts w:ascii="Times New Roman" w:hAnsi="Times New Roman" w:cs="Times New Roman"/>
          <w:sz w:val="24"/>
          <w:szCs w:val="24"/>
        </w:rPr>
        <w:t>160</w:t>
      </w:r>
      <w:r w:rsidR="00300907" w:rsidRPr="00300907">
        <w:rPr>
          <w:rFonts w:ascii="Times New Roman" w:hAnsi="Times New Roman" w:cs="Times New Roman"/>
          <w:sz w:val="24"/>
          <w:szCs w:val="24"/>
          <w:vertAlign w:val="superscript"/>
        </w:rPr>
        <w:t>th</w:t>
      </w:r>
      <w:r w:rsidR="00300907">
        <w:rPr>
          <w:rFonts w:ascii="Times New Roman" w:hAnsi="Times New Roman" w:cs="Times New Roman"/>
          <w:sz w:val="24"/>
          <w:szCs w:val="24"/>
        </w:rPr>
        <w:t xml:space="preserve">. </w:t>
      </w:r>
    </w:p>
    <w:p w:rsidR="001225F6" w:rsidRDefault="00384A0B"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25F6">
        <w:rPr>
          <w:rFonts w:ascii="Times New Roman" w:hAnsi="Times New Roman" w:cs="Times New Roman"/>
          <w:sz w:val="24"/>
          <w:szCs w:val="24"/>
        </w:rPr>
        <w:t xml:space="preserve">The 21 applicants have maintained that the </w:t>
      </w:r>
      <w:r>
        <w:rPr>
          <w:rFonts w:ascii="Times New Roman" w:hAnsi="Times New Roman" w:cs="Times New Roman"/>
          <w:sz w:val="24"/>
          <w:szCs w:val="24"/>
        </w:rPr>
        <w:t xml:space="preserve">first </w:t>
      </w:r>
      <w:r w:rsidR="00AE3EEF">
        <w:rPr>
          <w:rFonts w:ascii="Times New Roman" w:hAnsi="Times New Roman" w:cs="Times New Roman"/>
          <w:sz w:val="24"/>
          <w:szCs w:val="24"/>
        </w:rPr>
        <w:t xml:space="preserve">respondent was bound by </w:t>
      </w:r>
      <w:r w:rsidR="001225F6">
        <w:rPr>
          <w:rFonts w:ascii="Times New Roman" w:hAnsi="Times New Roman" w:cs="Times New Roman"/>
          <w:sz w:val="24"/>
          <w:szCs w:val="24"/>
        </w:rPr>
        <w:t xml:space="preserve">the agreements they signed with the </w:t>
      </w:r>
      <w:r w:rsidR="00327703">
        <w:rPr>
          <w:rFonts w:ascii="Times New Roman" w:hAnsi="Times New Roman" w:cs="Times New Roman"/>
          <w:sz w:val="24"/>
          <w:szCs w:val="24"/>
        </w:rPr>
        <w:t>second</w:t>
      </w:r>
      <w:r w:rsidR="00C94895">
        <w:rPr>
          <w:rFonts w:ascii="Times New Roman" w:hAnsi="Times New Roman" w:cs="Times New Roman"/>
          <w:sz w:val="24"/>
          <w:szCs w:val="24"/>
        </w:rPr>
        <w:t xml:space="preserve"> respondent on the basis of ostensible authority. The </w:t>
      </w:r>
      <w:r>
        <w:rPr>
          <w:rFonts w:ascii="Times New Roman" w:hAnsi="Times New Roman" w:cs="Times New Roman"/>
          <w:sz w:val="24"/>
          <w:szCs w:val="24"/>
        </w:rPr>
        <w:t xml:space="preserve">first </w:t>
      </w:r>
      <w:r w:rsidR="00327703">
        <w:rPr>
          <w:rFonts w:ascii="Times New Roman" w:hAnsi="Times New Roman" w:cs="Times New Roman"/>
          <w:sz w:val="24"/>
          <w:szCs w:val="24"/>
        </w:rPr>
        <w:t xml:space="preserve"> </w:t>
      </w:r>
      <w:r w:rsidR="00C94895">
        <w:rPr>
          <w:rFonts w:ascii="Times New Roman" w:hAnsi="Times New Roman" w:cs="Times New Roman"/>
          <w:sz w:val="24"/>
          <w:szCs w:val="24"/>
        </w:rPr>
        <w:t xml:space="preserve"> respondent argues that ostensible authority cannot be sustained in the face</w:t>
      </w:r>
      <w:r w:rsidR="00AB6373">
        <w:rPr>
          <w:rFonts w:ascii="Times New Roman" w:hAnsi="Times New Roman" w:cs="Times New Roman"/>
          <w:sz w:val="24"/>
          <w:szCs w:val="24"/>
        </w:rPr>
        <w:t xml:space="preserve"> of </w:t>
      </w:r>
      <w:r w:rsidR="00C94895">
        <w:rPr>
          <w:rFonts w:ascii="Times New Roman" w:hAnsi="Times New Roman" w:cs="Times New Roman"/>
          <w:sz w:val="24"/>
          <w:szCs w:val="24"/>
        </w:rPr>
        <w:t xml:space="preserve"> fraudulent acts by the </w:t>
      </w:r>
      <w:r w:rsidR="00327703">
        <w:rPr>
          <w:rFonts w:ascii="Times New Roman" w:hAnsi="Times New Roman" w:cs="Times New Roman"/>
          <w:sz w:val="24"/>
          <w:szCs w:val="24"/>
        </w:rPr>
        <w:t>second</w:t>
      </w:r>
      <w:r w:rsidR="00C94895">
        <w:rPr>
          <w:rFonts w:ascii="Times New Roman" w:hAnsi="Times New Roman" w:cs="Times New Roman"/>
          <w:sz w:val="24"/>
          <w:szCs w:val="24"/>
        </w:rPr>
        <w:t xml:space="preserve"> respondent.</w:t>
      </w:r>
    </w:p>
    <w:p w:rsidR="00C94895" w:rsidRPr="004D6D7E" w:rsidRDefault="00384A0B"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94895">
        <w:rPr>
          <w:rFonts w:ascii="Times New Roman" w:hAnsi="Times New Roman" w:cs="Times New Roman"/>
          <w:sz w:val="24"/>
          <w:szCs w:val="24"/>
        </w:rPr>
        <w:t xml:space="preserve">Two issues came out for determination; whether the </w:t>
      </w:r>
      <w:r>
        <w:rPr>
          <w:rFonts w:ascii="Times New Roman" w:hAnsi="Times New Roman" w:cs="Times New Roman"/>
          <w:sz w:val="24"/>
          <w:szCs w:val="24"/>
        </w:rPr>
        <w:t xml:space="preserve">first </w:t>
      </w:r>
      <w:r w:rsidR="00C94895">
        <w:rPr>
          <w:rFonts w:ascii="Times New Roman" w:hAnsi="Times New Roman" w:cs="Times New Roman"/>
          <w:sz w:val="24"/>
          <w:szCs w:val="24"/>
        </w:rPr>
        <w:t>respondent can be held liable on the basis of ostensible authority and secondly, whether applica</w:t>
      </w:r>
      <w:r w:rsidR="00AE3EEF">
        <w:rPr>
          <w:rFonts w:ascii="Times New Roman" w:hAnsi="Times New Roman" w:cs="Times New Roman"/>
          <w:sz w:val="24"/>
          <w:szCs w:val="24"/>
        </w:rPr>
        <w:t xml:space="preserve">nts in the event of success </w:t>
      </w:r>
      <w:r w:rsidR="00C94895">
        <w:rPr>
          <w:rFonts w:ascii="Times New Roman" w:hAnsi="Times New Roman" w:cs="Times New Roman"/>
          <w:sz w:val="24"/>
          <w:szCs w:val="24"/>
        </w:rPr>
        <w:t>should be awarded costs at legal practitioner and client scale.</w:t>
      </w:r>
    </w:p>
    <w:p w:rsidR="00F86122" w:rsidRPr="00D74D99" w:rsidRDefault="00D276F8" w:rsidP="00384A0B">
      <w:pPr>
        <w:spacing w:after="0" w:line="360" w:lineRule="auto"/>
        <w:jc w:val="both"/>
        <w:rPr>
          <w:rFonts w:ascii="Times New Roman" w:hAnsi="Times New Roman" w:cs="Times New Roman"/>
          <w:b/>
          <w:sz w:val="24"/>
          <w:szCs w:val="24"/>
        </w:rPr>
      </w:pPr>
      <w:r w:rsidRPr="00D74D99">
        <w:rPr>
          <w:rFonts w:ascii="Times New Roman" w:hAnsi="Times New Roman" w:cs="Times New Roman"/>
          <w:b/>
          <w:sz w:val="24"/>
          <w:szCs w:val="24"/>
        </w:rPr>
        <w:t>OSTENSIBLE AUTHORITY</w:t>
      </w:r>
    </w:p>
    <w:p w:rsidR="00AB6373" w:rsidRDefault="00AB6373" w:rsidP="00AB63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14CA" w:rsidRPr="00D74D99">
        <w:rPr>
          <w:rFonts w:ascii="Times New Roman" w:hAnsi="Times New Roman" w:cs="Times New Roman"/>
          <w:sz w:val="24"/>
          <w:szCs w:val="24"/>
        </w:rPr>
        <w:t xml:space="preserve">Several authorities have defined and considered </w:t>
      </w:r>
      <w:r w:rsidR="002E5C94">
        <w:rPr>
          <w:rFonts w:ascii="Times New Roman" w:hAnsi="Times New Roman" w:cs="Times New Roman"/>
          <w:sz w:val="24"/>
          <w:szCs w:val="24"/>
        </w:rPr>
        <w:t xml:space="preserve">when </w:t>
      </w:r>
      <w:r w:rsidR="004514CA" w:rsidRPr="00D74D99">
        <w:rPr>
          <w:rFonts w:ascii="Times New Roman" w:hAnsi="Times New Roman" w:cs="Times New Roman"/>
          <w:sz w:val="24"/>
          <w:szCs w:val="24"/>
        </w:rPr>
        <w:t>ostensible authority</w:t>
      </w:r>
      <w:r w:rsidR="002E5C94">
        <w:rPr>
          <w:rFonts w:ascii="Times New Roman" w:hAnsi="Times New Roman" w:cs="Times New Roman"/>
          <w:sz w:val="24"/>
          <w:szCs w:val="24"/>
        </w:rPr>
        <w:t xml:space="preserve"> is said to exist</w:t>
      </w:r>
      <w:r w:rsidR="004514CA" w:rsidRPr="00D74D99">
        <w:rPr>
          <w:rFonts w:ascii="Times New Roman" w:hAnsi="Times New Roman" w:cs="Times New Roman"/>
          <w:sz w:val="24"/>
          <w:szCs w:val="24"/>
        </w:rPr>
        <w:t xml:space="preserve">. In </w:t>
      </w:r>
      <w:r w:rsidR="004514CA" w:rsidRPr="00AE6E26">
        <w:rPr>
          <w:rFonts w:ascii="Times New Roman" w:hAnsi="Times New Roman" w:cs="Times New Roman"/>
          <w:i/>
          <w:sz w:val="24"/>
          <w:szCs w:val="24"/>
        </w:rPr>
        <w:t>Reed NO</w:t>
      </w:r>
      <w:r w:rsidR="004514CA" w:rsidRPr="00D74D99">
        <w:rPr>
          <w:rFonts w:ascii="Times New Roman" w:hAnsi="Times New Roman" w:cs="Times New Roman"/>
          <w:sz w:val="24"/>
          <w:szCs w:val="24"/>
        </w:rPr>
        <w:t xml:space="preserve"> v </w:t>
      </w:r>
      <w:r w:rsidR="004514CA" w:rsidRPr="00AE6E26">
        <w:rPr>
          <w:rFonts w:ascii="Times New Roman" w:hAnsi="Times New Roman" w:cs="Times New Roman"/>
          <w:i/>
          <w:sz w:val="24"/>
          <w:szCs w:val="24"/>
        </w:rPr>
        <w:t>Sager</w:t>
      </w:r>
      <w:r w:rsidR="00FC5EBF" w:rsidRPr="00AE6E26">
        <w:rPr>
          <w:rFonts w:ascii="Times New Roman" w:hAnsi="Times New Roman" w:cs="Times New Roman"/>
          <w:i/>
          <w:sz w:val="24"/>
          <w:szCs w:val="24"/>
        </w:rPr>
        <w:t>’s Motors (Pvt) Ltd</w:t>
      </w:r>
      <w:r w:rsidR="00FC5EBF" w:rsidRPr="00D74D99">
        <w:rPr>
          <w:rFonts w:ascii="Times New Roman" w:hAnsi="Times New Roman" w:cs="Times New Roman"/>
          <w:sz w:val="24"/>
          <w:szCs w:val="24"/>
        </w:rPr>
        <w:t xml:space="preserve"> 1969</w:t>
      </w:r>
      <w:r w:rsidR="004514CA" w:rsidRPr="00D74D99">
        <w:rPr>
          <w:rFonts w:ascii="Times New Roman" w:hAnsi="Times New Roman" w:cs="Times New Roman"/>
          <w:sz w:val="24"/>
          <w:szCs w:val="24"/>
        </w:rPr>
        <w:t xml:space="preserve"> (</w:t>
      </w:r>
      <w:r w:rsidR="00D74D99" w:rsidRPr="00D74D99">
        <w:rPr>
          <w:rFonts w:ascii="Times New Roman" w:hAnsi="Times New Roman" w:cs="Times New Roman"/>
          <w:sz w:val="24"/>
          <w:szCs w:val="24"/>
        </w:rPr>
        <w:t>2) RLR 519 (A)</w:t>
      </w:r>
      <w:r w:rsidR="004514CA" w:rsidRPr="00D74D99">
        <w:rPr>
          <w:rFonts w:ascii="Times New Roman" w:hAnsi="Times New Roman" w:cs="Times New Roman"/>
          <w:sz w:val="24"/>
          <w:szCs w:val="24"/>
        </w:rPr>
        <w:t xml:space="preserve"> </w:t>
      </w:r>
      <w:r w:rsidR="004514CA" w:rsidRPr="00384A0B">
        <w:rPr>
          <w:rFonts w:ascii="Times New Roman" w:hAnsi="Times New Roman" w:cs="Times New Roman"/>
          <w:smallCaps/>
          <w:sz w:val="24"/>
          <w:szCs w:val="24"/>
        </w:rPr>
        <w:t>Beadle CJ</w:t>
      </w:r>
      <w:r w:rsidR="004514CA" w:rsidRPr="00D74D99">
        <w:rPr>
          <w:rFonts w:ascii="Times New Roman" w:hAnsi="Times New Roman" w:cs="Times New Roman"/>
          <w:sz w:val="24"/>
          <w:szCs w:val="24"/>
        </w:rPr>
        <w:t xml:space="preserve"> stated that</w:t>
      </w:r>
      <w:r>
        <w:rPr>
          <w:rFonts w:ascii="Times New Roman" w:hAnsi="Times New Roman" w:cs="Times New Roman"/>
          <w:sz w:val="24"/>
          <w:szCs w:val="24"/>
        </w:rPr>
        <w:t>:</w:t>
      </w:r>
      <w:r w:rsidR="004514CA" w:rsidRPr="00D74D99">
        <w:rPr>
          <w:rFonts w:ascii="Times New Roman" w:hAnsi="Times New Roman" w:cs="Times New Roman"/>
          <w:sz w:val="24"/>
          <w:szCs w:val="24"/>
        </w:rPr>
        <w:t xml:space="preserve"> </w:t>
      </w:r>
    </w:p>
    <w:p w:rsidR="00AB6373" w:rsidRDefault="00AB6373" w:rsidP="00384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514CA" w:rsidRDefault="00AB6373" w:rsidP="00384A0B">
      <w:pPr>
        <w:spacing w:after="0" w:line="240" w:lineRule="auto"/>
        <w:jc w:val="both"/>
        <w:rPr>
          <w:rFonts w:ascii="Times New Roman" w:hAnsi="Times New Roman" w:cs="Times New Roman"/>
        </w:rPr>
      </w:pPr>
      <w:r>
        <w:rPr>
          <w:rFonts w:ascii="Times New Roman" w:hAnsi="Times New Roman" w:cs="Times New Roman"/>
          <w:sz w:val="24"/>
          <w:szCs w:val="24"/>
        </w:rPr>
        <w:tab/>
      </w:r>
      <w:r w:rsidR="002E5C94" w:rsidRPr="00384A0B">
        <w:rPr>
          <w:rFonts w:ascii="Times New Roman" w:hAnsi="Times New Roman" w:cs="Times New Roman"/>
        </w:rPr>
        <w:t>“If</w:t>
      </w:r>
      <w:r w:rsidR="00302F63" w:rsidRPr="00384A0B">
        <w:rPr>
          <w:rFonts w:ascii="Times New Roman" w:hAnsi="Times New Roman" w:cs="Times New Roman"/>
        </w:rPr>
        <w:t xml:space="preserve"> </w:t>
      </w:r>
      <w:r w:rsidR="002E5C94" w:rsidRPr="00384A0B">
        <w:rPr>
          <w:rFonts w:ascii="Times New Roman" w:hAnsi="Times New Roman" w:cs="Times New Roman"/>
        </w:rPr>
        <w:t>a principal employs a servant or</w:t>
      </w:r>
      <w:r w:rsidR="00302F63" w:rsidRPr="00384A0B">
        <w:rPr>
          <w:rFonts w:ascii="Times New Roman" w:hAnsi="Times New Roman" w:cs="Times New Roman"/>
        </w:rPr>
        <w:t xml:space="preserve"> agent in a certain</w:t>
      </w:r>
      <w:r w:rsidR="00FC5EBF" w:rsidRPr="00384A0B">
        <w:rPr>
          <w:rFonts w:ascii="Times New Roman" w:hAnsi="Times New Roman" w:cs="Times New Roman"/>
        </w:rPr>
        <w:t xml:space="preserve"> capacity, and it is generally </w:t>
      </w:r>
      <w:r w:rsidR="00AE6E26">
        <w:rPr>
          <w:rFonts w:ascii="Times New Roman" w:hAnsi="Times New Roman" w:cs="Times New Roman"/>
        </w:rPr>
        <w:tab/>
      </w:r>
      <w:r w:rsidR="00FC5EBF" w:rsidRPr="00384A0B">
        <w:rPr>
          <w:rFonts w:ascii="Times New Roman" w:hAnsi="Times New Roman" w:cs="Times New Roman"/>
        </w:rPr>
        <w:t>recogniz</w:t>
      </w:r>
      <w:r w:rsidR="00D74D99" w:rsidRPr="00384A0B">
        <w:rPr>
          <w:rFonts w:ascii="Times New Roman" w:hAnsi="Times New Roman" w:cs="Times New Roman"/>
        </w:rPr>
        <w:t>ed tha</w:t>
      </w:r>
      <w:r w:rsidR="00FC5EBF" w:rsidRPr="00384A0B">
        <w:rPr>
          <w:rFonts w:ascii="Times New Roman" w:hAnsi="Times New Roman" w:cs="Times New Roman"/>
        </w:rPr>
        <w:t xml:space="preserve">t </w:t>
      </w:r>
      <w:r w:rsidR="00D74D99" w:rsidRPr="00384A0B">
        <w:rPr>
          <w:rFonts w:ascii="Times New Roman" w:hAnsi="Times New Roman" w:cs="Times New Roman"/>
        </w:rPr>
        <w:t>servants</w:t>
      </w:r>
      <w:r w:rsidR="00FC5EBF" w:rsidRPr="00384A0B">
        <w:rPr>
          <w:rFonts w:ascii="Times New Roman" w:hAnsi="Times New Roman" w:cs="Times New Roman"/>
        </w:rPr>
        <w:t xml:space="preserve"> or agents employed in this capacity have authority to do certain acts, </w:t>
      </w:r>
      <w:r w:rsidR="00AE6E26">
        <w:rPr>
          <w:rFonts w:ascii="Times New Roman" w:hAnsi="Times New Roman" w:cs="Times New Roman"/>
        </w:rPr>
        <w:tab/>
      </w:r>
      <w:r w:rsidR="00FC5EBF" w:rsidRPr="00384A0B">
        <w:rPr>
          <w:rFonts w:ascii="Times New Roman" w:hAnsi="Times New Roman" w:cs="Times New Roman"/>
        </w:rPr>
        <w:t xml:space="preserve">then any of those acts performed by such servant or agent will bind the principal because they </w:t>
      </w:r>
      <w:r w:rsidR="00AE6E26">
        <w:rPr>
          <w:rFonts w:ascii="Times New Roman" w:hAnsi="Times New Roman" w:cs="Times New Roman"/>
        </w:rPr>
        <w:tab/>
      </w:r>
      <w:r w:rsidR="00FC5EBF" w:rsidRPr="00384A0B">
        <w:rPr>
          <w:rFonts w:ascii="Times New Roman" w:hAnsi="Times New Roman" w:cs="Times New Roman"/>
        </w:rPr>
        <w:t>are withi</w:t>
      </w:r>
      <w:r w:rsidR="00D74D99" w:rsidRPr="00384A0B">
        <w:rPr>
          <w:rFonts w:ascii="Times New Roman" w:hAnsi="Times New Roman" w:cs="Times New Roman"/>
        </w:rPr>
        <w:t>n</w:t>
      </w:r>
      <w:r w:rsidR="00FC5EBF" w:rsidRPr="00384A0B">
        <w:rPr>
          <w:rFonts w:ascii="Times New Roman" w:hAnsi="Times New Roman" w:cs="Times New Roman"/>
        </w:rPr>
        <w:t xml:space="preserve"> the scope of his “apparent” authority. The principal is bound e</w:t>
      </w:r>
      <w:r w:rsidR="002E5C94" w:rsidRPr="00384A0B">
        <w:rPr>
          <w:rFonts w:ascii="Times New Roman" w:hAnsi="Times New Roman" w:cs="Times New Roman"/>
        </w:rPr>
        <w:t xml:space="preserve">ven though he never </w:t>
      </w:r>
      <w:r w:rsidR="00AE6E26">
        <w:rPr>
          <w:rFonts w:ascii="Times New Roman" w:hAnsi="Times New Roman" w:cs="Times New Roman"/>
        </w:rPr>
        <w:tab/>
      </w:r>
      <w:r w:rsidR="002E5C94" w:rsidRPr="00384A0B">
        <w:rPr>
          <w:rFonts w:ascii="Times New Roman" w:hAnsi="Times New Roman" w:cs="Times New Roman"/>
        </w:rPr>
        <w:t>expressly or</w:t>
      </w:r>
      <w:r w:rsidR="00FC5EBF" w:rsidRPr="00384A0B">
        <w:rPr>
          <w:rFonts w:ascii="Times New Roman" w:hAnsi="Times New Roman" w:cs="Times New Roman"/>
        </w:rPr>
        <w:t xml:space="preserve"> impliedly authorized the servant or agent to do these acts, nor had he by any special </w:t>
      </w:r>
      <w:r w:rsidR="00AE6E26">
        <w:rPr>
          <w:rFonts w:ascii="Times New Roman" w:hAnsi="Times New Roman" w:cs="Times New Roman"/>
        </w:rPr>
        <w:tab/>
      </w:r>
      <w:r w:rsidR="00FC5EBF" w:rsidRPr="00384A0B">
        <w:rPr>
          <w:rFonts w:ascii="Times New Roman" w:hAnsi="Times New Roman" w:cs="Times New Roman"/>
        </w:rPr>
        <w:t xml:space="preserve">act (other than the act of appointing him in this capacity) held the servant or agent out as having </w:t>
      </w:r>
      <w:r w:rsidR="00384A0B">
        <w:rPr>
          <w:rFonts w:ascii="Times New Roman" w:hAnsi="Times New Roman" w:cs="Times New Roman"/>
        </w:rPr>
        <w:tab/>
      </w:r>
      <w:r w:rsidR="00FC5EBF" w:rsidRPr="00384A0B">
        <w:rPr>
          <w:rFonts w:ascii="Times New Roman" w:hAnsi="Times New Roman" w:cs="Times New Roman"/>
        </w:rPr>
        <w:t xml:space="preserve">this authority. The agent’s authority flows from the fact that persons employed in the particular </w:t>
      </w:r>
      <w:r w:rsidR="00384A0B">
        <w:rPr>
          <w:rFonts w:ascii="Times New Roman" w:hAnsi="Times New Roman" w:cs="Times New Roman"/>
        </w:rPr>
        <w:tab/>
      </w:r>
      <w:r w:rsidR="00FC5EBF" w:rsidRPr="00384A0B">
        <w:rPr>
          <w:rFonts w:ascii="Times New Roman" w:hAnsi="Times New Roman" w:cs="Times New Roman"/>
        </w:rPr>
        <w:t>capacity in which he is employed normally have authority to do what he did.”</w:t>
      </w:r>
    </w:p>
    <w:p w:rsidR="00384A0B" w:rsidRPr="00384A0B" w:rsidRDefault="00384A0B" w:rsidP="00384A0B">
      <w:pPr>
        <w:spacing w:after="0" w:line="240" w:lineRule="auto"/>
        <w:jc w:val="both"/>
        <w:rPr>
          <w:rFonts w:ascii="Times New Roman" w:hAnsi="Times New Roman" w:cs="Times New Roman"/>
        </w:rPr>
      </w:pPr>
    </w:p>
    <w:p w:rsidR="0078415A" w:rsidRDefault="00384A0B" w:rsidP="00AC0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6925">
        <w:rPr>
          <w:rFonts w:ascii="Times New Roman" w:hAnsi="Times New Roman" w:cs="Times New Roman"/>
          <w:sz w:val="24"/>
          <w:szCs w:val="24"/>
        </w:rPr>
        <w:t xml:space="preserve">In </w:t>
      </w:r>
      <w:r w:rsidR="00906925" w:rsidRPr="00384A0B">
        <w:rPr>
          <w:rFonts w:ascii="Times New Roman" w:hAnsi="Times New Roman" w:cs="Times New Roman"/>
          <w:i/>
          <w:sz w:val="24"/>
          <w:szCs w:val="24"/>
        </w:rPr>
        <w:t>casu,</w:t>
      </w:r>
      <w:r w:rsidR="00906925">
        <w:rPr>
          <w:rFonts w:ascii="Times New Roman" w:hAnsi="Times New Roman" w:cs="Times New Roman"/>
          <w:sz w:val="24"/>
          <w:szCs w:val="24"/>
        </w:rPr>
        <w:t xml:space="preserve"> the </w:t>
      </w:r>
      <w:r w:rsidR="00327703">
        <w:rPr>
          <w:rFonts w:ascii="Times New Roman" w:hAnsi="Times New Roman" w:cs="Times New Roman"/>
          <w:sz w:val="24"/>
          <w:szCs w:val="24"/>
        </w:rPr>
        <w:t>second</w:t>
      </w:r>
      <w:r w:rsidR="00906925">
        <w:rPr>
          <w:rFonts w:ascii="Times New Roman" w:hAnsi="Times New Roman" w:cs="Times New Roman"/>
          <w:sz w:val="24"/>
          <w:szCs w:val="24"/>
        </w:rPr>
        <w:t xml:space="preserve"> respondent as an agent was expressly authorized to enter into agreements with prospective buyers of stands on behalf of </w:t>
      </w:r>
      <w:r>
        <w:rPr>
          <w:rFonts w:ascii="Times New Roman" w:hAnsi="Times New Roman" w:cs="Times New Roman"/>
          <w:sz w:val="24"/>
          <w:szCs w:val="24"/>
        </w:rPr>
        <w:t xml:space="preserve">first </w:t>
      </w:r>
      <w:r w:rsidR="002E5C94">
        <w:rPr>
          <w:rFonts w:ascii="Times New Roman" w:hAnsi="Times New Roman" w:cs="Times New Roman"/>
          <w:sz w:val="24"/>
          <w:szCs w:val="24"/>
        </w:rPr>
        <w:t>respondent. That is</w:t>
      </w:r>
      <w:r w:rsidR="00906925">
        <w:rPr>
          <w:rFonts w:ascii="Times New Roman" w:hAnsi="Times New Roman" w:cs="Times New Roman"/>
          <w:sz w:val="24"/>
          <w:szCs w:val="24"/>
        </w:rPr>
        <w:t xml:space="preserve"> the</w:t>
      </w:r>
      <w:r w:rsidR="002E5C94">
        <w:rPr>
          <w:rFonts w:ascii="Times New Roman" w:hAnsi="Times New Roman" w:cs="Times New Roman"/>
          <w:sz w:val="24"/>
          <w:szCs w:val="24"/>
        </w:rPr>
        <w:t xml:space="preserve"> situation obtained from 2012 </w:t>
      </w:r>
      <w:r w:rsidR="00906925">
        <w:rPr>
          <w:rFonts w:ascii="Times New Roman" w:hAnsi="Times New Roman" w:cs="Times New Roman"/>
          <w:sz w:val="24"/>
          <w:szCs w:val="24"/>
        </w:rPr>
        <w:t xml:space="preserve">to 20 July 2017 when the </w:t>
      </w:r>
      <w:r w:rsidR="002E5C94">
        <w:rPr>
          <w:rFonts w:ascii="Times New Roman" w:hAnsi="Times New Roman" w:cs="Times New Roman"/>
          <w:sz w:val="24"/>
          <w:szCs w:val="24"/>
        </w:rPr>
        <w:t xml:space="preserve">land </w:t>
      </w:r>
      <w:r w:rsidR="00906925">
        <w:rPr>
          <w:rFonts w:ascii="Times New Roman" w:hAnsi="Times New Roman" w:cs="Times New Roman"/>
          <w:sz w:val="24"/>
          <w:szCs w:val="24"/>
        </w:rPr>
        <w:t xml:space="preserve">development agreement was terminated. The issue of termination was not published to the world at large. It was known between </w:t>
      </w:r>
      <w:r w:rsidR="00AC069A">
        <w:rPr>
          <w:rFonts w:ascii="Times New Roman" w:hAnsi="Times New Roman" w:cs="Times New Roman"/>
          <w:sz w:val="24"/>
          <w:szCs w:val="24"/>
        </w:rPr>
        <w:t>first and</w:t>
      </w:r>
      <w:r w:rsidR="00906925">
        <w:rPr>
          <w:rFonts w:ascii="Times New Roman" w:hAnsi="Times New Roman" w:cs="Times New Roman"/>
          <w:sz w:val="24"/>
          <w:szCs w:val="24"/>
        </w:rPr>
        <w:t xml:space="preserve"> </w:t>
      </w:r>
      <w:r w:rsidR="00327703">
        <w:rPr>
          <w:rFonts w:ascii="Times New Roman" w:hAnsi="Times New Roman" w:cs="Times New Roman"/>
          <w:sz w:val="24"/>
          <w:szCs w:val="24"/>
        </w:rPr>
        <w:t>second</w:t>
      </w:r>
      <w:r w:rsidR="00906925">
        <w:rPr>
          <w:rFonts w:ascii="Times New Roman" w:hAnsi="Times New Roman" w:cs="Times New Roman"/>
          <w:sz w:val="24"/>
          <w:szCs w:val="24"/>
        </w:rPr>
        <w:t xml:space="preserve"> respondents. The question is how </w:t>
      </w:r>
      <w:r w:rsidR="00AC069A">
        <w:rPr>
          <w:rFonts w:ascii="Times New Roman" w:hAnsi="Times New Roman" w:cs="Times New Roman"/>
          <w:sz w:val="24"/>
          <w:szCs w:val="24"/>
        </w:rPr>
        <w:t xml:space="preserve">were </w:t>
      </w:r>
      <w:r w:rsidR="002E5C94">
        <w:rPr>
          <w:rFonts w:ascii="Times New Roman" w:hAnsi="Times New Roman" w:cs="Times New Roman"/>
          <w:sz w:val="24"/>
          <w:szCs w:val="24"/>
        </w:rPr>
        <w:t>the 21 applicants</w:t>
      </w:r>
      <w:r w:rsidR="00906925">
        <w:rPr>
          <w:rFonts w:ascii="Times New Roman" w:hAnsi="Times New Roman" w:cs="Times New Roman"/>
          <w:sz w:val="24"/>
          <w:szCs w:val="24"/>
        </w:rPr>
        <w:t xml:space="preserve"> expected to know that </w:t>
      </w:r>
      <w:r>
        <w:rPr>
          <w:rFonts w:ascii="Times New Roman" w:hAnsi="Times New Roman" w:cs="Times New Roman"/>
          <w:sz w:val="24"/>
          <w:szCs w:val="24"/>
        </w:rPr>
        <w:t xml:space="preserve">first </w:t>
      </w:r>
      <w:r w:rsidR="00327703">
        <w:rPr>
          <w:rFonts w:ascii="Times New Roman" w:hAnsi="Times New Roman" w:cs="Times New Roman"/>
          <w:sz w:val="24"/>
          <w:szCs w:val="24"/>
        </w:rPr>
        <w:t xml:space="preserve"> </w:t>
      </w:r>
      <w:r w:rsidR="00906925">
        <w:rPr>
          <w:rFonts w:ascii="Times New Roman" w:hAnsi="Times New Roman" w:cs="Times New Roman"/>
          <w:sz w:val="24"/>
          <w:szCs w:val="24"/>
        </w:rPr>
        <w:t xml:space="preserve"> respondent had terminated its authority with the </w:t>
      </w:r>
      <w:r w:rsidR="00327703">
        <w:rPr>
          <w:rFonts w:ascii="Times New Roman" w:hAnsi="Times New Roman" w:cs="Times New Roman"/>
          <w:sz w:val="24"/>
          <w:szCs w:val="24"/>
        </w:rPr>
        <w:t>second</w:t>
      </w:r>
      <w:r w:rsidR="00AC069A">
        <w:rPr>
          <w:rFonts w:ascii="Times New Roman" w:hAnsi="Times New Roman" w:cs="Times New Roman"/>
          <w:sz w:val="24"/>
          <w:szCs w:val="24"/>
        </w:rPr>
        <w:t xml:space="preserve"> respondent?</w:t>
      </w:r>
      <w:r w:rsidR="006A599B">
        <w:rPr>
          <w:rFonts w:ascii="Times New Roman" w:hAnsi="Times New Roman" w:cs="Times New Roman"/>
          <w:sz w:val="24"/>
          <w:szCs w:val="24"/>
        </w:rPr>
        <w:t xml:space="preserve"> The </w:t>
      </w:r>
      <w:r w:rsidR="00327703">
        <w:rPr>
          <w:rFonts w:ascii="Times New Roman" w:hAnsi="Times New Roman" w:cs="Times New Roman"/>
          <w:sz w:val="24"/>
          <w:szCs w:val="24"/>
        </w:rPr>
        <w:t>second</w:t>
      </w:r>
      <w:r w:rsidR="006A599B">
        <w:rPr>
          <w:rFonts w:ascii="Times New Roman" w:hAnsi="Times New Roman" w:cs="Times New Roman"/>
          <w:sz w:val="24"/>
          <w:szCs w:val="24"/>
        </w:rPr>
        <w:t xml:space="preserve"> respondent continued to use the </w:t>
      </w:r>
      <w:r>
        <w:rPr>
          <w:rFonts w:ascii="Times New Roman" w:hAnsi="Times New Roman" w:cs="Times New Roman"/>
          <w:sz w:val="24"/>
          <w:szCs w:val="24"/>
        </w:rPr>
        <w:t xml:space="preserve">first </w:t>
      </w:r>
      <w:r w:rsidR="006A599B">
        <w:rPr>
          <w:rFonts w:ascii="Times New Roman" w:hAnsi="Times New Roman" w:cs="Times New Roman"/>
          <w:sz w:val="24"/>
          <w:szCs w:val="24"/>
        </w:rPr>
        <w:t xml:space="preserve">respondent’s standard agreement </w:t>
      </w:r>
      <w:r w:rsidR="002E5C94">
        <w:rPr>
          <w:rFonts w:ascii="Times New Roman" w:hAnsi="Times New Roman" w:cs="Times New Roman"/>
          <w:sz w:val="24"/>
          <w:szCs w:val="24"/>
        </w:rPr>
        <w:t xml:space="preserve">after 20 July 2017 </w:t>
      </w:r>
      <w:r w:rsidR="006A599B">
        <w:rPr>
          <w:rFonts w:ascii="Times New Roman" w:hAnsi="Times New Roman" w:cs="Times New Roman"/>
          <w:sz w:val="24"/>
          <w:szCs w:val="24"/>
        </w:rPr>
        <w:t xml:space="preserve">as if it were expressly authorized to do so. The </w:t>
      </w:r>
      <w:r>
        <w:rPr>
          <w:rFonts w:ascii="Times New Roman" w:hAnsi="Times New Roman" w:cs="Times New Roman"/>
          <w:sz w:val="24"/>
          <w:szCs w:val="24"/>
        </w:rPr>
        <w:t xml:space="preserve">first </w:t>
      </w:r>
      <w:r w:rsidR="006A599B">
        <w:rPr>
          <w:rFonts w:ascii="Times New Roman" w:hAnsi="Times New Roman" w:cs="Times New Roman"/>
          <w:sz w:val="24"/>
          <w:szCs w:val="24"/>
        </w:rPr>
        <w:t xml:space="preserve">respondent’s defence is that the </w:t>
      </w:r>
      <w:r w:rsidR="00327703">
        <w:rPr>
          <w:rFonts w:ascii="Times New Roman" w:hAnsi="Times New Roman" w:cs="Times New Roman"/>
          <w:sz w:val="24"/>
          <w:szCs w:val="24"/>
        </w:rPr>
        <w:t>second</w:t>
      </w:r>
      <w:r w:rsidR="006A599B">
        <w:rPr>
          <w:rFonts w:ascii="Times New Roman" w:hAnsi="Times New Roman" w:cs="Times New Roman"/>
          <w:sz w:val="24"/>
          <w:szCs w:val="24"/>
        </w:rPr>
        <w:t xml:space="preserve"> respondent was committing a fraud hence the applicants cannot rely on ostensible authority. This is despite the </w:t>
      </w:r>
      <w:r>
        <w:rPr>
          <w:rFonts w:ascii="Times New Roman" w:hAnsi="Times New Roman" w:cs="Times New Roman"/>
          <w:sz w:val="24"/>
          <w:szCs w:val="24"/>
        </w:rPr>
        <w:t xml:space="preserve">first </w:t>
      </w:r>
      <w:r w:rsidR="006A599B">
        <w:rPr>
          <w:rFonts w:ascii="Times New Roman" w:hAnsi="Times New Roman" w:cs="Times New Roman"/>
          <w:sz w:val="24"/>
          <w:szCs w:val="24"/>
        </w:rPr>
        <w:t xml:space="preserve">respondent’s admission that the public were not warned that </w:t>
      </w:r>
      <w:r w:rsidR="00327703">
        <w:rPr>
          <w:rFonts w:ascii="Times New Roman" w:hAnsi="Times New Roman" w:cs="Times New Roman"/>
          <w:sz w:val="24"/>
          <w:szCs w:val="24"/>
        </w:rPr>
        <w:t>second</w:t>
      </w:r>
      <w:r w:rsidR="006A599B">
        <w:rPr>
          <w:rFonts w:ascii="Times New Roman" w:hAnsi="Times New Roman" w:cs="Times New Roman"/>
          <w:sz w:val="24"/>
          <w:szCs w:val="24"/>
        </w:rPr>
        <w:t xml:space="preserve"> respondent was no longer its agent. </w:t>
      </w:r>
      <w:r w:rsidR="0078415A">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78415A">
        <w:rPr>
          <w:rFonts w:ascii="Times New Roman" w:hAnsi="Times New Roman" w:cs="Times New Roman"/>
          <w:sz w:val="24"/>
          <w:szCs w:val="24"/>
        </w:rPr>
        <w:t xml:space="preserve">respondent had a duty to warn members of the public about the severance of its relationship with the </w:t>
      </w:r>
      <w:r w:rsidR="00327703">
        <w:rPr>
          <w:rFonts w:ascii="Times New Roman" w:hAnsi="Times New Roman" w:cs="Times New Roman"/>
          <w:sz w:val="24"/>
          <w:szCs w:val="24"/>
        </w:rPr>
        <w:t>second</w:t>
      </w:r>
      <w:r w:rsidR="0078415A">
        <w:rPr>
          <w:rFonts w:ascii="Times New Roman" w:hAnsi="Times New Roman" w:cs="Times New Roman"/>
          <w:sz w:val="24"/>
          <w:szCs w:val="24"/>
        </w:rPr>
        <w:t xml:space="preserve"> respondent.</w:t>
      </w:r>
    </w:p>
    <w:p w:rsidR="003C6265" w:rsidRDefault="00384A0B" w:rsidP="00AC0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599B">
        <w:rPr>
          <w:rFonts w:ascii="Times New Roman" w:hAnsi="Times New Roman" w:cs="Times New Roman"/>
          <w:sz w:val="24"/>
          <w:szCs w:val="24"/>
        </w:rPr>
        <w:t xml:space="preserve">I do not think this is a matter where </w:t>
      </w:r>
      <w:r>
        <w:rPr>
          <w:rFonts w:ascii="Times New Roman" w:hAnsi="Times New Roman" w:cs="Times New Roman"/>
          <w:sz w:val="24"/>
          <w:szCs w:val="24"/>
        </w:rPr>
        <w:t xml:space="preserve">first </w:t>
      </w:r>
      <w:r w:rsidR="006A599B">
        <w:rPr>
          <w:rFonts w:ascii="Times New Roman" w:hAnsi="Times New Roman" w:cs="Times New Roman"/>
          <w:sz w:val="24"/>
          <w:szCs w:val="24"/>
        </w:rPr>
        <w:t xml:space="preserve">respondent can </w:t>
      </w:r>
      <w:r w:rsidR="003C6265">
        <w:rPr>
          <w:rFonts w:ascii="Times New Roman" w:hAnsi="Times New Roman" w:cs="Times New Roman"/>
          <w:sz w:val="24"/>
          <w:szCs w:val="24"/>
        </w:rPr>
        <w:t xml:space="preserve">successfully </w:t>
      </w:r>
      <w:r w:rsidR="002E5C94">
        <w:rPr>
          <w:rFonts w:ascii="Times New Roman" w:hAnsi="Times New Roman" w:cs="Times New Roman"/>
          <w:sz w:val="24"/>
          <w:szCs w:val="24"/>
        </w:rPr>
        <w:t>wash its hands like Pontius Pilate in the face of its</w:t>
      </w:r>
      <w:r w:rsidR="006A599B">
        <w:rPr>
          <w:rFonts w:ascii="Times New Roman" w:hAnsi="Times New Roman" w:cs="Times New Roman"/>
          <w:sz w:val="24"/>
          <w:szCs w:val="24"/>
        </w:rPr>
        <w:t xml:space="preserve"> failure to give notice</w:t>
      </w:r>
      <w:r w:rsidR="00AC069A">
        <w:rPr>
          <w:rFonts w:ascii="Times New Roman" w:hAnsi="Times New Roman" w:cs="Times New Roman"/>
          <w:sz w:val="24"/>
          <w:szCs w:val="24"/>
        </w:rPr>
        <w:t xml:space="preserve"> to the public</w:t>
      </w:r>
      <w:r w:rsidR="006A599B">
        <w:rPr>
          <w:rFonts w:ascii="Times New Roman" w:hAnsi="Times New Roman" w:cs="Times New Roman"/>
          <w:sz w:val="24"/>
          <w:szCs w:val="24"/>
        </w:rPr>
        <w:t xml:space="preserve"> and </w:t>
      </w:r>
      <w:r w:rsidR="0078415A">
        <w:rPr>
          <w:rFonts w:ascii="Times New Roman" w:hAnsi="Times New Roman" w:cs="Times New Roman"/>
          <w:sz w:val="24"/>
          <w:szCs w:val="24"/>
        </w:rPr>
        <w:t xml:space="preserve">hide behind a </w:t>
      </w:r>
      <w:r w:rsidR="006A599B">
        <w:rPr>
          <w:rFonts w:ascii="Times New Roman" w:hAnsi="Times New Roman" w:cs="Times New Roman"/>
          <w:sz w:val="24"/>
          <w:szCs w:val="24"/>
        </w:rPr>
        <w:t xml:space="preserve">claim </w:t>
      </w:r>
      <w:r w:rsidR="0078415A">
        <w:rPr>
          <w:rFonts w:ascii="Times New Roman" w:hAnsi="Times New Roman" w:cs="Times New Roman"/>
          <w:sz w:val="24"/>
          <w:szCs w:val="24"/>
        </w:rPr>
        <w:t xml:space="preserve">for </w:t>
      </w:r>
      <w:r w:rsidR="006A599B">
        <w:rPr>
          <w:rFonts w:ascii="Times New Roman" w:hAnsi="Times New Roman" w:cs="Times New Roman"/>
          <w:sz w:val="24"/>
          <w:szCs w:val="24"/>
        </w:rPr>
        <w:t>fraud to the prejudice of the applicants.</w:t>
      </w:r>
      <w:r w:rsidR="003C6265" w:rsidRPr="003C6265">
        <w:rPr>
          <w:rFonts w:ascii="Times New Roman" w:hAnsi="Times New Roman" w:cs="Times New Roman"/>
          <w:sz w:val="24"/>
          <w:szCs w:val="24"/>
        </w:rPr>
        <w:t xml:space="preserve"> </w:t>
      </w:r>
      <w:r w:rsidR="003C6265">
        <w:rPr>
          <w:rFonts w:ascii="Times New Roman" w:hAnsi="Times New Roman" w:cs="Times New Roman"/>
          <w:sz w:val="24"/>
          <w:szCs w:val="24"/>
        </w:rPr>
        <w:t xml:space="preserve">There was nothing to stop the 21 applicants from believing that the </w:t>
      </w:r>
      <w:r w:rsidR="00327703">
        <w:rPr>
          <w:rFonts w:ascii="Times New Roman" w:hAnsi="Times New Roman" w:cs="Times New Roman"/>
          <w:sz w:val="24"/>
          <w:szCs w:val="24"/>
        </w:rPr>
        <w:t>second</w:t>
      </w:r>
      <w:r w:rsidR="003C6265">
        <w:rPr>
          <w:rFonts w:ascii="Times New Roman" w:hAnsi="Times New Roman" w:cs="Times New Roman"/>
          <w:sz w:val="24"/>
          <w:szCs w:val="24"/>
        </w:rPr>
        <w:t xml:space="preserve"> respondent was still </w:t>
      </w:r>
      <w:r w:rsidR="002E5C94">
        <w:rPr>
          <w:rFonts w:ascii="Times New Roman" w:hAnsi="Times New Roman" w:cs="Times New Roman"/>
          <w:sz w:val="24"/>
          <w:szCs w:val="24"/>
        </w:rPr>
        <w:t xml:space="preserve">acting within the scope of its </w:t>
      </w:r>
      <w:r w:rsidR="0078415A">
        <w:rPr>
          <w:rFonts w:ascii="Times New Roman" w:hAnsi="Times New Roman" w:cs="Times New Roman"/>
          <w:sz w:val="24"/>
          <w:szCs w:val="24"/>
        </w:rPr>
        <w:t xml:space="preserve">authority with </w:t>
      </w:r>
      <w:r w:rsidR="003C6265">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3C6265">
        <w:rPr>
          <w:rFonts w:ascii="Times New Roman" w:hAnsi="Times New Roman" w:cs="Times New Roman"/>
          <w:sz w:val="24"/>
          <w:szCs w:val="24"/>
        </w:rPr>
        <w:t>respondent which authority was</w:t>
      </w:r>
      <w:r w:rsidR="00AC069A">
        <w:rPr>
          <w:rFonts w:ascii="Times New Roman" w:hAnsi="Times New Roman" w:cs="Times New Roman"/>
          <w:sz w:val="24"/>
          <w:szCs w:val="24"/>
        </w:rPr>
        <w:t>,</w:t>
      </w:r>
      <w:r w:rsidR="003C6265">
        <w:rPr>
          <w:rFonts w:ascii="Times New Roman" w:hAnsi="Times New Roman" w:cs="Times New Roman"/>
          <w:sz w:val="24"/>
          <w:szCs w:val="24"/>
        </w:rPr>
        <w:t xml:space="preserve"> for a</w:t>
      </w:r>
      <w:r w:rsidR="002E5C94">
        <w:rPr>
          <w:rFonts w:ascii="Times New Roman" w:hAnsi="Times New Roman" w:cs="Times New Roman"/>
          <w:sz w:val="24"/>
          <w:szCs w:val="24"/>
        </w:rPr>
        <w:t xml:space="preserve"> considerable period of time,</w:t>
      </w:r>
      <w:r w:rsidR="003C6265">
        <w:rPr>
          <w:rFonts w:ascii="Times New Roman" w:hAnsi="Times New Roman" w:cs="Times New Roman"/>
          <w:sz w:val="24"/>
          <w:szCs w:val="24"/>
        </w:rPr>
        <w:t xml:space="preserve"> so exercised.</w:t>
      </w:r>
    </w:p>
    <w:p w:rsidR="0030575E" w:rsidRDefault="00384A0B"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233B">
        <w:rPr>
          <w:rFonts w:ascii="Times New Roman" w:hAnsi="Times New Roman" w:cs="Times New Roman"/>
          <w:sz w:val="24"/>
          <w:szCs w:val="24"/>
        </w:rPr>
        <w:t>In alleging</w:t>
      </w:r>
      <w:r w:rsidR="00BF3846">
        <w:rPr>
          <w:rFonts w:ascii="Times New Roman" w:hAnsi="Times New Roman" w:cs="Times New Roman"/>
          <w:sz w:val="24"/>
          <w:szCs w:val="24"/>
        </w:rPr>
        <w:t xml:space="preserve"> fraud the </w:t>
      </w:r>
      <w:r>
        <w:rPr>
          <w:rFonts w:ascii="Times New Roman" w:hAnsi="Times New Roman" w:cs="Times New Roman"/>
          <w:sz w:val="24"/>
          <w:szCs w:val="24"/>
        </w:rPr>
        <w:t xml:space="preserve">first </w:t>
      </w:r>
      <w:r w:rsidR="00BF3846">
        <w:rPr>
          <w:rFonts w:ascii="Times New Roman" w:hAnsi="Times New Roman" w:cs="Times New Roman"/>
          <w:sz w:val="24"/>
          <w:szCs w:val="24"/>
        </w:rPr>
        <w:t>respondent relied on the findings of the arbitration. In fact</w:t>
      </w:r>
      <w:r w:rsidR="00A9233B">
        <w:rPr>
          <w:rFonts w:ascii="Times New Roman" w:hAnsi="Times New Roman" w:cs="Times New Roman"/>
          <w:sz w:val="24"/>
          <w:szCs w:val="24"/>
        </w:rPr>
        <w:t>,</w:t>
      </w:r>
      <w:r w:rsidR="00BF3846">
        <w:rPr>
          <w:rFonts w:ascii="Times New Roman" w:hAnsi="Times New Roman" w:cs="Times New Roman"/>
          <w:sz w:val="24"/>
          <w:szCs w:val="24"/>
        </w:rPr>
        <w:t xml:space="preserve"> instead of being specific</w:t>
      </w:r>
      <w:r w:rsidR="0078415A">
        <w:rPr>
          <w:rFonts w:ascii="Times New Roman" w:hAnsi="Times New Roman" w:cs="Times New Roman"/>
          <w:sz w:val="24"/>
          <w:szCs w:val="24"/>
        </w:rPr>
        <w:t>,</w:t>
      </w:r>
      <w:r w:rsidR="00BF3846">
        <w:rPr>
          <w:rFonts w:ascii="Times New Roman" w:hAnsi="Times New Roman" w:cs="Times New Roman"/>
          <w:sz w:val="24"/>
          <w:szCs w:val="24"/>
        </w:rPr>
        <w:t xml:space="preserve"> the issue was argued in a generalized form. The court was referred to the entire arbitration award ranging from page 1054 to 1088 of the record. There was no </w:t>
      </w:r>
      <w:r w:rsidR="00BF3846">
        <w:rPr>
          <w:rFonts w:ascii="Times New Roman" w:hAnsi="Times New Roman" w:cs="Times New Roman"/>
          <w:sz w:val="24"/>
          <w:szCs w:val="24"/>
        </w:rPr>
        <w:lastRenderedPageBreak/>
        <w:t xml:space="preserve">evidence to show that the money received from the 21 applicants was not handed over to the </w:t>
      </w:r>
      <w:r>
        <w:rPr>
          <w:rFonts w:ascii="Times New Roman" w:hAnsi="Times New Roman" w:cs="Times New Roman"/>
          <w:sz w:val="24"/>
          <w:szCs w:val="24"/>
        </w:rPr>
        <w:t xml:space="preserve">first </w:t>
      </w:r>
      <w:r w:rsidR="00BF3846">
        <w:rPr>
          <w:rFonts w:ascii="Times New Roman" w:hAnsi="Times New Roman" w:cs="Times New Roman"/>
          <w:sz w:val="24"/>
          <w:szCs w:val="24"/>
        </w:rPr>
        <w:t xml:space="preserve">respondent. The issue of fraud was not proved on a balance of probabilities. </w:t>
      </w:r>
    </w:p>
    <w:p w:rsidR="00DE41E5" w:rsidRDefault="00384A0B"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575E">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30575E">
        <w:rPr>
          <w:rFonts w:ascii="Times New Roman" w:hAnsi="Times New Roman" w:cs="Times New Roman"/>
          <w:sz w:val="24"/>
          <w:szCs w:val="24"/>
        </w:rPr>
        <w:t xml:space="preserve">respondent should have realized that the acts by </w:t>
      </w:r>
      <w:r w:rsidR="00327703">
        <w:rPr>
          <w:rFonts w:ascii="Times New Roman" w:hAnsi="Times New Roman" w:cs="Times New Roman"/>
          <w:sz w:val="24"/>
          <w:szCs w:val="24"/>
        </w:rPr>
        <w:t>second</w:t>
      </w:r>
      <w:r w:rsidR="0030575E">
        <w:rPr>
          <w:rFonts w:ascii="Times New Roman" w:hAnsi="Times New Roman" w:cs="Times New Roman"/>
          <w:sz w:val="24"/>
          <w:szCs w:val="24"/>
        </w:rPr>
        <w:t xml:space="preserve"> respondent after 20 July 2017 would bind it unless the public were warned. </w:t>
      </w:r>
      <w:r w:rsidR="00210EB2">
        <w:rPr>
          <w:rFonts w:ascii="Times New Roman" w:hAnsi="Times New Roman" w:cs="Times New Roman"/>
          <w:sz w:val="24"/>
          <w:szCs w:val="24"/>
        </w:rPr>
        <w:t xml:space="preserve">This is a matter where </w:t>
      </w:r>
      <w:r w:rsidR="0078415A">
        <w:rPr>
          <w:rFonts w:ascii="Times New Roman" w:hAnsi="Times New Roman" w:cs="Times New Roman"/>
          <w:sz w:val="24"/>
          <w:szCs w:val="24"/>
        </w:rPr>
        <w:t>ostensible authority must be up</w:t>
      </w:r>
      <w:r w:rsidR="00210EB2">
        <w:rPr>
          <w:rFonts w:ascii="Times New Roman" w:hAnsi="Times New Roman" w:cs="Times New Roman"/>
          <w:sz w:val="24"/>
          <w:szCs w:val="24"/>
        </w:rPr>
        <w:t>held.</w:t>
      </w:r>
    </w:p>
    <w:p w:rsidR="00210EB2" w:rsidRPr="0030575E" w:rsidRDefault="00210EB2" w:rsidP="00384A0B">
      <w:pPr>
        <w:spacing w:after="0" w:line="360" w:lineRule="auto"/>
        <w:jc w:val="both"/>
        <w:rPr>
          <w:rFonts w:ascii="Times New Roman" w:hAnsi="Times New Roman" w:cs="Times New Roman"/>
          <w:b/>
          <w:sz w:val="24"/>
          <w:szCs w:val="24"/>
        </w:rPr>
      </w:pPr>
      <w:r w:rsidRPr="0030575E">
        <w:rPr>
          <w:rFonts w:ascii="Times New Roman" w:hAnsi="Times New Roman" w:cs="Times New Roman"/>
          <w:b/>
          <w:sz w:val="24"/>
          <w:szCs w:val="24"/>
        </w:rPr>
        <w:t>COSTS</w:t>
      </w:r>
    </w:p>
    <w:p w:rsidR="00210EB2" w:rsidRDefault="00384A0B"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575E">
        <w:rPr>
          <w:rFonts w:ascii="Times New Roman" w:hAnsi="Times New Roman" w:cs="Times New Roman"/>
          <w:sz w:val="24"/>
          <w:szCs w:val="24"/>
        </w:rPr>
        <w:t>Applicants asked for costs at</w:t>
      </w:r>
      <w:r w:rsidR="00210EB2">
        <w:rPr>
          <w:rFonts w:ascii="Times New Roman" w:hAnsi="Times New Roman" w:cs="Times New Roman"/>
          <w:sz w:val="24"/>
          <w:szCs w:val="24"/>
        </w:rPr>
        <w:t xml:space="preserve"> legal practitioner and client scale. Costs are at the court’s discretion. The </w:t>
      </w:r>
      <w:r>
        <w:rPr>
          <w:rFonts w:ascii="Times New Roman" w:hAnsi="Times New Roman" w:cs="Times New Roman"/>
          <w:sz w:val="24"/>
          <w:szCs w:val="24"/>
        </w:rPr>
        <w:t xml:space="preserve">first </w:t>
      </w:r>
      <w:r w:rsidR="00210EB2">
        <w:rPr>
          <w:rFonts w:ascii="Times New Roman" w:hAnsi="Times New Roman" w:cs="Times New Roman"/>
          <w:sz w:val="24"/>
          <w:szCs w:val="24"/>
        </w:rPr>
        <w:t>respondent asked that each party must pay its own costs. Ordinarily costs follow the cause. There was no justification for each party to bear its own costs at the expense of a winning party. Costs were asked at</w:t>
      </w:r>
      <w:r w:rsidR="00574124">
        <w:rPr>
          <w:rFonts w:ascii="Times New Roman" w:hAnsi="Times New Roman" w:cs="Times New Roman"/>
          <w:sz w:val="24"/>
          <w:szCs w:val="24"/>
        </w:rPr>
        <w:t xml:space="preserve"> </w:t>
      </w:r>
      <w:r w:rsidR="00210EB2">
        <w:rPr>
          <w:rFonts w:ascii="Times New Roman" w:hAnsi="Times New Roman" w:cs="Times New Roman"/>
          <w:sz w:val="24"/>
          <w:szCs w:val="24"/>
        </w:rPr>
        <w:t xml:space="preserve">a higher scale because of </w:t>
      </w:r>
      <w:r w:rsidR="00327703">
        <w:rPr>
          <w:rFonts w:ascii="Times New Roman" w:hAnsi="Times New Roman" w:cs="Times New Roman"/>
          <w:sz w:val="24"/>
          <w:szCs w:val="24"/>
        </w:rPr>
        <w:t xml:space="preserve">1st </w:t>
      </w:r>
      <w:r w:rsidR="00210EB2">
        <w:rPr>
          <w:rFonts w:ascii="Times New Roman" w:hAnsi="Times New Roman" w:cs="Times New Roman"/>
          <w:sz w:val="24"/>
          <w:szCs w:val="24"/>
        </w:rPr>
        <w:t xml:space="preserve">respondent’s attitude. </w:t>
      </w:r>
      <w:r w:rsidR="00B5073D">
        <w:rPr>
          <w:rFonts w:ascii="Times New Roman" w:hAnsi="Times New Roman" w:cs="Times New Roman"/>
          <w:sz w:val="24"/>
          <w:szCs w:val="24"/>
        </w:rPr>
        <w:t xml:space="preserve">The history of this matter shows that this application is not the </w:t>
      </w:r>
      <w:r>
        <w:rPr>
          <w:rFonts w:ascii="Times New Roman" w:hAnsi="Times New Roman" w:cs="Times New Roman"/>
          <w:sz w:val="24"/>
          <w:szCs w:val="24"/>
        </w:rPr>
        <w:t xml:space="preserve">first </w:t>
      </w:r>
      <w:r w:rsidR="00B5073D">
        <w:rPr>
          <w:rFonts w:ascii="Times New Roman" w:hAnsi="Times New Roman" w:cs="Times New Roman"/>
          <w:sz w:val="24"/>
          <w:szCs w:val="24"/>
        </w:rPr>
        <w:t xml:space="preserve">of its own kind. In HC 6816/18 an application by 140 applicants against the respondents seeking a similar declaratory order was granted by this court on 3 December 2018. The </w:t>
      </w:r>
      <w:r>
        <w:rPr>
          <w:rFonts w:ascii="Times New Roman" w:hAnsi="Times New Roman" w:cs="Times New Roman"/>
          <w:sz w:val="24"/>
          <w:szCs w:val="24"/>
        </w:rPr>
        <w:t xml:space="preserve">first </w:t>
      </w:r>
      <w:r w:rsidR="00B5073D">
        <w:rPr>
          <w:rFonts w:ascii="Times New Roman" w:hAnsi="Times New Roman" w:cs="Times New Roman"/>
          <w:sz w:val="24"/>
          <w:szCs w:val="24"/>
        </w:rPr>
        <w:t xml:space="preserve">respondent filed an appeal with the Supreme court but the order of this court was confirmed. </w:t>
      </w:r>
    </w:p>
    <w:p w:rsidR="00B5073D" w:rsidRDefault="00384A0B"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073D">
        <w:rPr>
          <w:rFonts w:ascii="Times New Roman" w:hAnsi="Times New Roman" w:cs="Times New Roman"/>
          <w:sz w:val="24"/>
          <w:szCs w:val="24"/>
        </w:rPr>
        <w:t xml:space="preserve">The applicants through their lawyers had on 6 December 2018 written to the respondents’ lawyers to accept their agreements as valid </w:t>
      </w:r>
      <w:r w:rsidR="00AB0D02">
        <w:rPr>
          <w:rFonts w:ascii="Times New Roman" w:hAnsi="Times New Roman" w:cs="Times New Roman"/>
          <w:sz w:val="24"/>
          <w:szCs w:val="24"/>
        </w:rPr>
        <w:t>more so</w:t>
      </w:r>
      <w:r w:rsidR="00B5073D">
        <w:rPr>
          <w:rFonts w:ascii="Times New Roman" w:hAnsi="Times New Roman" w:cs="Times New Roman"/>
          <w:sz w:val="24"/>
          <w:szCs w:val="24"/>
        </w:rPr>
        <w:t xml:space="preserve"> </w:t>
      </w:r>
      <w:r w:rsidR="00AB0D02">
        <w:rPr>
          <w:rFonts w:ascii="Times New Roman" w:hAnsi="Times New Roman" w:cs="Times New Roman"/>
          <w:sz w:val="24"/>
          <w:szCs w:val="24"/>
        </w:rPr>
        <w:t xml:space="preserve">in light of </w:t>
      </w:r>
      <w:r w:rsidR="00B5073D">
        <w:rPr>
          <w:rFonts w:ascii="Times New Roman" w:hAnsi="Times New Roman" w:cs="Times New Roman"/>
          <w:sz w:val="24"/>
          <w:szCs w:val="24"/>
        </w:rPr>
        <w:t>the order of this court of 3 December 2018. The response of 12 December 2018 by the respondents</w:t>
      </w:r>
      <w:r w:rsidR="00AB0D02">
        <w:rPr>
          <w:rFonts w:ascii="Times New Roman" w:hAnsi="Times New Roman" w:cs="Times New Roman"/>
          <w:sz w:val="24"/>
          <w:szCs w:val="24"/>
        </w:rPr>
        <w:t>,</w:t>
      </w:r>
      <w:r w:rsidR="00B5073D">
        <w:rPr>
          <w:rFonts w:ascii="Times New Roman" w:hAnsi="Times New Roman" w:cs="Times New Roman"/>
          <w:sz w:val="24"/>
          <w:szCs w:val="24"/>
        </w:rPr>
        <w:t xml:space="preserve"> </w:t>
      </w:r>
      <w:r w:rsidR="00AB0D02">
        <w:rPr>
          <w:rFonts w:ascii="Times New Roman" w:hAnsi="Times New Roman" w:cs="Times New Roman"/>
          <w:sz w:val="24"/>
          <w:szCs w:val="24"/>
        </w:rPr>
        <w:t>to say the least, was arrogant</w:t>
      </w:r>
      <w:r w:rsidR="00AC069A">
        <w:rPr>
          <w:rFonts w:ascii="Times New Roman" w:hAnsi="Times New Roman" w:cs="Times New Roman"/>
          <w:sz w:val="24"/>
          <w:szCs w:val="24"/>
        </w:rPr>
        <w:t xml:space="preserve"> coupled</w:t>
      </w:r>
      <w:r w:rsidR="00AB0D02">
        <w:rPr>
          <w:rFonts w:ascii="Times New Roman" w:hAnsi="Times New Roman" w:cs="Times New Roman"/>
          <w:sz w:val="24"/>
          <w:szCs w:val="24"/>
        </w:rPr>
        <w:t xml:space="preserve"> with a threat to invoke penalty clauses in the agreements for these applicants and those in HC 6816/18. At the time the </w:t>
      </w:r>
      <w:r>
        <w:rPr>
          <w:rFonts w:ascii="Times New Roman" w:hAnsi="Times New Roman" w:cs="Times New Roman"/>
          <w:sz w:val="24"/>
          <w:szCs w:val="24"/>
        </w:rPr>
        <w:t xml:space="preserve">first </w:t>
      </w:r>
      <w:r w:rsidR="00AB0D02">
        <w:rPr>
          <w:rFonts w:ascii="Times New Roman" w:hAnsi="Times New Roman" w:cs="Times New Roman"/>
          <w:sz w:val="24"/>
          <w:szCs w:val="24"/>
        </w:rPr>
        <w:t xml:space="preserve">respondent did not differentiate the applicants according to when they signed the agreements. Despite this matter being capable of amicable resolution between the parties, the </w:t>
      </w:r>
      <w:r>
        <w:rPr>
          <w:rFonts w:ascii="Times New Roman" w:hAnsi="Times New Roman" w:cs="Times New Roman"/>
          <w:sz w:val="24"/>
          <w:szCs w:val="24"/>
        </w:rPr>
        <w:t xml:space="preserve">first </w:t>
      </w:r>
      <w:r w:rsidR="00AB0D02">
        <w:rPr>
          <w:rFonts w:ascii="Times New Roman" w:hAnsi="Times New Roman" w:cs="Times New Roman"/>
          <w:sz w:val="24"/>
          <w:szCs w:val="24"/>
        </w:rPr>
        <w:t>respondent’s attitude made it impossible to take that route hence the parties found themselves embroiled in this litigation with a bulky record running into 1174 pages.</w:t>
      </w:r>
    </w:p>
    <w:p w:rsidR="00384A0B" w:rsidRDefault="00384A0B" w:rsidP="0032770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119AF">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C119AF">
        <w:rPr>
          <w:rFonts w:ascii="Times New Roman" w:hAnsi="Times New Roman" w:cs="Times New Roman"/>
          <w:sz w:val="24"/>
          <w:szCs w:val="24"/>
        </w:rPr>
        <w:t>respondent has not shown to have any valid defence to the application from the beginning apart from</w:t>
      </w:r>
      <w:r w:rsidR="00AC069A">
        <w:rPr>
          <w:rFonts w:ascii="Times New Roman" w:hAnsi="Times New Roman" w:cs="Times New Roman"/>
          <w:sz w:val="24"/>
          <w:szCs w:val="24"/>
        </w:rPr>
        <w:t xml:space="preserve"> its</w:t>
      </w:r>
      <w:r w:rsidR="00C119AF">
        <w:rPr>
          <w:rFonts w:ascii="Times New Roman" w:hAnsi="Times New Roman" w:cs="Times New Roman"/>
          <w:sz w:val="24"/>
          <w:szCs w:val="24"/>
        </w:rPr>
        <w:t xml:space="preserve"> arm twist approach. The opposing affidavit also bears testimony to t</w:t>
      </w:r>
      <w:r w:rsidR="00AC069A">
        <w:rPr>
          <w:rFonts w:ascii="Times New Roman" w:hAnsi="Times New Roman" w:cs="Times New Roman"/>
          <w:sz w:val="24"/>
          <w:szCs w:val="24"/>
        </w:rPr>
        <w:t>his in paragraph 7:1 when it states</w:t>
      </w:r>
      <w:r w:rsidR="00C119AF">
        <w:rPr>
          <w:rFonts w:ascii="Times New Roman" w:hAnsi="Times New Roman" w:cs="Times New Roman"/>
          <w:sz w:val="24"/>
          <w:szCs w:val="24"/>
        </w:rPr>
        <w:t xml:space="preserve">; </w:t>
      </w:r>
    </w:p>
    <w:p w:rsidR="00384A0B" w:rsidRDefault="00384A0B" w:rsidP="00384A0B">
      <w:pPr>
        <w:spacing w:line="240" w:lineRule="auto"/>
        <w:jc w:val="both"/>
        <w:rPr>
          <w:rFonts w:ascii="Times New Roman" w:hAnsi="Times New Roman" w:cs="Times New Roman"/>
        </w:rPr>
      </w:pPr>
      <w:r>
        <w:rPr>
          <w:rFonts w:ascii="Times New Roman" w:hAnsi="Times New Roman" w:cs="Times New Roman"/>
          <w:sz w:val="24"/>
          <w:szCs w:val="24"/>
        </w:rPr>
        <w:tab/>
      </w:r>
      <w:r w:rsidR="00C119AF" w:rsidRPr="00384A0B">
        <w:rPr>
          <w:rFonts w:ascii="Times New Roman" w:hAnsi="Times New Roman" w:cs="Times New Roman"/>
        </w:rPr>
        <w:t xml:space="preserve">“This is an application that ought not to have been made at all. I content that there is absolutely </w:t>
      </w:r>
      <w:r>
        <w:rPr>
          <w:rFonts w:ascii="Times New Roman" w:hAnsi="Times New Roman" w:cs="Times New Roman"/>
        </w:rPr>
        <w:tab/>
      </w:r>
      <w:r w:rsidR="00C119AF" w:rsidRPr="00384A0B">
        <w:rPr>
          <w:rFonts w:ascii="Times New Roman" w:hAnsi="Times New Roman" w:cs="Times New Roman"/>
        </w:rPr>
        <w:t xml:space="preserve">no legal disputes between the applicants and the </w:t>
      </w:r>
      <w:r w:rsidR="00327703" w:rsidRPr="00384A0B">
        <w:rPr>
          <w:rFonts w:ascii="Times New Roman" w:hAnsi="Times New Roman" w:cs="Times New Roman"/>
        </w:rPr>
        <w:t>1</w:t>
      </w:r>
      <w:r w:rsidR="00AE6E26" w:rsidRPr="00AE6E26">
        <w:rPr>
          <w:rFonts w:ascii="Times New Roman" w:hAnsi="Times New Roman" w:cs="Times New Roman"/>
          <w:vertAlign w:val="superscript"/>
        </w:rPr>
        <w:t>st</w:t>
      </w:r>
      <w:r w:rsidR="00AE6E26">
        <w:rPr>
          <w:rFonts w:ascii="Times New Roman" w:hAnsi="Times New Roman" w:cs="Times New Roman"/>
        </w:rPr>
        <w:t xml:space="preserve"> </w:t>
      </w:r>
      <w:r w:rsidR="00C119AF" w:rsidRPr="00384A0B">
        <w:rPr>
          <w:rFonts w:ascii="Times New Roman" w:hAnsi="Times New Roman" w:cs="Times New Roman"/>
        </w:rPr>
        <w:t>respondent.”</w:t>
      </w:r>
    </w:p>
    <w:p w:rsidR="00AB0D02" w:rsidRDefault="00C119AF" w:rsidP="00384A0B">
      <w:pPr>
        <w:spacing w:after="0" w:line="360" w:lineRule="auto"/>
        <w:jc w:val="both"/>
        <w:rPr>
          <w:rFonts w:ascii="Times New Roman" w:hAnsi="Times New Roman" w:cs="Times New Roman"/>
          <w:sz w:val="24"/>
          <w:szCs w:val="24"/>
        </w:rPr>
      </w:pPr>
      <w:r w:rsidRPr="00384A0B">
        <w:rPr>
          <w:rFonts w:ascii="Times New Roman" w:hAnsi="Times New Roman" w:cs="Times New Roman"/>
        </w:rPr>
        <w:t xml:space="preserve"> </w:t>
      </w:r>
      <w:r w:rsidR="00384A0B">
        <w:rPr>
          <w:rFonts w:ascii="Times New Roman" w:hAnsi="Times New Roman" w:cs="Times New Roman"/>
        </w:rPr>
        <w:tab/>
      </w:r>
      <w:r>
        <w:rPr>
          <w:rFonts w:ascii="Times New Roman" w:hAnsi="Times New Roman" w:cs="Times New Roman"/>
          <w:sz w:val="24"/>
          <w:szCs w:val="24"/>
        </w:rPr>
        <w:t xml:space="preserve"> One may then pause to ask as to why applicants proceeded with litigation. The answer in my view is simple, ‘because of the </w:t>
      </w:r>
      <w:r w:rsidR="00AE6E26">
        <w:rPr>
          <w:rFonts w:ascii="Times New Roman" w:hAnsi="Times New Roman" w:cs="Times New Roman"/>
          <w:sz w:val="24"/>
          <w:szCs w:val="24"/>
        </w:rPr>
        <w:t xml:space="preserve">first </w:t>
      </w:r>
      <w:r>
        <w:rPr>
          <w:rFonts w:ascii="Times New Roman" w:hAnsi="Times New Roman" w:cs="Times New Roman"/>
          <w:sz w:val="24"/>
          <w:szCs w:val="24"/>
        </w:rPr>
        <w:t>respondent’s big brother attitude.’</w:t>
      </w:r>
      <w:r w:rsidR="00AC069A">
        <w:rPr>
          <w:rFonts w:ascii="Times New Roman" w:hAnsi="Times New Roman" w:cs="Times New Roman"/>
          <w:sz w:val="24"/>
          <w:szCs w:val="24"/>
        </w:rPr>
        <w:t xml:space="preserve"> The first respondent wanted to use its upper hand position in the agreement to coerce the applicants to resile from their existing agreements and create new agreements with new terms to its advantage.</w:t>
      </w:r>
    </w:p>
    <w:p w:rsidR="00384A0B" w:rsidRDefault="00384A0B"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42F9B">
        <w:rPr>
          <w:rFonts w:ascii="Times New Roman" w:hAnsi="Times New Roman" w:cs="Times New Roman"/>
          <w:sz w:val="24"/>
          <w:szCs w:val="24"/>
        </w:rPr>
        <w:t xml:space="preserve">Courts will ordinarily not grant punitive costs unless it is shown that the losing litigant was not genuine in pursuing litigation. See </w:t>
      </w:r>
      <w:r w:rsidR="00942F9B" w:rsidRPr="00AE6E26">
        <w:rPr>
          <w:rFonts w:ascii="Times New Roman" w:hAnsi="Times New Roman" w:cs="Times New Roman"/>
          <w:i/>
          <w:sz w:val="24"/>
          <w:szCs w:val="24"/>
        </w:rPr>
        <w:t>Mahembe</w:t>
      </w:r>
      <w:r w:rsidR="00942F9B">
        <w:rPr>
          <w:rFonts w:ascii="Times New Roman" w:hAnsi="Times New Roman" w:cs="Times New Roman"/>
          <w:sz w:val="24"/>
          <w:szCs w:val="24"/>
        </w:rPr>
        <w:t xml:space="preserve"> v </w:t>
      </w:r>
      <w:r w:rsidR="00942F9B" w:rsidRPr="00AE6E26">
        <w:rPr>
          <w:rFonts w:ascii="Times New Roman" w:hAnsi="Times New Roman" w:cs="Times New Roman"/>
          <w:i/>
          <w:sz w:val="24"/>
          <w:szCs w:val="24"/>
        </w:rPr>
        <w:t>Matambo</w:t>
      </w:r>
      <w:r w:rsidR="00942F9B">
        <w:rPr>
          <w:rFonts w:ascii="Times New Roman" w:hAnsi="Times New Roman" w:cs="Times New Roman"/>
          <w:sz w:val="24"/>
          <w:szCs w:val="24"/>
        </w:rPr>
        <w:t xml:space="preserve"> 2003 (1) ZLR 149 (H). In </w:t>
      </w:r>
      <w:r w:rsidR="00942F9B" w:rsidRPr="00384A0B">
        <w:rPr>
          <w:rFonts w:ascii="Times New Roman" w:hAnsi="Times New Roman" w:cs="Times New Roman"/>
          <w:i/>
          <w:sz w:val="24"/>
          <w:szCs w:val="24"/>
        </w:rPr>
        <w:t>Chizura</w:t>
      </w:r>
      <w:r w:rsidR="00942F9B">
        <w:rPr>
          <w:rFonts w:ascii="Times New Roman" w:hAnsi="Times New Roman" w:cs="Times New Roman"/>
          <w:sz w:val="24"/>
          <w:szCs w:val="24"/>
        </w:rPr>
        <w:t xml:space="preserve"> v </w:t>
      </w:r>
      <w:r w:rsidR="00942F9B" w:rsidRPr="00384A0B">
        <w:rPr>
          <w:rFonts w:ascii="Times New Roman" w:hAnsi="Times New Roman" w:cs="Times New Roman"/>
          <w:i/>
          <w:sz w:val="24"/>
          <w:szCs w:val="24"/>
        </w:rPr>
        <w:t>Chiweshe</w:t>
      </w:r>
      <w:r w:rsidR="00942F9B">
        <w:rPr>
          <w:rFonts w:ascii="Times New Roman" w:hAnsi="Times New Roman" w:cs="Times New Roman"/>
          <w:sz w:val="24"/>
          <w:szCs w:val="24"/>
        </w:rPr>
        <w:t xml:space="preserve"> HB 80/03 the court had this to say;</w:t>
      </w:r>
    </w:p>
    <w:p w:rsidR="001D6EB1" w:rsidRDefault="00384A0B" w:rsidP="00384A0B">
      <w:pPr>
        <w:spacing w:after="0" w:line="240" w:lineRule="auto"/>
        <w:jc w:val="both"/>
        <w:rPr>
          <w:rFonts w:ascii="Times New Roman" w:hAnsi="Times New Roman" w:cs="Times New Roman"/>
        </w:rPr>
      </w:pPr>
      <w:r>
        <w:rPr>
          <w:rFonts w:ascii="Times New Roman" w:hAnsi="Times New Roman" w:cs="Times New Roman"/>
          <w:sz w:val="24"/>
          <w:szCs w:val="24"/>
        </w:rPr>
        <w:tab/>
      </w:r>
      <w:r w:rsidR="00942F9B">
        <w:rPr>
          <w:rFonts w:ascii="Times New Roman" w:hAnsi="Times New Roman" w:cs="Times New Roman"/>
          <w:sz w:val="24"/>
          <w:szCs w:val="24"/>
        </w:rPr>
        <w:t xml:space="preserve"> </w:t>
      </w:r>
      <w:r w:rsidR="00942F9B" w:rsidRPr="00384A0B">
        <w:rPr>
          <w:rFonts w:ascii="Times New Roman" w:hAnsi="Times New Roman" w:cs="Times New Roman"/>
        </w:rPr>
        <w:t xml:space="preserve">“In awarding costs at a higher scale the losing litigant’s attitude in the proceedings is an </w:t>
      </w:r>
      <w:r>
        <w:rPr>
          <w:rFonts w:ascii="Times New Roman" w:hAnsi="Times New Roman" w:cs="Times New Roman"/>
        </w:rPr>
        <w:tab/>
      </w:r>
      <w:r w:rsidR="00942F9B" w:rsidRPr="00384A0B">
        <w:rPr>
          <w:rFonts w:ascii="Times New Roman" w:hAnsi="Times New Roman" w:cs="Times New Roman"/>
        </w:rPr>
        <w:t xml:space="preserve">essential ingredient which should be taken into account as it </w:t>
      </w:r>
      <w:r w:rsidR="001D6EB1" w:rsidRPr="00384A0B">
        <w:rPr>
          <w:rFonts w:ascii="Times New Roman" w:hAnsi="Times New Roman" w:cs="Times New Roman"/>
        </w:rPr>
        <w:t>impacts</w:t>
      </w:r>
      <w:r w:rsidR="00942F9B" w:rsidRPr="00384A0B">
        <w:rPr>
          <w:rFonts w:ascii="Times New Roman" w:hAnsi="Times New Roman" w:cs="Times New Roman"/>
        </w:rPr>
        <w:t xml:space="preserve"> negatively in the expenses </w:t>
      </w:r>
      <w:r>
        <w:rPr>
          <w:rFonts w:ascii="Times New Roman" w:hAnsi="Times New Roman" w:cs="Times New Roman"/>
        </w:rPr>
        <w:tab/>
      </w:r>
      <w:r w:rsidR="00942F9B" w:rsidRPr="00384A0B">
        <w:rPr>
          <w:rFonts w:ascii="Times New Roman" w:hAnsi="Times New Roman" w:cs="Times New Roman"/>
        </w:rPr>
        <w:t xml:space="preserve">of the litigant – see </w:t>
      </w:r>
      <w:r w:rsidR="00942F9B" w:rsidRPr="00384A0B">
        <w:rPr>
          <w:rFonts w:ascii="Times New Roman" w:hAnsi="Times New Roman" w:cs="Times New Roman"/>
          <w:i/>
        </w:rPr>
        <w:t>Mahomed &amp; Son</w:t>
      </w:r>
      <w:r w:rsidR="00942F9B" w:rsidRPr="00384A0B">
        <w:rPr>
          <w:rFonts w:ascii="Times New Roman" w:hAnsi="Times New Roman" w:cs="Times New Roman"/>
        </w:rPr>
        <w:t xml:space="preserve"> v </w:t>
      </w:r>
      <w:r w:rsidR="00942F9B" w:rsidRPr="00384A0B">
        <w:rPr>
          <w:rFonts w:ascii="Times New Roman" w:hAnsi="Times New Roman" w:cs="Times New Roman"/>
          <w:i/>
        </w:rPr>
        <w:t xml:space="preserve">Mahomed </w:t>
      </w:r>
      <w:r w:rsidR="00942F9B" w:rsidRPr="00384A0B">
        <w:rPr>
          <w:rFonts w:ascii="Times New Roman" w:hAnsi="Times New Roman" w:cs="Times New Roman"/>
        </w:rPr>
        <w:t xml:space="preserve">1959 (2) SA 688.” </w:t>
      </w:r>
    </w:p>
    <w:p w:rsidR="00384A0B" w:rsidRPr="00384A0B" w:rsidRDefault="00384A0B" w:rsidP="00384A0B">
      <w:pPr>
        <w:spacing w:after="0" w:line="240" w:lineRule="auto"/>
        <w:jc w:val="both"/>
        <w:rPr>
          <w:rFonts w:ascii="Times New Roman" w:hAnsi="Times New Roman" w:cs="Times New Roman"/>
        </w:rPr>
      </w:pPr>
    </w:p>
    <w:p w:rsidR="00B95CAB" w:rsidRDefault="00384A0B"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6EB1">
        <w:rPr>
          <w:rFonts w:ascii="Times New Roman" w:hAnsi="Times New Roman" w:cs="Times New Roman"/>
          <w:sz w:val="24"/>
          <w:szCs w:val="24"/>
        </w:rPr>
        <w:t>This is a proper case where a successful party was unnecessarily put out of pocket by this litigation. It is just an</w:t>
      </w:r>
      <w:r w:rsidR="00B95CAB">
        <w:rPr>
          <w:rFonts w:ascii="Times New Roman" w:hAnsi="Times New Roman" w:cs="Times New Roman"/>
          <w:sz w:val="24"/>
          <w:szCs w:val="24"/>
        </w:rPr>
        <w:t xml:space="preserve">d proper that the losing party </w:t>
      </w:r>
      <w:r w:rsidR="001D6EB1">
        <w:rPr>
          <w:rFonts w:ascii="Times New Roman" w:hAnsi="Times New Roman" w:cs="Times New Roman"/>
          <w:sz w:val="24"/>
          <w:szCs w:val="24"/>
        </w:rPr>
        <w:t>must compensate.</w:t>
      </w:r>
    </w:p>
    <w:p w:rsidR="00942F9B" w:rsidRDefault="00B95CAB" w:rsidP="00384A0B">
      <w:pPr>
        <w:spacing w:after="0" w:line="360" w:lineRule="auto"/>
        <w:jc w:val="both"/>
        <w:rPr>
          <w:rFonts w:ascii="Times New Roman" w:hAnsi="Times New Roman" w:cs="Times New Roman"/>
          <w:sz w:val="24"/>
          <w:szCs w:val="24"/>
        </w:rPr>
      </w:pPr>
      <w:r w:rsidRPr="00B95CAB">
        <w:rPr>
          <w:rFonts w:ascii="Times New Roman" w:hAnsi="Times New Roman" w:cs="Times New Roman"/>
          <w:b/>
          <w:sz w:val="24"/>
          <w:szCs w:val="24"/>
        </w:rPr>
        <w:t>Disposition</w:t>
      </w:r>
      <w:r>
        <w:rPr>
          <w:rFonts w:ascii="Times New Roman" w:hAnsi="Times New Roman" w:cs="Times New Roman"/>
          <w:sz w:val="24"/>
          <w:szCs w:val="24"/>
        </w:rPr>
        <w:t>:</w:t>
      </w:r>
      <w:r w:rsidR="001D6EB1">
        <w:rPr>
          <w:rFonts w:ascii="Times New Roman" w:hAnsi="Times New Roman" w:cs="Times New Roman"/>
          <w:sz w:val="24"/>
          <w:szCs w:val="24"/>
        </w:rPr>
        <w:t xml:space="preserve"> </w:t>
      </w:r>
      <w:r w:rsidR="00942F9B">
        <w:rPr>
          <w:rFonts w:ascii="Times New Roman" w:hAnsi="Times New Roman" w:cs="Times New Roman"/>
          <w:sz w:val="24"/>
          <w:szCs w:val="24"/>
        </w:rPr>
        <w:t xml:space="preserve"> </w:t>
      </w:r>
    </w:p>
    <w:p w:rsidR="00B95CAB" w:rsidRDefault="00384A0B" w:rsidP="00384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5CAB">
        <w:rPr>
          <w:rFonts w:ascii="Times New Roman" w:hAnsi="Times New Roman" w:cs="Times New Roman"/>
          <w:sz w:val="24"/>
          <w:szCs w:val="24"/>
        </w:rPr>
        <w:t>IT IS ORDERED THAT:</w:t>
      </w:r>
    </w:p>
    <w:p w:rsidR="00B95CAB" w:rsidRPr="00B95CAB" w:rsidRDefault="00B95CAB" w:rsidP="00384A0B">
      <w:pPr>
        <w:pStyle w:val="ListParagraph"/>
        <w:numPr>
          <w:ilvl w:val="0"/>
          <w:numId w:val="3"/>
        </w:numPr>
        <w:spacing w:line="360" w:lineRule="auto"/>
        <w:ind w:firstLine="0"/>
        <w:jc w:val="both"/>
        <w:rPr>
          <w:rFonts w:ascii="Times New Roman" w:hAnsi="Times New Roman" w:cs="Times New Roman"/>
          <w:sz w:val="24"/>
          <w:szCs w:val="24"/>
        </w:rPr>
      </w:pPr>
      <w:r w:rsidRPr="00B95CAB">
        <w:rPr>
          <w:rFonts w:ascii="Times New Roman" w:hAnsi="Times New Roman" w:cs="Times New Roman"/>
          <w:sz w:val="24"/>
          <w:szCs w:val="24"/>
        </w:rPr>
        <w:t xml:space="preserve">It is declared that the agreements of sale which were entered into between the </w:t>
      </w:r>
      <w:r w:rsidR="00384A0B">
        <w:rPr>
          <w:rFonts w:ascii="Times New Roman" w:hAnsi="Times New Roman" w:cs="Times New Roman"/>
          <w:sz w:val="24"/>
          <w:szCs w:val="24"/>
        </w:rPr>
        <w:tab/>
      </w:r>
      <w:r w:rsidRPr="00B95CAB">
        <w:rPr>
          <w:rFonts w:ascii="Times New Roman" w:hAnsi="Times New Roman" w:cs="Times New Roman"/>
          <w:sz w:val="24"/>
          <w:szCs w:val="24"/>
        </w:rPr>
        <w:t xml:space="preserve">applicants and the </w:t>
      </w:r>
      <w:r w:rsidR="00327703">
        <w:rPr>
          <w:rFonts w:ascii="Times New Roman" w:hAnsi="Times New Roman" w:cs="Times New Roman"/>
          <w:sz w:val="24"/>
          <w:szCs w:val="24"/>
        </w:rPr>
        <w:t>1</w:t>
      </w:r>
      <w:r w:rsidR="00384A0B" w:rsidRPr="00384A0B">
        <w:rPr>
          <w:rFonts w:ascii="Times New Roman" w:hAnsi="Times New Roman" w:cs="Times New Roman"/>
          <w:sz w:val="24"/>
          <w:szCs w:val="24"/>
          <w:vertAlign w:val="superscript"/>
        </w:rPr>
        <w:t>st</w:t>
      </w:r>
      <w:r w:rsidR="00384A0B">
        <w:rPr>
          <w:rFonts w:ascii="Times New Roman" w:hAnsi="Times New Roman" w:cs="Times New Roman"/>
          <w:sz w:val="24"/>
          <w:szCs w:val="24"/>
        </w:rPr>
        <w:t xml:space="preserve"> </w:t>
      </w:r>
      <w:r w:rsidRPr="00B95CAB">
        <w:rPr>
          <w:rFonts w:ascii="Times New Roman" w:hAnsi="Times New Roman" w:cs="Times New Roman"/>
          <w:sz w:val="24"/>
          <w:szCs w:val="24"/>
        </w:rPr>
        <w:t xml:space="preserve">respondent represented by the </w:t>
      </w:r>
      <w:r w:rsidR="00AE6E26">
        <w:rPr>
          <w:rFonts w:ascii="Times New Roman" w:hAnsi="Times New Roman" w:cs="Times New Roman"/>
          <w:sz w:val="24"/>
          <w:szCs w:val="24"/>
        </w:rPr>
        <w:t>2</w:t>
      </w:r>
      <w:r w:rsidR="00AE6E26" w:rsidRPr="00AE6E26">
        <w:rPr>
          <w:rFonts w:ascii="Times New Roman" w:hAnsi="Times New Roman" w:cs="Times New Roman"/>
          <w:sz w:val="24"/>
          <w:szCs w:val="24"/>
          <w:vertAlign w:val="superscript"/>
        </w:rPr>
        <w:t>nd</w:t>
      </w:r>
      <w:r w:rsidR="00AE6E26">
        <w:rPr>
          <w:rFonts w:ascii="Times New Roman" w:hAnsi="Times New Roman" w:cs="Times New Roman"/>
          <w:sz w:val="24"/>
          <w:szCs w:val="24"/>
        </w:rPr>
        <w:t xml:space="preserve"> </w:t>
      </w:r>
      <w:r w:rsidRPr="00B95CAB">
        <w:rPr>
          <w:rFonts w:ascii="Times New Roman" w:hAnsi="Times New Roman" w:cs="Times New Roman"/>
          <w:sz w:val="24"/>
          <w:szCs w:val="24"/>
        </w:rPr>
        <w:t xml:space="preserve">respondent be and </w:t>
      </w:r>
      <w:r w:rsidR="00384A0B">
        <w:rPr>
          <w:rFonts w:ascii="Times New Roman" w:hAnsi="Times New Roman" w:cs="Times New Roman"/>
          <w:sz w:val="24"/>
          <w:szCs w:val="24"/>
        </w:rPr>
        <w:tab/>
      </w:r>
      <w:r w:rsidRPr="00B95CAB">
        <w:rPr>
          <w:rFonts w:ascii="Times New Roman" w:hAnsi="Times New Roman" w:cs="Times New Roman"/>
          <w:sz w:val="24"/>
          <w:szCs w:val="24"/>
        </w:rPr>
        <w:t xml:space="preserve">are </w:t>
      </w:r>
      <w:r w:rsidR="00AE6E26">
        <w:rPr>
          <w:rFonts w:ascii="Times New Roman" w:hAnsi="Times New Roman" w:cs="Times New Roman"/>
          <w:sz w:val="24"/>
          <w:szCs w:val="24"/>
        </w:rPr>
        <w:tab/>
      </w:r>
      <w:r w:rsidRPr="00B95CAB">
        <w:rPr>
          <w:rFonts w:ascii="Times New Roman" w:hAnsi="Times New Roman" w:cs="Times New Roman"/>
          <w:sz w:val="24"/>
          <w:szCs w:val="24"/>
        </w:rPr>
        <w:t>hereby held to be valid.</w:t>
      </w:r>
    </w:p>
    <w:p w:rsidR="00B95CAB" w:rsidRDefault="00B95CAB" w:rsidP="00384A0B">
      <w:pPr>
        <w:pStyle w:val="ListParagraph"/>
        <w:numPr>
          <w:ilvl w:val="0"/>
          <w:numId w:val="3"/>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w:t>
      </w:r>
      <w:r w:rsidR="00327703">
        <w:rPr>
          <w:rFonts w:ascii="Times New Roman" w:hAnsi="Times New Roman" w:cs="Times New Roman"/>
          <w:sz w:val="24"/>
          <w:szCs w:val="24"/>
        </w:rPr>
        <w:t>1</w:t>
      </w:r>
      <w:r w:rsidR="00384A0B" w:rsidRPr="00384A0B">
        <w:rPr>
          <w:rFonts w:ascii="Times New Roman" w:hAnsi="Times New Roman" w:cs="Times New Roman"/>
          <w:sz w:val="24"/>
          <w:szCs w:val="24"/>
          <w:vertAlign w:val="superscript"/>
        </w:rPr>
        <w:t>st</w:t>
      </w:r>
      <w:r w:rsidR="00384A0B">
        <w:rPr>
          <w:rFonts w:ascii="Times New Roman" w:hAnsi="Times New Roman" w:cs="Times New Roman"/>
          <w:sz w:val="24"/>
          <w:szCs w:val="24"/>
        </w:rPr>
        <w:t xml:space="preserve"> </w:t>
      </w:r>
      <w:r>
        <w:rPr>
          <w:rFonts w:ascii="Times New Roman" w:hAnsi="Times New Roman" w:cs="Times New Roman"/>
          <w:sz w:val="24"/>
          <w:szCs w:val="24"/>
        </w:rPr>
        <w:t xml:space="preserve">respondent pays costs of this application on a legal practitioner and client </w:t>
      </w:r>
      <w:r w:rsidR="00384A0B">
        <w:rPr>
          <w:rFonts w:ascii="Times New Roman" w:hAnsi="Times New Roman" w:cs="Times New Roman"/>
          <w:sz w:val="24"/>
          <w:szCs w:val="24"/>
        </w:rPr>
        <w:tab/>
      </w:r>
      <w:r>
        <w:rPr>
          <w:rFonts w:ascii="Times New Roman" w:hAnsi="Times New Roman" w:cs="Times New Roman"/>
          <w:sz w:val="24"/>
          <w:szCs w:val="24"/>
        </w:rPr>
        <w:t>scale.</w:t>
      </w:r>
    </w:p>
    <w:p w:rsidR="00384A0B" w:rsidRDefault="00384A0B" w:rsidP="00384A0B">
      <w:pPr>
        <w:spacing w:line="360" w:lineRule="auto"/>
        <w:jc w:val="both"/>
        <w:rPr>
          <w:rFonts w:ascii="Times New Roman" w:hAnsi="Times New Roman" w:cs="Times New Roman"/>
          <w:sz w:val="24"/>
          <w:szCs w:val="24"/>
        </w:rPr>
      </w:pPr>
    </w:p>
    <w:p w:rsidR="00384A0B" w:rsidRDefault="00384A0B" w:rsidP="00384A0B">
      <w:pPr>
        <w:spacing w:line="360" w:lineRule="auto"/>
        <w:jc w:val="both"/>
        <w:rPr>
          <w:rFonts w:ascii="Times New Roman" w:hAnsi="Times New Roman" w:cs="Times New Roman"/>
          <w:sz w:val="24"/>
          <w:szCs w:val="24"/>
        </w:rPr>
      </w:pPr>
    </w:p>
    <w:p w:rsidR="00AE6E26" w:rsidRPr="00384A0B" w:rsidRDefault="00AE6E26" w:rsidP="00384A0B">
      <w:pPr>
        <w:spacing w:line="360" w:lineRule="auto"/>
        <w:jc w:val="both"/>
        <w:rPr>
          <w:rFonts w:ascii="Times New Roman" w:hAnsi="Times New Roman" w:cs="Times New Roman"/>
          <w:sz w:val="24"/>
          <w:szCs w:val="24"/>
        </w:rPr>
      </w:pPr>
    </w:p>
    <w:p w:rsidR="000E0F9C" w:rsidRDefault="004C3961" w:rsidP="00AE6E26">
      <w:pPr>
        <w:pStyle w:val="ListParagraph"/>
        <w:spacing w:after="0" w:line="240" w:lineRule="auto"/>
        <w:ind w:left="0"/>
        <w:jc w:val="both"/>
        <w:rPr>
          <w:rFonts w:ascii="Times New Roman" w:hAnsi="Times New Roman" w:cs="Times New Roman"/>
          <w:sz w:val="24"/>
          <w:szCs w:val="24"/>
        </w:rPr>
      </w:pPr>
      <w:r w:rsidRPr="00AE6E26">
        <w:rPr>
          <w:rFonts w:ascii="Times New Roman" w:hAnsi="Times New Roman" w:cs="Times New Roman"/>
          <w:i/>
          <w:sz w:val="24"/>
          <w:szCs w:val="24"/>
        </w:rPr>
        <w:t>Kawonde Legal Services</w:t>
      </w:r>
      <w:r>
        <w:rPr>
          <w:rFonts w:ascii="Times New Roman" w:hAnsi="Times New Roman" w:cs="Times New Roman"/>
          <w:sz w:val="24"/>
          <w:szCs w:val="24"/>
        </w:rPr>
        <w:t>, applicants’ legal practitioners</w:t>
      </w:r>
    </w:p>
    <w:p w:rsidR="004C3961" w:rsidRDefault="004C3961" w:rsidP="00AE6E26">
      <w:pPr>
        <w:pStyle w:val="ListParagraph"/>
        <w:spacing w:after="0" w:line="240" w:lineRule="auto"/>
        <w:ind w:left="0"/>
        <w:jc w:val="both"/>
        <w:rPr>
          <w:rFonts w:ascii="Times New Roman" w:hAnsi="Times New Roman" w:cs="Times New Roman"/>
          <w:sz w:val="24"/>
          <w:szCs w:val="24"/>
        </w:rPr>
      </w:pPr>
      <w:r w:rsidRPr="00AE6E26">
        <w:rPr>
          <w:rFonts w:ascii="Times New Roman" w:hAnsi="Times New Roman" w:cs="Times New Roman"/>
          <w:i/>
          <w:sz w:val="24"/>
          <w:szCs w:val="24"/>
        </w:rPr>
        <w:t>Muza and Nyapadi</w:t>
      </w:r>
      <w:r>
        <w:rPr>
          <w:rFonts w:ascii="Times New Roman" w:hAnsi="Times New Roman" w:cs="Times New Roman"/>
          <w:sz w:val="24"/>
          <w:szCs w:val="24"/>
        </w:rPr>
        <w:t xml:space="preserve">, </w:t>
      </w:r>
      <w:r w:rsidR="00327703">
        <w:rPr>
          <w:rFonts w:ascii="Times New Roman" w:hAnsi="Times New Roman" w:cs="Times New Roman"/>
          <w:sz w:val="24"/>
          <w:szCs w:val="24"/>
        </w:rPr>
        <w:t>1</w:t>
      </w:r>
      <w:r w:rsidR="00AE6E26" w:rsidRPr="00AE6E26">
        <w:rPr>
          <w:rFonts w:ascii="Times New Roman" w:hAnsi="Times New Roman" w:cs="Times New Roman"/>
          <w:sz w:val="24"/>
          <w:szCs w:val="24"/>
          <w:vertAlign w:val="superscript"/>
        </w:rPr>
        <w:t>st</w:t>
      </w:r>
      <w:r w:rsidR="00AE6E26">
        <w:rPr>
          <w:rFonts w:ascii="Times New Roman" w:hAnsi="Times New Roman" w:cs="Times New Roman"/>
          <w:sz w:val="24"/>
          <w:szCs w:val="24"/>
        </w:rPr>
        <w:t xml:space="preserve"> </w:t>
      </w:r>
      <w:r>
        <w:rPr>
          <w:rFonts w:ascii="Times New Roman" w:hAnsi="Times New Roman" w:cs="Times New Roman"/>
          <w:sz w:val="24"/>
          <w:szCs w:val="24"/>
        </w:rPr>
        <w:t>respondent’s legal practitioners</w:t>
      </w:r>
    </w:p>
    <w:p w:rsidR="006A599B" w:rsidRPr="00D74D99" w:rsidRDefault="006A599B" w:rsidP="00AE6E26">
      <w:pPr>
        <w:spacing w:after="0" w:line="240" w:lineRule="auto"/>
        <w:rPr>
          <w:rFonts w:ascii="Times New Roman" w:hAnsi="Times New Roman" w:cs="Times New Roman"/>
          <w:sz w:val="24"/>
          <w:szCs w:val="24"/>
        </w:rPr>
      </w:pPr>
    </w:p>
    <w:p w:rsidR="00D276F8" w:rsidRPr="00D74D99" w:rsidRDefault="00D276F8">
      <w:pPr>
        <w:rPr>
          <w:rFonts w:ascii="Times New Roman" w:hAnsi="Times New Roman" w:cs="Times New Roman"/>
          <w:b/>
          <w:sz w:val="24"/>
          <w:szCs w:val="24"/>
        </w:rPr>
      </w:pPr>
    </w:p>
    <w:sectPr w:rsidR="00D276F8" w:rsidRPr="00D74D9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31C" w:rsidRDefault="0095231C" w:rsidP="006C39B1">
      <w:pPr>
        <w:spacing w:after="0" w:line="240" w:lineRule="auto"/>
      </w:pPr>
      <w:r>
        <w:separator/>
      </w:r>
    </w:p>
  </w:endnote>
  <w:endnote w:type="continuationSeparator" w:id="0">
    <w:p w:rsidR="0095231C" w:rsidRDefault="0095231C" w:rsidP="006C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31C" w:rsidRDefault="0095231C" w:rsidP="006C39B1">
      <w:pPr>
        <w:spacing w:after="0" w:line="240" w:lineRule="auto"/>
      </w:pPr>
      <w:r>
        <w:separator/>
      </w:r>
    </w:p>
  </w:footnote>
  <w:footnote w:type="continuationSeparator" w:id="0">
    <w:p w:rsidR="0095231C" w:rsidRDefault="0095231C" w:rsidP="006C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400041"/>
      <w:docPartObj>
        <w:docPartGallery w:val="Page Numbers (Top of Page)"/>
        <w:docPartUnique/>
      </w:docPartObj>
    </w:sdtPr>
    <w:sdtEndPr>
      <w:rPr>
        <w:noProof/>
      </w:rPr>
    </w:sdtEndPr>
    <w:sdtContent>
      <w:p w:rsidR="00AE6E26" w:rsidRDefault="006C39B1">
        <w:pPr>
          <w:pStyle w:val="Header"/>
          <w:jc w:val="right"/>
          <w:rPr>
            <w:noProof/>
          </w:rPr>
        </w:pPr>
        <w:r>
          <w:fldChar w:fldCharType="begin"/>
        </w:r>
        <w:r>
          <w:instrText xml:space="preserve"> PAGE   \* MERGEFORMAT </w:instrText>
        </w:r>
        <w:r>
          <w:fldChar w:fldCharType="separate"/>
        </w:r>
        <w:r w:rsidR="00764847">
          <w:rPr>
            <w:noProof/>
          </w:rPr>
          <w:t>8</w:t>
        </w:r>
        <w:r>
          <w:rPr>
            <w:noProof/>
          </w:rPr>
          <w:fldChar w:fldCharType="end"/>
        </w:r>
      </w:p>
      <w:p w:rsidR="00AE6E26" w:rsidRDefault="00AE6E26">
        <w:pPr>
          <w:pStyle w:val="Header"/>
          <w:jc w:val="right"/>
          <w:rPr>
            <w:noProof/>
          </w:rPr>
        </w:pPr>
        <w:r>
          <w:rPr>
            <w:noProof/>
          </w:rPr>
          <w:t>HH</w:t>
        </w:r>
        <w:r w:rsidR="00374E18">
          <w:rPr>
            <w:noProof/>
          </w:rPr>
          <w:t xml:space="preserve"> 261-21</w:t>
        </w:r>
      </w:p>
      <w:p w:rsidR="006C39B1" w:rsidRDefault="00AE6E26">
        <w:pPr>
          <w:pStyle w:val="Header"/>
          <w:jc w:val="right"/>
        </w:pPr>
        <w:r>
          <w:rPr>
            <w:noProof/>
          </w:rPr>
          <w:t>HC 4717/19</w:t>
        </w:r>
      </w:p>
    </w:sdtContent>
  </w:sdt>
  <w:p w:rsidR="006C39B1" w:rsidRDefault="006C39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E004E"/>
    <w:multiLevelType w:val="hybridMultilevel"/>
    <w:tmpl w:val="15BC1A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4267C43"/>
    <w:multiLevelType w:val="hybridMultilevel"/>
    <w:tmpl w:val="16A89D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17B423A"/>
    <w:multiLevelType w:val="hybridMultilevel"/>
    <w:tmpl w:val="B8AEA1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A8"/>
    <w:rsid w:val="00066993"/>
    <w:rsid w:val="00091996"/>
    <w:rsid w:val="000E0F9C"/>
    <w:rsid w:val="001225F6"/>
    <w:rsid w:val="001C5C4D"/>
    <w:rsid w:val="001D6EB1"/>
    <w:rsid w:val="00210EB2"/>
    <w:rsid w:val="00277A82"/>
    <w:rsid w:val="002A195C"/>
    <w:rsid w:val="002E5C94"/>
    <w:rsid w:val="00300907"/>
    <w:rsid w:val="00302F63"/>
    <w:rsid w:val="0030575E"/>
    <w:rsid w:val="00327703"/>
    <w:rsid w:val="00374E18"/>
    <w:rsid w:val="00384A0B"/>
    <w:rsid w:val="003C24AF"/>
    <w:rsid w:val="003C6265"/>
    <w:rsid w:val="00420000"/>
    <w:rsid w:val="004514CA"/>
    <w:rsid w:val="004C3961"/>
    <w:rsid w:val="004D6D7E"/>
    <w:rsid w:val="004E483B"/>
    <w:rsid w:val="0055276E"/>
    <w:rsid w:val="00574124"/>
    <w:rsid w:val="005C33F5"/>
    <w:rsid w:val="006A599B"/>
    <w:rsid w:val="006C39B1"/>
    <w:rsid w:val="00764847"/>
    <w:rsid w:val="0078415A"/>
    <w:rsid w:val="00902FFE"/>
    <w:rsid w:val="00906925"/>
    <w:rsid w:val="00942F9B"/>
    <w:rsid w:val="0095231C"/>
    <w:rsid w:val="00977582"/>
    <w:rsid w:val="00A013F8"/>
    <w:rsid w:val="00A317AA"/>
    <w:rsid w:val="00A9233B"/>
    <w:rsid w:val="00AA6898"/>
    <w:rsid w:val="00AB0D02"/>
    <w:rsid w:val="00AB34A8"/>
    <w:rsid w:val="00AB5868"/>
    <w:rsid w:val="00AB6373"/>
    <w:rsid w:val="00AC069A"/>
    <w:rsid w:val="00AE3EEF"/>
    <w:rsid w:val="00AE6E26"/>
    <w:rsid w:val="00B04E4A"/>
    <w:rsid w:val="00B3588A"/>
    <w:rsid w:val="00B5073D"/>
    <w:rsid w:val="00B95CAB"/>
    <w:rsid w:val="00BF3846"/>
    <w:rsid w:val="00C119AF"/>
    <w:rsid w:val="00C54BE0"/>
    <w:rsid w:val="00C94895"/>
    <w:rsid w:val="00CE5D69"/>
    <w:rsid w:val="00D00B40"/>
    <w:rsid w:val="00D276F8"/>
    <w:rsid w:val="00D74D99"/>
    <w:rsid w:val="00DE41E5"/>
    <w:rsid w:val="00EA278F"/>
    <w:rsid w:val="00F21409"/>
    <w:rsid w:val="00F86122"/>
    <w:rsid w:val="00FC5E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C1928-9761-4625-B766-0E5009B6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A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D7E"/>
    <w:pPr>
      <w:ind w:left="720"/>
      <w:contextualSpacing/>
    </w:pPr>
  </w:style>
  <w:style w:type="paragraph" w:styleId="Header">
    <w:name w:val="header"/>
    <w:basedOn w:val="Normal"/>
    <w:link w:val="HeaderChar"/>
    <w:uiPriority w:val="99"/>
    <w:unhideWhenUsed/>
    <w:rsid w:val="006C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9B1"/>
  </w:style>
  <w:style w:type="paragraph" w:styleId="Footer">
    <w:name w:val="footer"/>
    <w:basedOn w:val="Normal"/>
    <w:link w:val="FooterChar"/>
    <w:uiPriority w:val="99"/>
    <w:unhideWhenUsed/>
    <w:rsid w:val="006C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2021-05-20T06:47:00Z</cp:lastPrinted>
  <dcterms:created xsi:type="dcterms:W3CDTF">2021-05-28T09:15:00Z</dcterms:created>
  <dcterms:modified xsi:type="dcterms:W3CDTF">2021-05-28T09:15:00Z</dcterms:modified>
</cp:coreProperties>
</file>