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9F" w:rsidRDefault="001F2DA5">
      <w:pPr>
        <w:pStyle w:val="Heading1"/>
        <w:tabs>
          <w:tab w:val="left" w:pos="5329"/>
          <w:tab w:val="left" w:pos="5759"/>
        </w:tabs>
        <w:spacing w:before="60" w:line="412" w:lineRule="auto"/>
        <w:ind w:right="1634"/>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LC/H/260/25 </w:t>
      </w:r>
      <w:r>
        <w:t>HARARE, 10 JUNE 2025</w:t>
      </w:r>
      <w:r>
        <w:tab/>
      </w:r>
      <w:r>
        <w:tab/>
        <w:t>CASE NO. LC/H/290/25</w:t>
      </w:r>
    </w:p>
    <w:p w:rsidR="00913F9F" w:rsidRDefault="00913F9F">
      <w:pPr>
        <w:pStyle w:val="BodyText"/>
        <w:rPr>
          <w:b/>
        </w:rPr>
      </w:pPr>
    </w:p>
    <w:p w:rsidR="00913F9F" w:rsidRDefault="00913F9F">
      <w:pPr>
        <w:pStyle w:val="BodyText"/>
        <w:rPr>
          <w:b/>
        </w:rPr>
      </w:pPr>
    </w:p>
    <w:p w:rsidR="00913F9F" w:rsidRDefault="00913F9F">
      <w:pPr>
        <w:pStyle w:val="BodyText"/>
        <w:rPr>
          <w:b/>
        </w:rPr>
      </w:pPr>
    </w:p>
    <w:p w:rsidR="00913F9F" w:rsidRDefault="00913F9F">
      <w:pPr>
        <w:pStyle w:val="BodyText"/>
        <w:rPr>
          <w:b/>
        </w:rPr>
      </w:pPr>
    </w:p>
    <w:p w:rsidR="00913F9F" w:rsidRDefault="00913F9F">
      <w:pPr>
        <w:pStyle w:val="BodyText"/>
        <w:spacing w:before="2"/>
        <w:rPr>
          <w:b/>
        </w:rPr>
      </w:pPr>
    </w:p>
    <w:p w:rsidR="00913F9F" w:rsidRDefault="001F2DA5">
      <w:pPr>
        <w:tabs>
          <w:tab w:val="left" w:pos="6479"/>
        </w:tabs>
        <w:rPr>
          <w:b/>
          <w:sz w:val="24"/>
        </w:rPr>
      </w:pPr>
      <w:r>
        <w:rPr>
          <w:b/>
          <w:spacing w:val="-8"/>
          <w:sz w:val="24"/>
        </w:rPr>
        <w:t>SOS</w:t>
      </w:r>
      <w:r>
        <w:rPr>
          <w:b/>
          <w:spacing w:val="-3"/>
          <w:sz w:val="24"/>
        </w:rPr>
        <w:t xml:space="preserve"> </w:t>
      </w:r>
      <w:r>
        <w:rPr>
          <w:b/>
          <w:spacing w:val="-8"/>
          <w:sz w:val="24"/>
        </w:rPr>
        <w:t>CHILDREN’S</w:t>
      </w:r>
      <w:r>
        <w:rPr>
          <w:b/>
          <w:spacing w:val="-4"/>
          <w:sz w:val="24"/>
        </w:rPr>
        <w:t xml:space="preserve"> </w:t>
      </w:r>
      <w:r>
        <w:rPr>
          <w:b/>
          <w:spacing w:val="-8"/>
          <w:sz w:val="24"/>
        </w:rPr>
        <w:t>VILLAGES</w:t>
      </w:r>
      <w:r>
        <w:rPr>
          <w:b/>
          <w:sz w:val="24"/>
        </w:rPr>
        <w:tab/>
      </w:r>
      <w:r>
        <w:rPr>
          <w:b/>
          <w:spacing w:val="-2"/>
          <w:sz w:val="24"/>
        </w:rPr>
        <w:t>APPELLANT</w:t>
      </w:r>
    </w:p>
    <w:p w:rsidR="00913F9F" w:rsidRDefault="00913F9F">
      <w:pPr>
        <w:pStyle w:val="BodyText"/>
        <w:rPr>
          <w:b/>
        </w:rPr>
      </w:pPr>
    </w:p>
    <w:p w:rsidR="00913F9F" w:rsidRDefault="00913F9F">
      <w:pPr>
        <w:pStyle w:val="BodyText"/>
        <w:rPr>
          <w:b/>
        </w:rPr>
      </w:pPr>
    </w:p>
    <w:p w:rsidR="00913F9F" w:rsidRDefault="001F2DA5">
      <w:pPr>
        <w:pStyle w:val="BodyText"/>
      </w:pPr>
      <w:r>
        <w:rPr>
          <w:spacing w:val="-5"/>
        </w:rPr>
        <w:t>And</w:t>
      </w:r>
    </w:p>
    <w:p w:rsidR="00913F9F" w:rsidRDefault="00913F9F">
      <w:pPr>
        <w:pStyle w:val="BodyText"/>
      </w:pPr>
    </w:p>
    <w:p w:rsidR="00913F9F" w:rsidRDefault="00913F9F">
      <w:pPr>
        <w:pStyle w:val="BodyText"/>
      </w:pPr>
    </w:p>
    <w:p w:rsidR="00913F9F" w:rsidRDefault="001F2DA5">
      <w:pPr>
        <w:pStyle w:val="Heading1"/>
        <w:tabs>
          <w:tab w:val="left" w:pos="6479"/>
        </w:tabs>
      </w:pPr>
      <w:r>
        <w:rPr>
          <w:spacing w:val="-7"/>
        </w:rPr>
        <w:t>BATSIRAI</w:t>
      </w:r>
      <w:r>
        <w:rPr>
          <w:spacing w:val="-3"/>
        </w:rPr>
        <w:t xml:space="preserve"> </w:t>
      </w:r>
      <w:r>
        <w:rPr>
          <w:spacing w:val="-2"/>
        </w:rPr>
        <w:t>CHIPUNGA</w:t>
      </w:r>
      <w:r>
        <w:tab/>
      </w:r>
      <w:r>
        <w:rPr>
          <w:spacing w:val="-2"/>
        </w:rPr>
        <w:t>RESPONDENT</w:t>
      </w:r>
    </w:p>
    <w:p w:rsidR="00913F9F" w:rsidRDefault="00913F9F">
      <w:pPr>
        <w:pStyle w:val="BodyText"/>
        <w:rPr>
          <w:b/>
        </w:rPr>
      </w:pPr>
    </w:p>
    <w:p w:rsidR="00913F9F" w:rsidRDefault="00913F9F">
      <w:pPr>
        <w:pStyle w:val="BodyText"/>
        <w:rPr>
          <w:b/>
        </w:rPr>
      </w:pPr>
    </w:p>
    <w:p w:rsidR="00913F9F" w:rsidRDefault="00913F9F">
      <w:pPr>
        <w:pStyle w:val="BodyText"/>
        <w:spacing w:before="200"/>
        <w:rPr>
          <w:b/>
        </w:rPr>
      </w:pPr>
    </w:p>
    <w:p w:rsidR="00913F9F" w:rsidRDefault="001F2DA5">
      <w:pPr>
        <w:rPr>
          <w:b/>
          <w:sz w:val="24"/>
        </w:rPr>
      </w:pPr>
      <w:r>
        <w:rPr>
          <w:b/>
          <w:w w:val="90"/>
          <w:sz w:val="24"/>
        </w:rPr>
        <w:t>Before</w:t>
      </w:r>
      <w:r>
        <w:rPr>
          <w:b/>
          <w:spacing w:val="18"/>
          <w:sz w:val="24"/>
        </w:rPr>
        <w:t xml:space="preserve"> </w:t>
      </w:r>
      <w:r>
        <w:rPr>
          <w:b/>
          <w:w w:val="90"/>
          <w:sz w:val="24"/>
        </w:rPr>
        <w:t>the</w:t>
      </w:r>
      <w:r>
        <w:rPr>
          <w:b/>
          <w:spacing w:val="19"/>
          <w:sz w:val="24"/>
        </w:rPr>
        <w:t xml:space="preserve"> </w:t>
      </w:r>
      <w:r>
        <w:rPr>
          <w:b/>
          <w:w w:val="90"/>
          <w:sz w:val="24"/>
        </w:rPr>
        <w:t>Honourable</w:t>
      </w:r>
      <w:r>
        <w:rPr>
          <w:b/>
          <w:spacing w:val="19"/>
          <w:sz w:val="24"/>
        </w:rPr>
        <w:t xml:space="preserve"> </w:t>
      </w:r>
      <w:r>
        <w:rPr>
          <w:b/>
          <w:w w:val="90"/>
          <w:sz w:val="24"/>
        </w:rPr>
        <w:t>Kudya</w:t>
      </w:r>
      <w:r>
        <w:rPr>
          <w:b/>
          <w:spacing w:val="19"/>
          <w:sz w:val="24"/>
        </w:rPr>
        <w:t xml:space="preserve"> </w:t>
      </w:r>
      <w:r>
        <w:rPr>
          <w:b/>
          <w:spacing w:val="-5"/>
          <w:w w:val="90"/>
          <w:sz w:val="24"/>
        </w:rPr>
        <w:t>J;</w:t>
      </w:r>
    </w:p>
    <w:p w:rsidR="00913F9F" w:rsidRDefault="00913F9F">
      <w:pPr>
        <w:pStyle w:val="BodyText"/>
        <w:rPr>
          <w:b/>
        </w:rPr>
      </w:pPr>
    </w:p>
    <w:p w:rsidR="00913F9F" w:rsidRDefault="00913F9F">
      <w:pPr>
        <w:pStyle w:val="BodyText"/>
        <w:spacing w:before="207"/>
        <w:rPr>
          <w:b/>
        </w:rPr>
      </w:pPr>
    </w:p>
    <w:p w:rsidR="00913F9F" w:rsidRDefault="001F2DA5">
      <w:pPr>
        <w:pStyle w:val="BodyText"/>
        <w:tabs>
          <w:tab w:val="left" w:pos="2880"/>
          <w:tab w:val="left" w:pos="4732"/>
          <w:tab w:val="left" w:pos="4793"/>
        </w:tabs>
        <w:spacing w:line="448" w:lineRule="auto"/>
        <w:ind w:right="3398"/>
      </w:pPr>
      <w:r>
        <w:t>For the Appellant</w:t>
      </w:r>
      <w:r>
        <w:tab/>
        <w:t>- T. Mabuya</w:t>
      </w:r>
      <w:r>
        <w:tab/>
      </w:r>
      <w:r>
        <w:tab/>
        <w:t>(Legal</w:t>
      </w:r>
      <w:r>
        <w:rPr>
          <w:spacing w:val="-17"/>
        </w:rPr>
        <w:t xml:space="preserve"> </w:t>
      </w:r>
      <w:r>
        <w:t>Practitioner) For the Respondent</w:t>
      </w:r>
      <w:r>
        <w:tab/>
        <w:t>- W. Kupara</w:t>
      </w:r>
      <w:r>
        <w:tab/>
      </w:r>
      <w:r>
        <w:rPr>
          <w:spacing w:val="-2"/>
        </w:rPr>
        <w:t>(Unionist)</w:t>
      </w:r>
    </w:p>
    <w:p w:rsidR="00913F9F" w:rsidRDefault="00913F9F">
      <w:pPr>
        <w:pStyle w:val="BodyText"/>
        <w:spacing w:before="244"/>
      </w:pPr>
    </w:p>
    <w:p w:rsidR="00913F9F" w:rsidRDefault="001F2DA5">
      <w:pPr>
        <w:pStyle w:val="Heading1"/>
      </w:pPr>
      <w:r>
        <w:rPr>
          <w:spacing w:val="-2"/>
        </w:rPr>
        <w:t>KUDYA</w:t>
      </w:r>
      <w:r>
        <w:rPr>
          <w:spacing w:val="-10"/>
        </w:rPr>
        <w:t xml:space="preserve"> </w:t>
      </w:r>
      <w:r>
        <w:rPr>
          <w:spacing w:val="-5"/>
        </w:rPr>
        <w:t>J:</w:t>
      </w:r>
    </w:p>
    <w:p w:rsidR="00913F9F" w:rsidRDefault="00913F9F">
      <w:pPr>
        <w:pStyle w:val="BodyText"/>
        <w:rPr>
          <w:b/>
        </w:rPr>
      </w:pPr>
    </w:p>
    <w:p w:rsidR="00913F9F" w:rsidRDefault="00913F9F">
      <w:pPr>
        <w:pStyle w:val="BodyText"/>
        <w:spacing w:before="147"/>
        <w:rPr>
          <w:b/>
        </w:rPr>
      </w:pPr>
    </w:p>
    <w:p w:rsidR="00913F9F" w:rsidRDefault="001F2DA5">
      <w:pPr>
        <w:pStyle w:val="BodyText"/>
        <w:spacing w:line="360" w:lineRule="auto"/>
        <w:ind w:right="717" w:firstLine="720"/>
        <w:jc w:val="both"/>
      </w:pPr>
      <w:r>
        <w:t>On 10 June 2025 this court ordered a de novo hearing into a labour matter between appellant employer and the respondent employee. The basis for such an order was that, it was apparent from the papers filed in IECMS in the case that, the report which result</w:t>
      </w:r>
      <w:r>
        <w:t>ed in the reinstatement of the respondent was irregularly allowed at the appeal stage. It was never interrogated at the shop floor proceedings. A reading of the shop floor proceedings could not show clearly how the accused’s guilt was arrived at.</w:t>
      </w:r>
    </w:p>
    <w:p w:rsidR="00913F9F" w:rsidRDefault="00913F9F">
      <w:pPr>
        <w:pStyle w:val="BodyText"/>
        <w:spacing w:before="138"/>
      </w:pPr>
    </w:p>
    <w:p w:rsidR="00913F9F" w:rsidRDefault="001F2DA5">
      <w:pPr>
        <w:pStyle w:val="BodyText"/>
        <w:spacing w:line="360" w:lineRule="auto"/>
        <w:ind w:right="717"/>
        <w:jc w:val="both"/>
      </w:pPr>
      <w:r>
        <w:t>In the r</w:t>
      </w:r>
      <w:r>
        <w:t xml:space="preserve">esult, the court deemed it proper to allow the appeal and set aside both the appeal proceedings and shop floor proceedings with a view to having the matter re-determined properly </w:t>
      </w:r>
      <w:r>
        <w:rPr>
          <w:spacing w:val="-2"/>
        </w:rPr>
        <w:t>afresh.</w:t>
      </w:r>
    </w:p>
    <w:p w:rsidR="00913F9F" w:rsidRDefault="00913F9F">
      <w:pPr>
        <w:pStyle w:val="BodyText"/>
        <w:spacing w:line="360" w:lineRule="auto"/>
        <w:jc w:val="both"/>
        <w:sectPr w:rsidR="00913F9F">
          <w:footerReference w:type="default" r:id="rId6"/>
          <w:type w:val="continuous"/>
          <w:pgSz w:w="12240" w:h="15840"/>
          <w:pgMar w:top="1380" w:right="720" w:bottom="940" w:left="1440" w:header="0" w:footer="744" w:gutter="0"/>
          <w:pgNumType w:start="1"/>
          <w:cols w:space="720"/>
        </w:sectPr>
      </w:pPr>
    </w:p>
    <w:p w:rsidR="00913F9F" w:rsidRDefault="001F2DA5">
      <w:pPr>
        <w:pStyle w:val="BodyText"/>
        <w:spacing w:before="80"/>
        <w:jc w:val="both"/>
      </w:pPr>
      <w:r>
        <w:lastRenderedPageBreak/>
        <w:t>Reasons</w:t>
      </w:r>
      <w:r>
        <w:rPr>
          <w:spacing w:val="-3"/>
        </w:rPr>
        <w:t xml:space="preserve"> </w:t>
      </w:r>
      <w:r>
        <w:t>for</w:t>
      </w:r>
      <w:r>
        <w:rPr>
          <w:spacing w:val="-1"/>
        </w:rPr>
        <w:t xml:space="preserve"> </w:t>
      </w:r>
      <w:r>
        <w:t>this</w:t>
      </w:r>
      <w:r>
        <w:rPr>
          <w:spacing w:val="-2"/>
        </w:rPr>
        <w:t xml:space="preserve"> </w:t>
      </w:r>
      <w:r>
        <w:t>decision</w:t>
      </w:r>
      <w:r>
        <w:rPr>
          <w:spacing w:val="-2"/>
        </w:rPr>
        <w:t xml:space="preserve"> </w:t>
      </w:r>
      <w:r>
        <w:t>have</w:t>
      </w:r>
      <w:r>
        <w:rPr>
          <w:spacing w:val="-1"/>
        </w:rPr>
        <w:t xml:space="preserve"> </w:t>
      </w:r>
      <w:r>
        <w:t>been</w:t>
      </w:r>
      <w:r>
        <w:rPr>
          <w:spacing w:val="-1"/>
        </w:rPr>
        <w:t xml:space="preserve"> </w:t>
      </w:r>
      <w:r>
        <w:t>requested</w:t>
      </w:r>
      <w:r>
        <w:rPr>
          <w:spacing w:val="-2"/>
        </w:rPr>
        <w:t xml:space="preserve"> </w:t>
      </w:r>
      <w:r>
        <w:t>and</w:t>
      </w:r>
      <w:r>
        <w:rPr>
          <w:spacing w:val="-1"/>
        </w:rPr>
        <w:t xml:space="preserve"> </w:t>
      </w:r>
      <w:r>
        <w:t>these</w:t>
      </w:r>
      <w:r>
        <w:rPr>
          <w:spacing w:val="-1"/>
        </w:rPr>
        <w:t xml:space="preserve"> </w:t>
      </w:r>
      <w:r>
        <w:t>are</w:t>
      </w:r>
      <w:r>
        <w:rPr>
          <w:spacing w:val="-2"/>
        </w:rPr>
        <w:t xml:space="preserve"> they:-</w:t>
      </w:r>
    </w:p>
    <w:p w:rsidR="00913F9F" w:rsidRDefault="001F2DA5">
      <w:pPr>
        <w:pStyle w:val="BodyText"/>
        <w:spacing w:before="137" w:line="360" w:lineRule="auto"/>
        <w:ind w:right="717"/>
        <w:jc w:val="both"/>
      </w:pPr>
      <w:r>
        <w:t>The background to the matters is that, the respondent employee was accused of committing an</w:t>
      </w:r>
      <w:r>
        <w:rPr>
          <w:spacing w:val="40"/>
        </w:rPr>
        <w:t xml:space="preserve"> </w:t>
      </w:r>
      <w:r>
        <w:t>act of bribery and abuse of office. This arose from the fact that a trespasser at the school was let loose on his account. Disciplinary proceedings which were conducted in his case concluded that he was guilty. He was penalised with dismissal.</w:t>
      </w:r>
    </w:p>
    <w:p w:rsidR="00913F9F" w:rsidRDefault="001F2DA5">
      <w:pPr>
        <w:pStyle w:val="BodyText"/>
        <w:spacing w:before="200" w:line="360" w:lineRule="auto"/>
        <w:ind w:right="717"/>
        <w:jc w:val="both"/>
      </w:pPr>
      <w:r>
        <w:t xml:space="preserve">He appealed against the substance and procedure leading to his being found guilty. The appeals committee was favoured with a report called the Peace Security Report which excused respondent’s conduct. On account of that report, the appeals committee upset </w:t>
      </w:r>
      <w:r>
        <w:t>the guilty verdict and dismissal penalty meted out on the employee. The employer in turn appealed to the Labour Court and prayed that, the appeals committee’s decision be upset and that the court confirms the employee’s guilty verdict and dismissal penalty</w:t>
      </w:r>
      <w:r>
        <w:t>.</w:t>
      </w:r>
    </w:p>
    <w:p w:rsidR="00913F9F" w:rsidRDefault="001F2DA5">
      <w:pPr>
        <w:pStyle w:val="BodyText"/>
        <w:spacing w:before="200"/>
        <w:ind w:left="720"/>
        <w:jc w:val="both"/>
      </w:pPr>
      <w:r>
        <w:t>After</w:t>
      </w:r>
      <w:r>
        <w:rPr>
          <w:spacing w:val="-1"/>
        </w:rPr>
        <w:t xml:space="preserve"> </w:t>
      </w:r>
      <w:r>
        <w:t>hearing</w:t>
      </w:r>
      <w:r>
        <w:rPr>
          <w:spacing w:val="-1"/>
        </w:rPr>
        <w:t xml:space="preserve"> </w:t>
      </w:r>
      <w:r>
        <w:t>the</w:t>
      </w:r>
      <w:r>
        <w:rPr>
          <w:spacing w:val="-1"/>
        </w:rPr>
        <w:t xml:space="preserve"> </w:t>
      </w:r>
      <w:r>
        <w:t>parties</w:t>
      </w:r>
      <w:r>
        <w:rPr>
          <w:spacing w:val="-1"/>
        </w:rPr>
        <w:t xml:space="preserve"> </w:t>
      </w:r>
      <w:r>
        <w:t>this</w:t>
      </w:r>
      <w:r>
        <w:rPr>
          <w:spacing w:val="-1"/>
        </w:rPr>
        <w:t xml:space="preserve"> </w:t>
      </w:r>
      <w:r>
        <w:t>court</w:t>
      </w:r>
      <w:r>
        <w:rPr>
          <w:spacing w:val="-1"/>
        </w:rPr>
        <w:t xml:space="preserve"> </w:t>
      </w:r>
      <w:r>
        <w:t>dismissed</w:t>
      </w:r>
      <w:r>
        <w:rPr>
          <w:spacing w:val="-1"/>
        </w:rPr>
        <w:t xml:space="preserve"> </w:t>
      </w:r>
      <w:r>
        <w:t>the</w:t>
      </w:r>
      <w:r>
        <w:rPr>
          <w:spacing w:val="-1"/>
        </w:rPr>
        <w:t xml:space="preserve"> </w:t>
      </w:r>
      <w:r>
        <w:t>appeal</w:t>
      </w:r>
      <w:r>
        <w:rPr>
          <w:spacing w:val="-1"/>
        </w:rPr>
        <w:t xml:space="preserve"> </w:t>
      </w:r>
      <w:r>
        <w:t>and</w:t>
      </w:r>
      <w:r>
        <w:rPr>
          <w:spacing w:val="-1"/>
        </w:rPr>
        <w:t xml:space="preserve"> </w:t>
      </w:r>
      <w:r>
        <w:t>the basis</w:t>
      </w:r>
      <w:r>
        <w:rPr>
          <w:spacing w:val="-2"/>
        </w:rPr>
        <w:t xml:space="preserve"> </w:t>
      </w:r>
      <w:r>
        <w:t>is</w:t>
      </w:r>
      <w:r>
        <w:rPr>
          <w:spacing w:val="-2"/>
        </w:rPr>
        <w:t xml:space="preserve"> </w:t>
      </w:r>
      <w:r>
        <w:t>set</w:t>
      </w:r>
      <w:r>
        <w:rPr>
          <w:spacing w:val="-1"/>
        </w:rPr>
        <w:t xml:space="preserve"> </w:t>
      </w:r>
      <w:r>
        <w:t xml:space="preserve">out </w:t>
      </w:r>
      <w:r>
        <w:rPr>
          <w:spacing w:val="-2"/>
        </w:rPr>
        <w:t>below:</w:t>
      </w:r>
    </w:p>
    <w:p w:rsidR="00913F9F" w:rsidRDefault="001F2DA5">
      <w:pPr>
        <w:pStyle w:val="BodyText"/>
        <w:spacing w:before="138" w:line="360" w:lineRule="auto"/>
        <w:ind w:right="717"/>
        <w:jc w:val="both"/>
      </w:pPr>
      <w:r>
        <w:t>It is settled that the appeal court should not lightly interfere with the exercise of discretion by a trier</w:t>
      </w:r>
      <w:r>
        <w:rPr>
          <w:spacing w:val="-15"/>
        </w:rPr>
        <w:t xml:space="preserve"> </w:t>
      </w:r>
      <w:r>
        <w:t>of</w:t>
      </w:r>
      <w:r>
        <w:rPr>
          <w:spacing w:val="-15"/>
        </w:rPr>
        <w:t xml:space="preserve"> </w:t>
      </w:r>
      <w:r>
        <w:t>fact.</w:t>
      </w:r>
      <w:r>
        <w:rPr>
          <w:spacing w:val="-15"/>
        </w:rPr>
        <w:t xml:space="preserve"> </w:t>
      </w:r>
      <w:r>
        <w:t>See</w:t>
      </w:r>
      <w:r>
        <w:rPr>
          <w:spacing w:val="-15"/>
        </w:rPr>
        <w:t xml:space="preserve"> </w:t>
      </w:r>
      <w:r>
        <w:rPr>
          <w:b/>
        </w:rPr>
        <w:t>Nyahondo</w:t>
      </w:r>
      <w:r>
        <w:rPr>
          <w:b/>
          <w:spacing w:val="-15"/>
        </w:rPr>
        <w:t xml:space="preserve"> </w:t>
      </w:r>
      <w:r>
        <w:rPr>
          <w:b/>
        </w:rPr>
        <w:t>v</w:t>
      </w:r>
      <w:r>
        <w:rPr>
          <w:b/>
          <w:spacing w:val="-15"/>
        </w:rPr>
        <w:t xml:space="preserve"> </w:t>
      </w:r>
      <w:r>
        <w:rPr>
          <w:b/>
        </w:rPr>
        <w:t>Hokonya</w:t>
      </w:r>
      <w:r>
        <w:rPr>
          <w:b/>
          <w:spacing w:val="-15"/>
        </w:rPr>
        <w:t xml:space="preserve"> </w:t>
      </w:r>
      <w:r>
        <w:rPr>
          <w:b/>
        </w:rPr>
        <w:t>and</w:t>
      </w:r>
      <w:r>
        <w:rPr>
          <w:b/>
          <w:spacing w:val="-15"/>
        </w:rPr>
        <w:t xml:space="preserve"> </w:t>
      </w:r>
      <w:r>
        <w:rPr>
          <w:b/>
        </w:rPr>
        <w:t>others</w:t>
      </w:r>
      <w:r>
        <w:rPr>
          <w:b/>
          <w:spacing w:val="-15"/>
        </w:rPr>
        <w:t xml:space="preserve"> </w:t>
      </w:r>
      <w:r>
        <w:rPr>
          <w:b/>
        </w:rPr>
        <w:t>1997(2)</w:t>
      </w:r>
      <w:r>
        <w:rPr>
          <w:b/>
          <w:spacing w:val="-15"/>
        </w:rPr>
        <w:t xml:space="preserve"> </w:t>
      </w:r>
      <w:r>
        <w:rPr>
          <w:b/>
        </w:rPr>
        <w:t>ZLR</w:t>
      </w:r>
      <w:r>
        <w:rPr>
          <w:b/>
          <w:spacing w:val="-15"/>
        </w:rPr>
        <w:t xml:space="preserve"> </w:t>
      </w:r>
      <w:r>
        <w:rPr>
          <w:b/>
        </w:rPr>
        <w:t>(S)</w:t>
      </w:r>
      <w:r>
        <w:t>.</w:t>
      </w:r>
      <w:r>
        <w:rPr>
          <w:spacing w:val="-15"/>
        </w:rPr>
        <w:t xml:space="preserve"> </w:t>
      </w:r>
      <w:r>
        <w:t>In</w:t>
      </w:r>
      <w:r>
        <w:rPr>
          <w:spacing w:val="-15"/>
        </w:rPr>
        <w:t xml:space="preserve"> </w:t>
      </w:r>
      <w:r>
        <w:t>the</w:t>
      </w:r>
      <w:r>
        <w:rPr>
          <w:spacing w:val="-15"/>
        </w:rPr>
        <w:t xml:space="preserve"> </w:t>
      </w:r>
      <w:r>
        <w:t>case</w:t>
      </w:r>
      <w:r>
        <w:rPr>
          <w:spacing w:val="-15"/>
        </w:rPr>
        <w:t xml:space="preserve"> </w:t>
      </w:r>
      <w:r>
        <w:t>at</w:t>
      </w:r>
      <w:r>
        <w:rPr>
          <w:spacing w:val="-15"/>
        </w:rPr>
        <w:t xml:space="preserve"> </w:t>
      </w:r>
      <w:r>
        <w:t>hand,</w:t>
      </w:r>
      <w:r>
        <w:rPr>
          <w:spacing w:val="-15"/>
        </w:rPr>
        <w:t xml:space="preserve"> </w:t>
      </w:r>
      <w:r>
        <w:t>the</w:t>
      </w:r>
      <w:r>
        <w:rPr>
          <w:spacing w:val="-15"/>
        </w:rPr>
        <w:t xml:space="preserve"> </w:t>
      </w:r>
      <w:r>
        <w:t xml:space="preserve">court read through the proceedings before the disciplinary committee and those before the appeals committee. A reading of the disciplinary committee proceedings could not demonstrate with sufficient clarity how the employee’s </w:t>
      </w:r>
      <w:r>
        <w:t>guilt was arrived at. All that was on record were incomprehensible notes with the conclusion that the employee was found guilty. When the</w:t>
      </w:r>
      <w:r>
        <w:rPr>
          <w:spacing w:val="40"/>
        </w:rPr>
        <w:t xml:space="preserve"> </w:t>
      </w:r>
      <w:r>
        <w:t>matter was now before the appeals committee nothing better was done. This time some report called the Peace Security r</w:t>
      </w:r>
      <w:r>
        <w:t>eport was brought in and it formed the basis of the reinstatement</w:t>
      </w:r>
      <w:r>
        <w:rPr>
          <w:spacing w:val="80"/>
        </w:rPr>
        <w:t xml:space="preserve"> </w:t>
      </w:r>
      <w:r>
        <w:rPr>
          <w:spacing w:val="-2"/>
        </w:rPr>
        <w:t>order.</w:t>
      </w:r>
    </w:p>
    <w:p w:rsidR="00913F9F" w:rsidRDefault="00913F9F">
      <w:pPr>
        <w:pStyle w:val="BodyText"/>
        <w:spacing w:before="138"/>
      </w:pPr>
    </w:p>
    <w:p w:rsidR="00913F9F" w:rsidRDefault="001F2DA5">
      <w:pPr>
        <w:pStyle w:val="BodyText"/>
        <w:spacing w:line="360" w:lineRule="auto"/>
        <w:ind w:right="717" w:firstLine="60"/>
        <w:jc w:val="both"/>
      </w:pPr>
      <w:r>
        <w:t>It is settled that an appellant body cannot interfere with what was not dealt with, by the tribunal below</w:t>
      </w:r>
      <w:r>
        <w:rPr>
          <w:spacing w:val="-3"/>
        </w:rPr>
        <w:t xml:space="preserve"> </w:t>
      </w:r>
      <w:r>
        <w:t>it.</w:t>
      </w:r>
      <w:r>
        <w:rPr>
          <w:spacing w:val="-3"/>
        </w:rPr>
        <w:t xml:space="preserve"> </w:t>
      </w:r>
      <w:r>
        <w:t>See</w:t>
      </w:r>
      <w:r>
        <w:rPr>
          <w:spacing w:val="-3"/>
        </w:rPr>
        <w:t xml:space="preserve"> </w:t>
      </w:r>
      <w:r>
        <w:rPr>
          <w:b/>
        </w:rPr>
        <w:t>Chironda</w:t>
      </w:r>
      <w:r>
        <w:rPr>
          <w:b/>
          <w:spacing w:val="-3"/>
        </w:rPr>
        <w:t xml:space="preserve"> </w:t>
      </w:r>
      <w:r>
        <w:rPr>
          <w:b/>
        </w:rPr>
        <w:t>v</w:t>
      </w:r>
      <w:r>
        <w:rPr>
          <w:b/>
          <w:spacing w:val="-3"/>
        </w:rPr>
        <w:t xml:space="preserve"> </w:t>
      </w:r>
      <w:r>
        <w:rPr>
          <w:b/>
        </w:rPr>
        <w:t>Swift</w:t>
      </w:r>
      <w:r>
        <w:rPr>
          <w:b/>
          <w:spacing w:val="-3"/>
        </w:rPr>
        <w:t xml:space="preserve"> </w:t>
      </w:r>
      <w:r>
        <w:rPr>
          <w:b/>
        </w:rPr>
        <w:t>I996</w:t>
      </w:r>
      <w:r>
        <w:rPr>
          <w:b/>
          <w:spacing w:val="-3"/>
        </w:rPr>
        <w:t xml:space="preserve"> </w:t>
      </w:r>
      <w:r>
        <w:rPr>
          <w:b/>
        </w:rPr>
        <w:t>(1)</w:t>
      </w:r>
      <w:r>
        <w:rPr>
          <w:b/>
          <w:spacing w:val="-3"/>
        </w:rPr>
        <w:t xml:space="preserve"> </w:t>
      </w:r>
      <w:r>
        <w:rPr>
          <w:b/>
        </w:rPr>
        <w:t>ZLR</w:t>
      </w:r>
      <w:r>
        <w:rPr>
          <w:b/>
          <w:spacing w:val="-3"/>
        </w:rPr>
        <w:t xml:space="preserve"> </w:t>
      </w:r>
      <w:r>
        <w:rPr>
          <w:b/>
        </w:rPr>
        <w:t>142(S)</w:t>
      </w:r>
      <w:r>
        <w:t>.</w:t>
      </w:r>
      <w:r>
        <w:rPr>
          <w:spacing w:val="-3"/>
        </w:rPr>
        <w:t xml:space="preserve"> </w:t>
      </w:r>
      <w:r>
        <w:t>It</w:t>
      </w:r>
      <w:r>
        <w:rPr>
          <w:spacing w:val="-3"/>
        </w:rPr>
        <w:t xml:space="preserve"> </w:t>
      </w:r>
      <w:r>
        <w:t>was</w:t>
      </w:r>
      <w:r>
        <w:rPr>
          <w:spacing w:val="-3"/>
        </w:rPr>
        <w:t xml:space="preserve"> </w:t>
      </w:r>
      <w:r>
        <w:t>stated</w:t>
      </w:r>
      <w:r>
        <w:rPr>
          <w:spacing w:val="-3"/>
        </w:rPr>
        <w:t xml:space="preserve"> </w:t>
      </w:r>
      <w:r>
        <w:t>on</w:t>
      </w:r>
      <w:r>
        <w:rPr>
          <w:spacing w:val="-3"/>
        </w:rPr>
        <w:t xml:space="preserve"> </w:t>
      </w:r>
      <w:r>
        <w:t>the</w:t>
      </w:r>
      <w:r>
        <w:rPr>
          <w:spacing w:val="-3"/>
        </w:rPr>
        <w:t xml:space="preserve"> </w:t>
      </w:r>
      <w:r>
        <w:t>record</w:t>
      </w:r>
      <w:r>
        <w:rPr>
          <w:spacing w:val="-3"/>
        </w:rPr>
        <w:t xml:space="preserve"> </w:t>
      </w:r>
      <w:r>
        <w:t>th</w:t>
      </w:r>
      <w:r>
        <w:t>at,</w:t>
      </w:r>
      <w:r>
        <w:rPr>
          <w:spacing w:val="-3"/>
        </w:rPr>
        <w:t xml:space="preserve"> </w:t>
      </w:r>
      <w:r>
        <w:t>product</w:t>
      </w:r>
      <w:r>
        <w:rPr>
          <w:spacing w:val="-3"/>
        </w:rPr>
        <w:t xml:space="preserve"> </w:t>
      </w:r>
      <w:r>
        <w:t>of that report had been barred by the employer at the disciplinary hearing stage. It is not clear what the report was meant to support or clarify. If it was essential to the decision on the matter, it had to be interrogated and decided on by th</w:t>
      </w:r>
      <w:r>
        <w:t>e disciplinary committee. That did not happen.</w:t>
      </w:r>
    </w:p>
    <w:p w:rsidR="00913F9F" w:rsidRDefault="00913F9F">
      <w:pPr>
        <w:pStyle w:val="BodyText"/>
        <w:spacing w:before="138"/>
      </w:pPr>
    </w:p>
    <w:p w:rsidR="00913F9F" w:rsidRDefault="001F2DA5">
      <w:pPr>
        <w:pStyle w:val="BodyText"/>
        <w:spacing w:line="360" w:lineRule="auto"/>
        <w:ind w:right="718"/>
        <w:jc w:val="both"/>
      </w:pPr>
      <w:r>
        <w:t>All that was just left were terse notes from the disciplinary committee and the sudden U turn by the</w:t>
      </w:r>
      <w:r>
        <w:rPr>
          <w:spacing w:val="45"/>
        </w:rPr>
        <w:t xml:space="preserve"> </w:t>
      </w:r>
      <w:r>
        <w:t>appeals</w:t>
      </w:r>
      <w:r>
        <w:rPr>
          <w:spacing w:val="46"/>
        </w:rPr>
        <w:t xml:space="preserve"> </w:t>
      </w:r>
      <w:r>
        <w:t>committee</w:t>
      </w:r>
      <w:r>
        <w:rPr>
          <w:spacing w:val="46"/>
        </w:rPr>
        <w:t xml:space="preserve"> </w:t>
      </w:r>
      <w:r>
        <w:t>without</w:t>
      </w:r>
      <w:r>
        <w:rPr>
          <w:spacing w:val="46"/>
        </w:rPr>
        <w:t xml:space="preserve"> </w:t>
      </w:r>
      <w:r>
        <w:t>any</w:t>
      </w:r>
      <w:r>
        <w:rPr>
          <w:spacing w:val="46"/>
        </w:rPr>
        <w:t xml:space="preserve"> </w:t>
      </w:r>
      <w:r>
        <w:t>just</w:t>
      </w:r>
      <w:r>
        <w:rPr>
          <w:spacing w:val="46"/>
        </w:rPr>
        <w:t xml:space="preserve"> </w:t>
      </w:r>
      <w:r>
        <w:t>foundation.</w:t>
      </w:r>
      <w:r>
        <w:rPr>
          <w:spacing w:val="46"/>
        </w:rPr>
        <w:t xml:space="preserve"> </w:t>
      </w:r>
      <w:r>
        <w:t>It</w:t>
      </w:r>
      <w:r>
        <w:rPr>
          <w:spacing w:val="45"/>
        </w:rPr>
        <w:t xml:space="preserve"> </w:t>
      </w:r>
      <w:r>
        <w:t>is</w:t>
      </w:r>
      <w:r>
        <w:rPr>
          <w:spacing w:val="46"/>
        </w:rPr>
        <w:t xml:space="preserve"> </w:t>
      </w:r>
      <w:r>
        <w:t>imperative</w:t>
      </w:r>
      <w:r>
        <w:rPr>
          <w:spacing w:val="46"/>
        </w:rPr>
        <w:t xml:space="preserve"> </w:t>
      </w:r>
      <w:r>
        <w:t>that</w:t>
      </w:r>
      <w:r>
        <w:rPr>
          <w:spacing w:val="46"/>
        </w:rPr>
        <w:t xml:space="preserve"> </w:t>
      </w:r>
      <w:r>
        <w:t>one’s</w:t>
      </w:r>
      <w:r>
        <w:rPr>
          <w:spacing w:val="46"/>
        </w:rPr>
        <w:t xml:space="preserve"> </w:t>
      </w:r>
      <w:r>
        <w:t>guilt</w:t>
      </w:r>
      <w:r>
        <w:rPr>
          <w:spacing w:val="46"/>
        </w:rPr>
        <w:t xml:space="preserve"> </w:t>
      </w:r>
      <w:r>
        <w:t>be</w:t>
      </w:r>
      <w:r>
        <w:rPr>
          <w:spacing w:val="46"/>
        </w:rPr>
        <w:t xml:space="preserve"> </w:t>
      </w:r>
      <w:r>
        <w:rPr>
          <w:spacing w:val="-4"/>
        </w:rPr>
        <w:t>both</w:t>
      </w:r>
    </w:p>
    <w:p w:rsidR="00913F9F" w:rsidRDefault="00913F9F">
      <w:pPr>
        <w:pStyle w:val="BodyText"/>
        <w:spacing w:line="360" w:lineRule="auto"/>
        <w:jc w:val="both"/>
        <w:sectPr w:rsidR="00913F9F">
          <w:headerReference w:type="default" r:id="rId7"/>
          <w:footerReference w:type="default" r:id="rId8"/>
          <w:pgSz w:w="12240" w:h="15840"/>
          <w:pgMar w:top="1360" w:right="720" w:bottom="1200" w:left="1440" w:header="769" w:footer="1013" w:gutter="0"/>
          <w:pgNumType w:start="2"/>
          <w:cols w:space="720"/>
        </w:sectPr>
      </w:pPr>
    </w:p>
    <w:p w:rsidR="00913F9F" w:rsidRDefault="001F2DA5">
      <w:pPr>
        <w:pStyle w:val="BodyText"/>
        <w:spacing w:before="80" w:line="360" w:lineRule="auto"/>
        <w:ind w:right="717"/>
        <w:jc w:val="both"/>
      </w:pPr>
      <w:bookmarkStart w:id="0" w:name="_GoBack"/>
      <w:bookmarkEnd w:id="0"/>
      <w:r>
        <w:lastRenderedPageBreak/>
        <w:t>substantively and procedurally correct. That cannot be said of this case. Both panels were just coming up with orders that are not supported by what happened before them. For that reason the court concluded that both processes had to be vacated and the emp</w:t>
      </w:r>
      <w:r>
        <w:t>loyee’s guilt or otherwise be re-determined afresh in a procedurally and substantively correct manner.</w:t>
      </w:r>
    </w:p>
    <w:p w:rsidR="00913F9F" w:rsidRDefault="00913F9F">
      <w:pPr>
        <w:pStyle w:val="BodyText"/>
        <w:spacing w:before="137"/>
      </w:pPr>
    </w:p>
    <w:p w:rsidR="00913F9F" w:rsidRDefault="001F2DA5">
      <w:pPr>
        <w:pStyle w:val="BodyText"/>
        <w:jc w:val="both"/>
      </w:pPr>
      <w:r>
        <w:t>It</w:t>
      </w:r>
      <w:r>
        <w:rPr>
          <w:spacing w:val="-1"/>
        </w:rPr>
        <w:t xml:space="preserve"> </w:t>
      </w:r>
      <w:r>
        <w:t>is</w:t>
      </w:r>
      <w:r>
        <w:rPr>
          <w:spacing w:val="-2"/>
        </w:rPr>
        <w:t xml:space="preserve"> </w:t>
      </w:r>
      <w:r>
        <w:t>for the</w:t>
      </w:r>
      <w:r>
        <w:rPr>
          <w:spacing w:val="-1"/>
        </w:rPr>
        <w:t xml:space="preserve"> </w:t>
      </w:r>
      <w:r>
        <w:t>above</w:t>
      </w:r>
      <w:r>
        <w:rPr>
          <w:spacing w:val="-1"/>
        </w:rPr>
        <w:t xml:space="preserve"> </w:t>
      </w:r>
      <w:r>
        <w:t>reasons</w:t>
      </w:r>
      <w:r>
        <w:rPr>
          <w:spacing w:val="-1"/>
        </w:rPr>
        <w:t xml:space="preserve"> </w:t>
      </w:r>
      <w:r>
        <w:t>that</w:t>
      </w:r>
      <w:r>
        <w:rPr>
          <w:spacing w:val="-1"/>
        </w:rPr>
        <w:t xml:space="preserve"> </w:t>
      </w:r>
      <w:r>
        <w:t>the</w:t>
      </w:r>
      <w:r>
        <w:rPr>
          <w:spacing w:val="-1"/>
        </w:rPr>
        <w:t xml:space="preserve"> </w:t>
      </w:r>
      <w:r>
        <w:t>order of</w:t>
      </w:r>
      <w:r>
        <w:rPr>
          <w:spacing w:val="-1"/>
        </w:rPr>
        <w:t xml:space="preserve"> </w:t>
      </w:r>
      <w:r>
        <w:t>10</w:t>
      </w:r>
      <w:r>
        <w:rPr>
          <w:spacing w:val="-1"/>
        </w:rPr>
        <w:t xml:space="preserve"> </w:t>
      </w:r>
      <w:r>
        <w:t>June 2025</w:t>
      </w:r>
      <w:r>
        <w:rPr>
          <w:spacing w:val="-1"/>
        </w:rPr>
        <w:t xml:space="preserve"> </w:t>
      </w:r>
      <w:r>
        <w:t>came</w:t>
      </w:r>
      <w:r>
        <w:rPr>
          <w:spacing w:val="-1"/>
        </w:rPr>
        <w:t xml:space="preserve"> </w:t>
      </w:r>
      <w:r>
        <w:rPr>
          <w:spacing w:val="-2"/>
        </w:rPr>
        <w:t>about.</w:t>
      </w:r>
    </w:p>
    <w:p w:rsidR="00913F9F" w:rsidRDefault="00913F9F">
      <w:pPr>
        <w:pStyle w:val="BodyText"/>
      </w:pPr>
    </w:p>
    <w:p w:rsidR="00913F9F" w:rsidRDefault="00913F9F">
      <w:pPr>
        <w:pStyle w:val="BodyText"/>
      </w:pPr>
    </w:p>
    <w:p w:rsidR="00913F9F" w:rsidRDefault="00913F9F">
      <w:pPr>
        <w:pStyle w:val="BodyText"/>
        <w:spacing w:before="129"/>
      </w:pPr>
    </w:p>
    <w:p w:rsidR="00913F9F" w:rsidRDefault="001F2DA5">
      <w:pPr>
        <w:pStyle w:val="BodyText"/>
        <w:tabs>
          <w:tab w:val="left" w:pos="5113"/>
        </w:tabs>
        <w:jc w:val="both"/>
      </w:pPr>
      <w:r>
        <w:rPr>
          <w:i/>
          <w:spacing w:val="-2"/>
          <w:sz w:val="25"/>
        </w:rPr>
        <w:t>Matlaw</w:t>
      </w:r>
      <w:r>
        <w:rPr>
          <w:i/>
          <w:sz w:val="25"/>
        </w:rPr>
        <w:tab/>
      </w:r>
      <w:r>
        <w:t>Appellant’s</w:t>
      </w:r>
      <w:r>
        <w:rPr>
          <w:spacing w:val="-4"/>
        </w:rPr>
        <w:t xml:space="preserve"> </w:t>
      </w:r>
      <w:r>
        <w:t>Legal</w:t>
      </w:r>
      <w:r>
        <w:rPr>
          <w:spacing w:val="-1"/>
        </w:rPr>
        <w:t xml:space="preserve"> </w:t>
      </w:r>
      <w:r>
        <w:rPr>
          <w:spacing w:val="-2"/>
        </w:rPr>
        <w:t>Practitioners</w:t>
      </w:r>
    </w:p>
    <w:sectPr w:rsidR="00913F9F">
      <w:pgSz w:w="12240" w:h="15840"/>
      <w:pgMar w:top="1360" w:right="720" w:bottom="1200" w:left="1440" w:header="769"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DA5" w:rsidRDefault="001F2DA5">
      <w:r>
        <w:separator/>
      </w:r>
    </w:p>
  </w:endnote>
  <w:endnote w:type="continuationSeparator" w:id="0">
    <w:p w:rsidR="001F2DA5" w:rsidRDefault="001F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F9F" w:rsidRDefault="001F2DA5">
    <w:pPr>
      <w:pStyle w:val="BodyText"/>
      <w:spacing w:line="14" w:lineRule="auto"/>
      <w:rPr>
        <w:sz w:val="20"/>
      </w:rPr>
    </w:pPr>
    <w:r>
      <w:rPr>
        <w:noProof/>
        <w:sz w:val="20"/>
      </w:rPr>
      <mc:AlternateContent>
        <mc:Choice Requires="wps">
          <w:drawing>
            <wp:anchor distT="0" distB="0" distL="0" distR="0" simplePos="0" relativeHeight="487539712" behindDoc="1" locked="0" layoutInCell="1" allowOverlap="1">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913F9F" w:rsidRDefault="001F2DA5">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2pt;margin-top:743.8pt;width:7.6pt;height:13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" filled="f" stroked="f">
              <v:path arrowok="t"/>
              <v:textbox inset="0,0,0,0">
                <w:txbxContent>
                  <w:p w:rsidR="00913F9F" w:rsidRDefault="001F2DA5">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F9F" w:rsidRDefault="001F2DA5">
    <w:pPr>
      <w:pStyle w:val="BodyText"/>
      <w:spacing w:line="14" w:lineRule="auto"/>
      <w:rPr>
        <w:sz w:val="20"/>
      </w:rPr>
    </w:pPr>
    <w:r>
      <w:rPr>
        <w:noProof/>
        <w:sz w:val="20"/>
      </w:rPr>
      <mc:AlternateContent>
        <mc:Choice Requires="wps">
          <w:drawing>
            <wp:anchor distT="0" distB="0" distL="0" distR="0" simplePos="0" relativeHeight="487540736" behindDoc="1" locked="0" layoutInCell="1" allowOverlap="1">
              <wp:simplePos x="0" y="0"/>
              <wp:positionH relativeFrom="page">
                <wp:posOffset>3812692</wp:posOffset>
              </wp:positionH>
              <wp:positionV relativeFrom="page">
                <wp:posOffset>9275673</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913F9F" w:rsidRDefault="001F2DA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26655">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0.2pt;margin-top:730.35pt;width:12.6pt;height:13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" filled="f" stroked="f">
              <v:path arrowok="t"/>
              <v:textbox inset="0,0,0,0">
                <w:txbxContent>
                  <w:p w:rsidR="00913F9F" w:rsidRDefault="001F2DA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26655">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DA5" w:rsidRDefault="001F2DA5">
      <w:r>
        <w:separator/>
      </w:r>
    </w:p>
  </w:footnote>
  <w:footnote w:type="continuationSeparator" w:id="0">
    <w:p w:rsidR="001F2DA5" w:rsidRDefault="001F2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F9F" w:rsidRDefault="001F2DA5">
    <w:pPr>
      <w:pStyle w:val="BodyText"/>
      <w:spacing w:line="14" w:lineRule="auto"/>
      <w:rPr>
        <w:sz w:val="20"/>
      </w:rPr>
    </w:pPr>
    <w:r>
      <w:rPr>
        <w:noProof/>
        <w:sz w:val="20"/>
      </w:rPr>
      <mc:AlternateContent>
        <mc:Choice Requires="wps">
          <w:drawing>
            <wp:anchor distT="0" distB="0" distL="0" distR="0" simplePos="0" relativeHeight="487540224" behindDoc="1" locked="0" layoutInCell="1" allowOverlap="1">
              <wp:simplePos x="0" y="0"/>
              <wp:positionH relativeFrom="page">
                <wp:posOffset>6178321</wp:posOffset>
              </wp:positionH>
              <wp:positionV relativeFrom="page">
                <wp:posOffset>475297</wp:posOffset>
              </wp:positionV>
              <wp:extent cx="6927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785" cy="177800"/>
                      </a:xfrm>
                      <a:prstGeom prst="rect">
                        <a:avLst/>
                      </a:prstGeom>
                    </wps:spPr>
                    <wps:txbx>
                      <w:txbxContent>
                        <w:p w:rsidR="00913F9F" w:rsidRDefault="001F2DA5">
                          <w:pPr>
                            <w:pStyle w:val="BodyText"/>
                            <w:spacing w:line="264" w:lineRule="exact"/>
                            <w:ind w:left="20"/>
                            <w:rPr>
                              <w:rFonts w:ascii="Calibri"/>
                            </w:rPr>
                          </w:pPr>
                          <w:r>
                            <w:rPr>
                              <w:rFonts w:ascii="Calibri"/>
                              <w:spacing w:val="-2"/>
                            </w:rPr>
                            <w:t>LC/H/2025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86.5pt;margin-top:37.4pt;width:54.55pt;height:14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" filled="f" stroked="f">
              <v:path arrowok="t"/>
              <v:textbox inset="0,0,0,0">
                <w:txbxContent>
                  <w:p w:rsidR="00913F9F" w:rsidRDefault="001F2DA5">
                    <w:pPr>
                      <w:pStyle w:val="BodyText"/>
                      <w:spacing w:line="264" w:lineRule="exact"/>
                      <w:ind w:left="20"/>
                      <w:rPr>
                        <w:rFonts w:ascii="Calibri"/>
                      </w:rPr>
                    </w:pPr>
                    <w:r>
                      <w:rPr>
                        <w:rFonts w:ascii="Calibri"/>
                        <w:spacing w:val="-2"/>
                      </w:rPr>
                      <w:t>LC/H/2025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13F9F"/>
    <w:rsid w:val="001F2DA5"/>
    <w:rsid w:val="00913F9F"/>
    <w:rsid w:val="00A2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1C50D-B7A6-4743-B86B-2C403748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2025-08-01T09:22:00Z</dcterms:created>
  <dcterms:modified xsi:type="dcterms:W3CDTF">2025-08-01T09:45:00Z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2025-08-01T00:00:00Z</vt:filetime>
  </property>
  <property fmtid="{D5CDD505-2E9C-101B-9397-08002B2CF9AE}" pid="5" name="Producer">
    <vt:lpwstr>䅳灯獥⹗潲摳⁦潲⁊慶愠㈱⸶⸰㬠浯摩晩敤⁵獩湧⁩呥硴′⸱⸷⁢礠ㅔ㍘吀</vt:lpwstr>
  </property>
</Properties>
</file>