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04" w:rsidRDefault="00D81E44" w:rsidP="00C943F6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 THE LABOUR COURT OF ZIMBABWE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JUDGMENT NO LC/H/</w:t>
      </w:r>
      <w:r w:rsidR="006E304B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>/14</w:t>
      </w:r>
    </w:p>
    <w:p w:rsidR="00D81E44" w:rsidRDefault="00C943F6" w:rsidP="00C943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HELD AT HARARE 16</w:t>
      </w:r>
      <w:r w:rsidRPr="00C943F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JANUARY 2014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CASE NO LC/H/821/13</w:t>
      </w:r>
    </w:p>
    <w:p w:rsidR="00E90AA8" w:rsidRDefault="00E90AA8" w:rsidP="00C943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&amp; 31</w:t>
      </w:r>
      <w:r w:rsidRPr="00E90AA8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JANUARY 2014</w:t>
      </w:r>
    </w:p>
    <w:p w:rsidR="00C943F6" w:rsidRDefault="00C943F6" w:rsidP="00C943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 the matter between:-</w:t>
      </w:r>
    </w:p>
    <w:p w:rsidR="00C943F6" w:rsidRDefault="00C943F6" w:rsidP="00C943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SOS CHILDREN’S VILLAGE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Appellant</w:t>
      </w:r>
    </w:p>
    <w:p w:rsidR="00C943F6" w:rsidRDefault="00C943F6" w:rsidP="00C943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And</w:t>
      </w:r>
    </w:p>
    <w:p w:rsidR="00C943F6" w:rsidRDefault="00C943F6" w:rsidP="00C943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COLLINS MUTENGWA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Respondent </w:t>
      </w:r>
    </w:p>
    <w:p w:rsidR="00C943F6" w:rsidRDefault="00C943F6" w:rsidP="00C943F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Before The Honourable F.C. Maxwell, Judge</w:t>
      </w:r>
    </w:p>
    <w:p w:rsidR="00C943F6" w:rsidRDefault="00C943F6" w:rsidP="00C943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Appellant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Zuze (Legal Practitioner)</w:t>
      </w:r>
    </w:p>
    <w:p w:rsidR="00C943F6" w:rsidRDefault="00C943F6" w:rsidP="00C943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For Respondent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V.F. Chinhema (Legal Practitioner)</w:t>
      </w:r>
    </w:p>
    <w:p w:rsidR="00C943F6" w:rsidRDefault="00C943F6" w:rsidP="00C943F6">
      <w:pPr>
        <w:spacing w:line="360" w:lineRule="auto"/>
        <w:jc w:val="both"/>
        <w:rPr>
          <w:b/>
          <w:sz w:val="28"/>
          <w:szCs w:val="28"/>
        </w:rPr>
      </w:pPr>
    </w:p>
    <w:p w:rsidR="00C943F6" w:rsidRDefault="00C943F6" w:rsidP="00C943F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MAXWELL, J:</w:t>
      </w:r>
    </w:p>
    <w:p w:rsidR="00C943F6" w:rsidRDefault="00C943F6" w:rsidP="00C943F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Respondent was employed by Appellant and the contract</w:t>
      </w:r>
      <w:r w:rsidR="00D61ECC">
        <w:rPr>
          <w:sz w:val="28"/>
          <w:szCs w:val="28"/>
        </w:rPr>
        <w:t xml:space="preserve"> of employment was terminated. </w:t>
      </w:r>
      <w:r>
        <w:rPr>
          <w:sz w:val="28"/>
          <w:szCs w:val="28"/>
        </w:rPr>
        <w:t>Thereafter Respondent approached a Designated Agent</w:t>
      </w:r>
      <w:r w:rsidR="00467B40">
        <w:rPr>
          <w:sz w:val="28"/>
          <w:szCs w:val="28"/>
        </w:rPr>
        <w:t xml:space="preserve"> alleging underpayment of wages and terminal benefits.  Conciliation failed and the matter was referred to arbitration.  On 9</w:t>
      </w:r>
      <w:r w:rsidR="00467B40" w:rsidRPr="00467B40">
        <w:rPr>
          <w:sz w:val="28"/>
          <w:szCs w:val="28"/>
          <w:vertAlign w:val="superscript"/>
        </w:rPr>
        <w:t>th</w:t>
      </w:r>
      <w:r w:rsidR="00467B40">
        <w:rPr>
          <w:sz w:val="28"/>
          <w:szCs w:val="28"/>
        </w:rPr>
        <w:t xml:space="preserve"> January 2012 Honourable Arbitrator MunyaradziDangarembizi issued an award in the following terms</w:t>
      </w:r>
    </w:p>
    <w:p w:rsidR="00467B40" w:rsidRDefault="00467B40" w:rsidP="00467B40">
      <w:pPr>
        <w:spacing w:line="360" w:lineRule="auto"/>
        <w:ind w:left="14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“Wherefore, after carefully analysing  the facts and the law, I make the following award</w:t>
      </w:r>
    </w:p>
    <w:p w:rsidR="00467B40" w:rsidRDefault="00D61ECC" w:rsidP="00467B40">
      <w:pPr>
        <w:pStyle w:val="ListParagraph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That there was underpayment o</w:t>
      </w:r>
      <w:r w:rsidR="00467B40">
        <w:rPr>
          <w:i/>
          <w:sz w:val="28"/>
          <w:szCs w:val="28"/>
        </w:rPr>
        <w:t>f wages and terminal benefits</w:t>
      </w:r>
    </w:p>
    <w:p w:rsidR="00467B40" w:rsidRDefault="00467B40" w:rsidP="00467B40">
      <w:pPr>
        <w:pStyle w:val="ListParagraph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That the termina</w:t>
      </w:r>
      <w:r w:rsidR="00D61ECC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 xml:space="preserve"> benefits be computed using the US dollar salary scale.”</w:t>
      </w:r>
    </w:p>
    <w:p w:rsidR="00467B40" w:rsidRDefault="00467B40" w:rsidP="00467B40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Paragraph 2.3.1. (b) of Resp</w:t>
      </w:r>
      <w:r w:rsidR="00D61ECC">
        <w:rPr>
          <w:sz w:val="28"/>
          <w:szCs w:val="28"/>
        </w:rPr>
        <w:t>ondent’s Heads of Arguments stat</w:t>
      </w:r>
      <w:r>
        <w:rPr>
          <w:sz w:val="28"/>
          <w:szCs w:val="28"/>
        </w:rPr>
        <w:t xml:space="preserve">es that </w:t>
      </w:r>
    </w:p>
    <w:p w:rsidR="00467B40" w:rsidRDefault="00D61ECC" w:rsidP="00467B4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467B40">
        <w:rPr>
          <w:sz w:val="28"/>
          <w:szCs w:val="28"/>
        </w:rPr>
        <w:t>roceedings challenging the award that had been lodged under Case No LC/ORD/H/59/12 had since been withdrawn.  The record does not have the application that was filed challenging the award.  What is on record is a notice of withdrawal dated 25</w:t>
      </w:r>
      <w:r w:rsidR="00467B40" w:rsidRPr="00467B40">
        <w:rPr>
          <w:sz w:val="28"/>
          <w:szCs w:val="28"/>
          <w:vertAlign w:val="superscript"/>
        </w:rPr>
        <w:t>th</w:t>
      </w:r>
      <w:r w:rsidR="00467B40">
        <w:rPr>
          <w:sz w:val="28"/>
          <w:szCs w:val="28"/>
        </w:rPr>
        <w:t xml:space="preserve"> March 2013.  On 6</w:t>
      </w:r>
      <w:r w:rsidR="00467B40" w:rsidRPr="00467B40">
        <w:rPr>
          <w:sz w:val="28"/>
          <w:szCs w:val="28"/>
          <w:vertAlign w:val="superscript"/>
        </w:rPr>
        <w:t>th</w:t>
      </w:r>
      <w:r w:rsidR="00467B40">
        <w:rPr>
          <w:sz w:val="28"/>
          <w:szCs w:val="28"/>
        </w:rPr>
        <w:t xml:space="preserve"> August 2013 Respondent’s Legal Practitioners advised the Arbitrator that the challenge to the award had been withdrawn and the matter should be set down for quantification.  With the</w:t>
      </w:r>
      <w:r w:rsidR="00546D87">
        <w:rPr>
          <w:sz w:val="28"/>
          <w:szCs w:val="28"/>
        </w:rPr>
        <w:t xml:space="preserve"> letter Respondent’s computation was sent to the Arbitrator and a copy was forwarded to Appellant’s erstwhile LegalPractitioners, Messrs TamukaMoyo Attorneys.  Appellant subsequently filed a statement of opposition with the Arbitrator.  On 7</w:t>
      </w:r>
      <w:r w:rsidR="00546D87" w:rsidRPr="00546D87">
        <w:rPr>
          <w:sz w:val="28"/>
          <w:szCs w:val="28"/>
          <w:vertAlign w:val="superscript"/>
        </w:rPr>
        <w:t>th</w:t>
      </w:r>
      <w:r w:rsidR="00546D87">
        <w:rPr>
          <w:sz w:val="28"/>
          <w:szCs w:val="28"/>
        </w:rPr>
        <w:t xml:space="preserve"> October 2013 the Arbitrator awarded in favour of Respondent as follows:</w:t>
      </w:r>
    </w:p>
    <w:p w:rsidR="00546D87" w:rsidRDefault="00546D87" w:rsidP="00546D87">
      <w:pPr>
        <w:spacing w:after="0" w:line="360" w:lineRule="auto"/>
        <w:ind w:left="14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“Wherefore after carefully analysing the facts and the law, I make the following award</w:t>
      </w:r>
    </w:p>
    <w:p w:rsidR="00546D87" w:rsidRDefault="00546D87" w:rsidP="00546D8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That the Respondent pay to the Applicant the sum of </w:t>
      </w:r>
    </w:p>
    <w:p w:rsidR="00546D87" w:rsidRDefault="00546D87" w:rsidP="00546D87">
      <w:pPr>
        <w:pStyle w:val="ListParagraph"/>
        <w:spacing w:after="0" w:line="360" w:lineRule="auto"/>
        <w:ind w:left="180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US$11 525.06 on or before 30</w:t>
      </w:r>
      <w:r w:rsidRPr="00546D87">
        <w:rPr>
          <w:i/>
          <w:sz w:val="28"/>
          <w:szCs w:val="28"/>
          <w:vertAlign w:val="superscript"/>
        </w:rPr>
        <w:t>th</w:t>
      </w:r>
      <w:r>
        <w:rPr>
          <w:i/>
          <w:sz w:val="28"/>
          <w:szCs w:val="28"/>
        </w:rPr>
        <w:t xml:space="preserve"> October 2013”</w:t>
      </w:r>
    </w:p>
    <w:p w:rsidR="00546D87" w:rsidRDefault="00546D87" w:rsidP="00546D87">
      <w:pPr>
        <w:spacing w:after="0" w:line="360" w:lineRule="auto"/>
        <w:jc w:val="both"/>
        <w:rPr>
          <w:sz w:val="28"/>
          <w:szCs w:val="28"/>
        </w:rPr>
      </w:pPr>
    </w:p>
    <w:p w:rsidR="00546D87" w:rsidRDefault="00546D87" w:rsidP="00546D87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On 11</w:t>
      </w:r>
      <w:r w:rsidRPr="00546D8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2013 Appellant noted an appeal against the award handed down on 7</w:t>
      </w:r>
      <w:r w:rsidRPr="00546D8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2013 quantifying the damages.  In the notice of appeal Appellant indicates that </w:t>
      </w:r>
      <w:r w:rsidR="00D61ECC">
        <w:rPr>
          <w:sz w:val="28"/>
          <w:szCs w:val="28"/>
        </w:rPr>
        <w:t>it</w:t>
      </w:r>
      <w:r>
        <w:rPr>
          <w:sz w:val="28"/>
          <w:szCs w:val="28"/>
        </w:rPr>
        <w:t xml:space="preserve"> “hereby appeals against the entire award” and makes reference to both the quantification award and the award of 9</w:t>
      </w:r>
      <w:r w:rsidRPr="00546D8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2012.  The grounds of appeal are</w:t>
      </w:r>
    </w:p>
    <w:p w:rsidR="00467B40" w:rsidRDefault="00546D87" w:rsidP="00546D87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Honourable Arbitrator erred and misdirected himself in awarding damages for outstanding wages and underpayment of wages to the Respondent who was not being underpaid by the Applicant.</w:t>
      </w:r>
    </w:p>
    <w:p w:rsidR="00546D87" w:rsidRDefault="00546D87" w:rsidP="00546D87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The Honourable</w:t>
      </w:r>
      <w:r w:rsidR="0031475F">
        <w:rPr>
          <w:sz w:val="28"/>
          <w:szCs w:val="28"/>
        </w:rPr>
        <w:t xml:space="preserve"> Arbitrator erred and misdirected himself in making a finding that the Respondent was a welfare employee.</w:t>
      </w:r>
    </w:p>
    <w:p w:rsidR="0031475F" w:rsidRPr="0031475F" w:rsidRDefault="0031475F" w:rsidP="00546D87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Honourable Arbitrator erred and misdirected himself in proceeding to award damages based on a salary schedule which did not apply to the Respondent and in the absence of a proper salary scale.  This amounted to a gross misdirection as the schedule used by the Arbitrator applied to welfare female employees (“months”) not </w:t>
      </w:r>
      <w:r>
        <w:rPr>
          <w:sz w:val="28"/>
          <w:szCs w:val="28"/>
          <w:u w:val="single"/>
        </w:rPr>
        <w:t>malefarmemployees.</w:t>
      </w:r>
    </w:p>
    <w:p w:rsidR="0031475F" w:rsidRDefault="0031475F" w:rsidP="00546D87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Relying on the said salary schedule, as the Arbitrator did, was utterly outrageous in its defiance of logic that no reasonably </w:t>
      </w:r>
      <w:r w:rsidR="00D61ECC">
        <w:rPr>
          <w:sz w:val="28"/>
          <w:szCs w:val="28"/>
        </w:rPr>
        <w:t>(sic</w:t>
      </w:r>
      <w:r>
        <w:rPr>
          <w:sz w:val="28"/>
          <w:szCs w:val="28"/>
        </w:rPr>
        <w:t>) Arbitrator applying their mind to the facts would have come to such a finding thereby amounting to a misdirection at law.</w:t>
      </w:r>
    </w:p>
    <w:p w:rsidR="0031475F" w:rsidRDefault="0031475F" w:rsidP="00546D87">
      <w:pPr>
        <w:pStyle w:val="ListParagraph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Honourable Arbitrator erred and misdirected himself by granting </w:t>
      </w:r>
      <w:r w:rsidR="00D61ECC">
        <w:rPr>
          <w:sz w:val="28"/>
          <w:szCs w:val="28"/>
        </w:rPr>
        <w:t>a</w:t>
      </w:r>
      <w:r>
        <w:rPr>
          <w:sz w:val="28"/>
          <w:szCs w:val="28"/>
        </w:rPr>
        <w:t>n order that unjustly enr</w:t>
      </w:r>
      <w:r w:rsidR="00D61ECC">
        <w:rPr>
          <w:sz w:val="28"/>
          <w:szCs w:val="28"/>
        </w:rPr>
        <w:t>iched the Respondent at the expe</w:t>
      </w:r>
      <w:r>
        <w:rPr>
          <w:sz w:val="28"/>
          <w:szCs w:val="28"/>
        </w:rPr>
        <w:t>nse of the Applica</w:t>
      </w:r>
      <w:r w:rsidR="00D61ECC">
        <w:rPr>
          <w:sz w:val="28"/>
          <w:szCs w:val="28"/>
        </w:rPr>
        <w:t>nt</w:t>
      </w:r>
      <w:r>
        <w:rPr>
          <w:sz w:val="28"/>
          <w:szCs w:val="28"/>
        </w:rPr>
        <w:t>.</w:t>
      </w:r>
    </w:p>
    <w:p w:rsidR="0031475F" w:rsidRDefault="0031475F" w:rsidP="0031475F">
      <w:pPr>
        <w:pStyle w:val="ListParagraph"/>
        <w:spacing w:line="360" w:lineRule="auto"/>
        <w:jc w:val="both"/>
        <w:rPr>
          <w:sz w:val="28"/>
          <w:szCs w:val="28"/>
        </w:rPr>
      </w:pPr>
    </w:p>
    <w:p w:rsidR="0031475F" w:rsidRDefault="0031475F" w:rsidP="0031475F">
      <w:pPr>
        <w:pStyle w:val="ListParagraph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Appellant prayed for the setting as</w:t>
      </w:r>
      <w:r w:rsidR="00D61ECC">
        <w:rPr>
          <w:sz w:val="28"/>
          <w:szCs w:val="28"/>
        </w:rPr>
        <w:t>ide of the arbitral award and co</w:t>
      </w:r>
      <w:r>
        <w:rPr>
          <w:sz w:val="28"/>
          <w:szCs w:val="28"/>
        </w:rPr>
        <w:t xml:space="preserve">sts of </w:t>
      </w:r>
    </w:p>
    <w:p w:rsidR="0031475F" w:rsidRDefault="00D61ECC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31475F">
        <w:rPr>
          <w:sz w:val="28"/>
          <w:szCs w:val="28"/>
        </w:rPr>
        <w:t>uit.</w:t>
      </w:r>
    </w:p>
    <w:p w:rsidR="00C32E4C" w:rsidRDefault="00C32E4C" w:rsidP="0031475F">
      <w:pPr>
        <w:spacing w:after="0" w:line="360" w:lineRule="auto"/>
        <w:jc w:val="both"/>
        <w:rPr>
          <w:sz w:val="28"/>
          <w:szCs w:val="28"/>
        </w:rPr>
      </w:pPr>
    </w:p>
    <w:p w:rsidR="0031475F" w:rsidRDefault="0031475F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On 16</w:t>
      </w:r>
      <w:r w:rsidRPr="0031475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2013 Appellant approached this Court for interim relief in terms of Section 92 E (3) of the Labour Act [Chapter 28.01]</w:t>
      </w:r>
    </w:p>
    <w:p w:rsidR="00C32E4C" w:rsidRDefault="00C32E4C" w:rsidP="0031475F">
      <w:pPr>
        <w:spacing w:after="0" w:line="360" w:lineRule="auto"/>
        <w:jc w:val="both"/>
        <w:rPr>
          <w:sz w:val="28"/>
          <w:szCs w:val="28"/>
        </w:rPr>
      </w:pPr>
    </w:p>
    <w:p w:rsidR="0031475F" w:rsidRDefault="0031475F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On 24</w:t>
      </w:r>
      <w:r w:rsidRPr="0031475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2013 Respondent responded to the appeal pointing out that there was nothing amiss in the Arbitrator applying t</w:t>
      </w:r>
      <w:r w:rsidR="00C32E4C">
        <w:rPr>
          <w:sz w:val="28"/>
          <w:szCs w:val="28"/>
        </w:rPr>
        <w:t>he salary scale whose applicability had been definitely prono</w:t>
      </w:r>
      <w:r w:rsidR="00D61ECC">
        <w:rPr>
          <w:sz w:val="28"/>
          <w:szCs w:val="28"/>
        </w:rPr>
        <w:t>unced in the first award i.e. o</w:t>
      </w:r>
      <w:r w:rsidR="00C32E4C">
        <w:rPr>
          <w:sz w:val="28"/>
          <w:szCs w:val="28"/>
        </w:rPr>
        <w:t xml:space="preserve">f </w:t>
      </w:r>
      <w:r w:rsidR="00C32E4C">
        <w:rPr>
          <w:sz w:val="28"/>
          <w:szCs w:val="28"/>
        </w:rPr>
        <w:lastRenderedPageBreak/>
        <w:t>9</w:t>
      </w:r>
      <w:r w:rsidR="00C32E4C" w:rsidRPr="00C32E4C">
        <w:rPr>
          <w:sz w:val="28"/>
          <w:szCs w:val="28"/>
          <w:vertAlign w:val="superscript"/>
        </w:rPr>
        <w:t>th</w:t>
      </w:r>
      <w:r w:rsidR="00C32E4C">
        <w:rPr>
          <w:sz w:val="28"/>
          <w:szCs w:val="28"/>
        </w:rPr>
        <w:t>January 2012.  Respondent further stated that the first award had not been challenged and</w:t>
      </w:r>
      <w:r w:rsidR="00D61ECC">
        <w:rPr>
          <w:sz w:val="28"/>
          <w:szCs w:val="28"/>
        </w:rPr>
        <w:t xml:space="preserve"> the arbitrator was right in not permitting</w:t>
      </w:r>
      <w:r w:rsidR="00C32E4C">
        <w:rPr>
          <w:sz w:val="28"/>
          <w:szCs w:val="28"/>
        </w:rPr>
        <w:t xml:space="preserve"> the re-opening of the issue of the applicability of the salary scale.</w:t>
      </w:r>
    </w:p>
    <w:p w:rsidR="00C32E4C" w:rsidRDefault="00C32E4C" w:rsidP="0031475F">
      <w:pPr>
        <w:spacing w:after="0" w:line="360" w:lineRule="auto"/>
        <w:jc w:val="both"/>
        <w:rPr>
          <w:sz w:val="28"/>
          <w:szCs w:val="28"/>
        </w:rPr>
      </w:pPr>
    </w:p>
    <w:p w:rsidR="00C32E4C" w:rsidRDefault="00C32E4C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On 29</w:t>
      </w:r>
      <w:r w:rsidRPr="00C32E4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2013 Messrs TamukaMoyo Attorneys renounced agency indicating that Zuze Law Chambers was taking over.  On the same day interim relief was granted  by consent.</w:t>
      </w:r>
    </w:p>
    <w:p w:rsidR="00C32E4C" w:rsidRDefault="00C32E4C" w:rsidP="0031475F">
      <w:pPr>
        <w:spacing w:after="0" w:line="360" w:lineRule="auto"/>
        <w:jc w:val="both"/>
        <w:rPr>
          <w:sz w:val="28"/>
          <w:szCs w:val="28"/>
        </w:rPr>
      </w:pPr>
    </w:p>
    <w:p w:rsidR="00C32E4C" w:rsidRDefault="00C32E4C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first question that exercise the Court’s mind is what is the scope of this appeal?</w:t>
      </w:r>
    </w:p>
    <w:p w:rsidR="00C32E4C" w:rsidRDefault="00C32E4C" w:rsidP="0031475F">
      <w:pPr>
        <w:spacing w:after="0" w:line="360" w:lineRule="auto"/>
        <w:jc w:val="both"/>
        <w:rPr>
          <w:sz w:val="28"/>
          <w:szCs w:val="28"/>
        </w:rPr>
      </w:pPr>
    </w:p>
    <w:p w:rsidR="00C32E4C" w:rsidRDefault="00C32E4C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notice of appeal specifically states that Appellant is aggrieved by “the quantified arbitral award of the Honourable Dangarembizi handed down at Harare on 7</w:t>
      </w:r>
      <w:r w:rsidRPr="00C32E4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2013…”  It thereafter makes reference to Annexure </w:t>
      </w:r>
    </w:p>
    <w:p w:rsidR="00CC47FB" w:rsidRDefault="00C32E4C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“S 1”</w:t>
      </w:r>
      <w:r w:rsidR="00D61ECC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“S 2”.  According to the record Annexure “S 1” is the award dated </w:t>
      </w:r>
    </w:p>
    <w:p w:rsidR="00C32E4C" w:rsidRDefault="00C32E4C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32E4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October 2013 whilst Annexure “S 2” is the award dated 9</w:t>
      </w:r>
      <w:r w:rsidRPr="00C32E4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2012.  Appellant further states that the appeal is against the</w:t>
      </w:r>
      <w:r w:rsidR="00CC47FB">
        <w:rPr>
          <w:sz w:val="28"/>
          <w:szCs w:val="28"/>
        </w:rPr>
        <w:t xml:space="preserve"> entire award.  In my view Appellant is attempting to appeal against the first award through the back door.  Such an approach is inappropriate and unacceptable.  As a matter of fact it is a gross misrepresentation to make reference to two awards issued on different dates and give the impression that it is one award issued on one day.  The award of 7</w:t>
      </w:r>
      <w:r w:rsidR="00CC47FB" w:rsidRPr="00CC47FB">
        <w:rPr>
          <w:sz w:val="28"/>
          <w:szCs w:val="28"/>
          <w:vertAlign w:val="superscript"/>
        </w:rPr>
        <w:t>th</w:t>
      </w:r>
      <w:r w:rsidR="00CC47FB">
        <w:rPr>
          <w:sz w:val="28"/>
          <w:szCs w:val="28"/>
        </w:rPr>
        <w:t xml:space="preserve"> October 2013 is premised upon issues decided upon on 9</w:t>
      </w:r>
      <w:r w:rsidR="00CC47FB" w:rsidRPr="00CC47FB">
        <w:rPr>
          <w:sz w:val="28"/>
          <w:szCs w:val="28"/>
          <w:vertAlign w:val="superscript"/>
        </w:rPr>
        <w:t>th</w:t>
      </w:r>
      <w:r w:rsidR="00CC47FB">
        <w:rPr>
          <w:sz w:val="28"/>
          <w:szCs w:val="28"/>
        </w:rPr>
        <w:t xml:space="preserve"> January 2012.  As stated before Appellant withdrew the challenge to the award of 9</w:t>
      </w:r>
      <w:r w:rsidR="00CC47FB" w:rsidRPr="00CC47FB">
        <w:rPr>
          <w:sz w:val="28"/>
          <w:szCs w:val="28"/>
          <w:vertAlign w:val="superscript"/>
        </w:rPr>
        <w:t>th</w:t>
      </w:r>
      <w:r w:rsidR="00CC47FB">
        <w:rPr>
          <w:sz w:val="28"/>
          <w:szCs w:val="28"/>
        </w:rPr>
        <w:t xml:space="preserve"> January 2012.  That challenge was not resuscitated  and cannot be through a notice of appeal stating a specific date of the award being challenged, which date does not included 9</w:t>
      </w:r>
      <w:r w:rsidR="00CC47FB" w:rsidRPr="00CC47FB">
        <w:rPr>
          <w:sz w:val="28"/>
          <w:szCs w:val="28"/>
          <w:vertAlign w:val="superscript"/>
        </w:rPr>
        <w:t>th</w:t>
      </w:r>
      <w:r w:rsidR="00CC47FB">
        <w:rPr>
          <w:sz w:val="28"/>
          <w:szCs w:val="28"/>
        </w:rPr>
        <w:t xml:space="preserve"> January 2012.  On this basis alone </w:t>
      </w:r>
      <w:r w:rsidR="00CC47FB">
        <w:rPr>
          <w:sz w:val="28"/>
          <w:szCs w:val="28"/>
        </w:rPr>
        <w:lastRenderedPageBreak/>
        <w:t>the appeal is bound to fail.  Nevertheless I will proceed to deal with the issues raised in the grounds of appeal.</w:t>
      </w:r>
    </w:p>
    <w:p w:rsidR="00CC47FB" w:rsidRDefault="00CC47FB" w:rsidP="0031475F">
      <w:pPr>
        <w:spacing w:after="0" w:line="360" w:lineRule="auto"/>
        <w:jc w:val="both"/>
        <w:rPr>
          <w:sz w:val="28"/>
          <w:szCs w:val="28"/>
        </w:rPr>
      </w:pPr>
    </w:p>
    <w:p w:rsidR="00CC47FB" w:rsidRDefault="00CC47FB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The grounds of appeal raise factual issues</w:t>
      </w:r>
    </w:p>
    <w:p w:rsidR="00CC47FB" w:rsidRDefault="00CC47FB" w:rsidP="00CC47F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That Respondent was not being underpaid by the Applicant</w:t>
      </w:r>
    </w:p>
    <w:p w:rsidR="00CC47FB" w:rsidRDefault="00CC47FB" w:rsidP="00CC47F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That Respondent was not a welfare employee</w:t>
      </w:r>
    </w:p>
    <w:p w:rsidR="00CC47FB" w:rsidRDefault="00CC47FB" w:rsidP="00CC47F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That the Arbitrator relied on a salary schedule which did not apply to the Respondent</w:t>
      </w:r>
    </w:p>
    <w:p w:rsidR="00CC47FB" w:rsidRDefault="00CC47FB" w:rsidP="00CC47F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That the order unjustly enr</w:t>
      </w:r>
      <w:r w:rsidR="00D61ECC">
        <w:rPr>
          <w:sz w:val="28"/>
          <w:szCs w:val="28"/>
        </w:rPr>
        <w:t>iched the Respondent at the expe</w:t>
      </w:r>
      <w:r>
        <w:rPr>
          <w:sz w:val="28"/>
          <w:szCs w:val="28"/>
        </w:rPr>
        <w:t>nse of the Applicant.</w:t>
      </w:r>
    </w:p>
    <w:p w:rsidR="00CC47FB" w:rsidRDefault="00CC47FB" w:rsidP="00CC47FB">
      <w:pPr>
        <w:spacing w:after="0" w:line="360" w:lineRule="auto"/>
        <w:jc w:val="both"/>
        <w:rPr>
          <w:sz w:val="28"/>
          <w:szCs w:val="28"/>
        </w:rPr>
      </w:pPr>
    </w:p>
    <w:p w:rsidR="00CC47FB" w:rsidRDefault="00CC47FB" w:rsidP="00CC47FB">
      <w:pPr>
        <w:spacing w:after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Section 98 (10) of the Labour Act [Chapter 28:01] states</w:t>
      </w:r>
    </w:p>
    <w:p w:rsidR="00CC47FB" w:rsidRDefault="00CC47FB" w:rsidP="00CC47FB">
      <w:pPr>
        <w:spacing w:after="0" w:line="360" w:lineRule="auto"/>
        <w:ind w:left="2160"/>
        <w:jc w:val="both"/>
        <w:rPr>
          <w:i/>
          <w:sz w:val="28"/>
          <w:szCs w:val="28"/>
        </w:rPr>
      </w:pPr>
      <w:r w:rsidRPr="00CC47FB">
        <w:rPr>
          <w:i/>
          <w:sz w:val="28"/>
          <w:szCs w:val="28"/>
        </w:rPr>
        <w:t>“An appeal on a question of law shall be to the Labour Court from any decision of an Arbitrator appointed in terms of this Section.”</w:t>
      </w:r>
    </w:p>
    <w:p w:rsidR="00075834" w:rsidRPr="00CC47FB" w:rsidRDefault="00075834" w:rsidP="00CC47FB">
      <w:pPr>
        <w:spacing w:after="0" w:line="360" w:lineRule="auto"/>
        <w:ind w:left="2160"/>
        <w:jc w:val="both"/>
        <w:rPr>
          <w:i/>
          <w:sz w:val="28"/>
          <w:szCs w:val="28"/>
        </w:rPr>
      </w:pPr>
    </w:p>
    <w:p w:rsidR="00075834" w:rsidRDefault="00075834" w:rsidP="00CC47F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However the Supreme Court has ruled that a serious misdirection on the facts amount</w:t>
      </w:r>
      <w:r w:rsidR="00D61ECC">
        <w:rPr>
          <w:sz w:val="28"/>
          <w:szCs w:val="28"/>
        </w:rPr>
        <w:t>s</w:t>
      </w:r>
      <w:r>
        <w:rPr>
          <w:sz w:val="28"/>
          <w:szCs w:val="28"/>
        </w:rPr>
        <w:t xml:space="preserve"> to a misdirection of law if it is so unreasonable that no sensible person applying his mind to the facts would have arrived at such a conclusion see </w:t>
      </w:r>
      <w:r>
        <w:rPr>
          <w:b/>
          <w:sz w:val="28"/>
          <w:szCs w:val="28"/>
        </w:rPr>
        <w:t xml:space="preserve">Chinyange v Jaggers Wholesalers </w:t>
      </w:r>
      <w:r>
        <w:rPr>
          <w:sz w:val="28"/>
          <w:szCs w:val="28"/>
        </w:rPr>
        <w:t>SC 24/04.  The issue in question is therefore whether the Arbitrator’s quantification is so unreasonable that no sensible person applying his mind to the facts would have arrived at such a conclusion.  The facts are that on 9</w:t>
      </w:r>
      <w:r w:rsidRPr="0007583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January 2012 an award was made in which it was stated that there was underpayment of wages and terminal benefits.  The award went on t</w:t>
      </w:r>
      <w:r w:rsidR="00D61ECC">
        <w:rPr>
          <w:sz w:val="28"/>
          <w:szCs w:val="28"/>
        </w:rPr>
        <w:t>o</w:t>
      </w:r>
      <w:r>
        <w:rPr>
          <w:sz w:val="28"/>
          <w:szCs w:val="28"/>
        </w:rPr>
        <w:t xml:space="preserve"> state that a United States Dollar salary scale that had been produced during the proceedings would be used in computing the terminal benefits.  That award has not been challenged or overturned.  </w:t>
      </w:r>
      <w:r>
        <w:rPr>
          <w:sz w:val="28"/>
          <w:szCs w:val="28"/>
        </w:rPr>
        <w:lastRenderedPageBreak/>
        <w:t xml:space="preserve">Respondent made a detailed computation using the scale that was ruled to be applicable.  That computation was not sufficiently challenged.  The Arbitrator’s decision to grant the Respondent’s prayer for the quantified amount of </w:t>
      </w:r>
    </w:p>
    <w:p w:rsidR="00CC47FB" w:rsidRDefault="00075834" w:rsidP="00CC47F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$11 525.06 cannot be faulted.</w:t>
      </w:r>
    </w:p>
    <w:p w:rsidR="00075834" w:rsidRDefault="00075834" w:rsidP="00CC47FB">
      <w:pPr>
        <w:spacing w:after="0" w:line="360" w:lineRule="auto"/>
        <w:jc w:val="both"/>
        <w:rPr>
          <w:sz w:val="28"/>
          <w:szCs w:val="28"/>
        </w:rPr>
      </w:pPr>
    </w:p>
    <w:p w:rsidR="00075834" w:rsidRDefault="00075834" w:rsidP="00CC47F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Accordingly the appeal has no merit and is hereby dismissed with costs.</w:t>
      </w:r>
    </w:p>
    <w:p w:rsidR="00075834" w:rsidRDefault="00075834" w:rsidP="00CC47FB">
      <w:pPr>
        <w:spacing w:after="0" w:line="360" w:lineRule="auto"/>
        <w:jc w:val="both"/>
        <w:rPr>
          <w:sz w:val="28"/>
          <w:szCs w:val="28"/>
        </w:rPr>
      </w:pPr>
    </w:p>
    <w:p w:rsidR="00075834" w:rsidRDefault="00075834" w:rsidP="00CC47FB">
      <w:pPr>
        <w:spacing w:after="0" w:line="360" w:lineRule="auto"/>
        <w:jc w:val="both"/>
        <w:rPr>
          <w:sz w:val="28"/>
          <w:szCs w:val="28"/>
        </w:rPr>
      </w:pPr>
    </w:p>
    <w:p w:rsidR="00075834" w:rsidRDefault="00075834" w:rsidP="00CC47FB">
      <w:pP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Zuze Law Chambers, Appellant’s Legal Practitioners</w:t>
      </w:r>
    </w:p>
    <w:p w:rsidR="00075834" w:rsidRPr="00075834" w:rsidRDefault="00075834" w:rsidP="00CC47FB">
      <w:pPr>
        <w:spacing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Muzondo&amp;Chinhema, Respondent’s Legal Practitioners</w:t>
      </w:r>
    </w:p>
    <w:p w:rsidR="00CC47FB" w:rsidRPr="00CC47FB" w:rsidRDefault="00CC47FB" w:rsidP="00CC47FB">
      <w:pPr>
        <w:pStyle w:val="ListParagraph"/>
        <w:spacing w:after="0" w:line="360" w:lineRule="auto"/>
        <w:ind w:left="1800"/>
        <w:jc w:val="both"/>
        <w:rPr>
          <w:i/>
          <w:sz w:val="28"/>
          <w:szCs w:val="28"/>
        </w:rPr>
      </w:pPr>
    </w:p>
    <w:p w:rsidR="00C32E4C" w:rsidRPr="0031475F" w:rsidRDefault="00C32E4C" w:rsidP="0031475F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1475F" w:rsidRPr="00546D87" w:rsidRDefault="0031475F" w:rsidP="0031475F">
      <w:pPr>
        <w:pStyle w:val="ListParagraph"/>
        <w:spacing w:line="360" w:lineRule="auto"/>
        <w:jc w:val="both"/>
        <w:rPr>
          <w:sz w:val="28"/>
          <w:szCs w:val="28"/>
        </w:rPr>
      </w:pPr>
    </w:p>
    <w:sectPr w:rsidR="0031475F" w:rsidRPr="00546D87" w:rsidSect="00467B40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5AE" w:rsidRDefault="00A305AE" w:rsidP="00467B40">
      <w:pPr>
        <w:spacing w:after="0" w:line="240" w:lineRule="auto"/>
      </w:pPr>
      <w:r>
        <w:separator/>
      </w:r>
    </w:p>
  </w:endnote>
  <w:endnote w:type="continuationSeparator" w:id="1">
    <w:p w:rsidR="00A305AE" w:rsidRDefault="00A305AE" w:rsidP="0046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9779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47FB" w:rsidRDefault="000172F1">
        <w:pPr>
          <w:pStyle w:val="Footer"/>
          <w:jc w:val="right"/>
        </w:pPr>
        <w:r>
          <w:fldChar w:fldCharType="begin"/>
        </w:r>
        <w:r w:rsidR="00CC47FB">
          <w:instrText xml:space="preserve"> PAGE   \* MERGEFORMAT </w:instrText>
        </w:r>
        <w:r>
          <w:fldChar w:fldCharType="separate"/>
        </w:r>
        <w:r w:rsidR="00B5302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C47FB" w:rsidRDefault="00CC47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5AE" w:rsidRDefault="00A305AE" w:rsidP="00467B40">
      <w:pPr>
        <w:spacing w:after="0" w:line="240" w:lineRule="auto"/>
      </w:pPr>
      <w:r>
        <w:separator/>
      </w:r>
    </w:p>
  </w:footnote>
  <w:footnote w:type="continuationSeparator" w:id="1">
    <w:p w:rsidR="00A305AE" w:rsidRDefault="00A305AE" w:rsidP="0046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7FB" w:rsidRDefault="00CC47FB" w:rsidP="00467B40">
    <w:pPr>
      <w:spacing w:line="360" w:lineRule="auto"/>
      <w:ind w:left="5040" w:firstLine="720"/>
      <w:jc w:val="both"/>
      <w:rPr>
        <w:b/>
        <w:sz w:val="28"/>
        <w:szCs w:val="28"/>
      </w:rPr>
    </w:pPr>
    <w:r>
      <w:rPr>
        <w:b/>
        <w:sz w:val="28"/>
        <w:szCs w:val="28"/>
      </w:rPr>
      <w:t>JUDGMENT NO LC/H/</w:t>
    </w:r>
    <w:r w:rsidR="006E304B">
      <w:rPr>
        <w:b/>
        <w:sz w:val="28"/>
        <w:szCs w:val="28"/>
      </w:rPr>
      <w:t>35</w:t>
    </w:r>
    <w:r>
      <w:rPr>
        <w:b/>
        <w:sz w:val="28"/>
        <w:szCs w:val="28"/>
      </w:rPr>
      <w:t>/14</w:t>
    </w:r>
  </w:p>
  <w:p w:rsidR="00CC47FB" w:rsidRDefault="00CC47F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43C"/>
    <w:multiLevelType w:val="hybridMultilevel"/>
    <w:tmpl w:val="89808E4C"/>
    <w:lvl w:ilvl="0" w:tplc="3009000F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30090019" w:tentative="1">
      <w:start w:val="1"/>
      <w:numFmt w:val="lowerLetter"/>
      <w:lvlText w:val="%2."/>
      <w:lvlJc w:val="left"/>
      <w:pPr>
        <w:ind w:left="1530" w:hanging="360"/>
      </w:pPr>
    </w:lvl>
    <w:lvl w:ilvl="2" w:tplc="3009001B" w:tentative="1">
      <w:start w:val="1"/>
      <w:numFmt w:val="lowerRoman"/>
      <w:lvlText w:val="%3."/>
      <w:lvlJc w:val="right"/>
      <w:pPr>
        <w:ind w:left="2250" w:hanging="180"/>
      </w:pPr>
    </w:lvl>
    <w:lvl w:ilvl="3" w:tplc="3009000F" w:tentative="1">
      <w:start w:val="1"/>
      <w:numFmt w:val="decimal"/>
      <w:lvlText w:val="%4."/>
      <w:lvlJc w:val="left"/>
      <w:pPr>
        <w:ind w:left="2970" w:hanging="360"/>
      </w:pPr>
    </w:lvl>
    <w:lvl w:ilvl="4" w:tplc="30090019" w:tentative="1">
      <w:start w:val="1"/>
      <w:numFmt w:val="lowerLetter"/>
      <w:lvlText w:val="%5."/>
      <w:lvlJc w:val="left"/>
      <w:pPr>
        <w:ind w:left="3690" w:hanging="360"/>
      </w:pPr>
    </w:lvl>
    <w:lvl w:ilvl="5" w:tplc="3009001B" w:tentative="1">
      <w:start w:val="1"/>
      <w:numFmt w:val="lowerRoman"/>
      <w:lvlText w:val="%6."/>
      <w:lvlJc w:val="right"/>
      <w:pPr>
        <w:ind w:left="4410" w:hanging="180"/>
      </w:pPr>
    </w:lvl>
    <w:lvl w:ilvl="6" w:tplc="3009000F" w:tentative="1">
      <w:start w:val="1"/>
      <w:numFmt w:val="decimal"/>
      <w:lvlText w:val="%7."/>
      <w:lvlJc w:val="left"/>
      <w:pPr>
        <w:ind w:left="5130" w:hanging="360"/>
      </w:pPr>
    </w:lvl>
    <w:lvl w:ilvl="7" w:tplc="30090019" w:tentative="1">
      <w:start w:val="1"/>
      <w:numFmt w:val="lowerLetter"/>
      <w:lvlText w:val="%8."/>
      <w:lvlJc w:val="left"/>
      <w:pPr>
        <w:ind w:left="5850" w:hanging="360"/>
      </w:pPr>
    </w:lvl>
    <w:lvl w:ilvl="8" w:tplc="30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772179"/>
    <w:multiLevelType w:val="hybridMultilevel"/>
    <w:tmpl w:val="E9EA43C0"/>
    <w:lvl w:ilvl="0" w:tplc="2452EAE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7070E7F"/>
    <w:multiLevelType w:val="hybridMultilevel"/>
    <w:tmpl w:val="D542BCAA"/>
    <w:lvl w:ilvl="0" w:tplc="911A1D0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31C2BD2"/>
    <w:multiLevelType w:val="hybridMultilevel"/>
    <w:tmpl w:val="27FAED3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E44"/>
    <w:rsid w:val="000172F1"/>
    <w:rsid w:val="00075834"/>
    <w:rsid w:val="0031475F"/>
    <w:rsid w:val="00467B40"/>
    <w:rsid w:val="00546D87"/>
    <w:rsid w:val="006B13A5"/>
    <w:rsid w:val="006E304B"/>
    <w:rsid w:val="00920778"/>
    <w:rsid w:val="009818D4"/>
    <w:rsid w:val="00993004"/>
    <w:rsid w:val="00A24159"/>
    <w:rsid w:val="00A305AE"/>
    <w:rsid w:val="00B06281"/>
    <w:rsid w:val="00B5302A"/>
    <w:rsid w:val="00B93C9B"/>
    <w:rsid w:val="00C32E4C"/>
    <w:rsid w:val="00C943F6"/>
    <w:rsid w:val="00CC47FB"/>
    <w:rsid w:val="00D61ECC"/>
    <w:rsid w:val="00D81E44"/>
    <w:rsid w:val="00E9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B40"/>
  </w:style>
  <w:style w:type="paragraph" w:styleId="Footer">
    <w:name w:val="footer"/>
    <w:basedOn w:val="Normal"/>
    <w:link w:val="FooterChar"/>
    <w:uiPriority w:val="99"/>
    <w:unhideWhenUsed/>
    <w:rsid w:val="00467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B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B40"/>
  </w:style>
  <w:style w:type="paragraph" w:styleId="Footer">
    <w:name w:val="footer"/>
    <w:basedOn w:val="Normal"/>
    <w:link w:val="FooterChar"/>
    <w:uiPriority w:val="99"/>
    <w:unhideWhenUsed/>
    <w:rsid w:val="00467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Labour Court</dc:creator>
  <cp:lastModifiedBy>T. DOBA</cp:lastModifiedBy>
  <cp:revision>2</cp:revision>
  <cp:lastPrinted>2014-01-22T07:51:00Z</cp:lastPrinted>
  <dcterms:created xsi:type="dcterms:W3CDTF">2014-04-30T08:03:00Z</dcterms:created>
  <dcterms:modified xsi:type="dcterms:W3CDTF">2014-04-30T08:03:00Z</dcterms:modified>
</cp:coreProperties>
</file>