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8E1" w:rsidRDefault="00E06E2A" w:rsidP="003516C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SDC</w:t>
      </w:r>
      <w:r>
        <w:rPr>
          <w:rFonts w:ascii="Times New Roman" w:hAnsi="Times New Roman" w:cs="Times New Roman"/>
          <w:sz w:val="24"/>
          <w:szCs w:val="24"/>
        </w:rPr>
        <w:tab/>
        <w:t>LTD</w:t>
      </w:r>
      <w:r w:rsidR="00224890">
        <w:rPr>
          <w:rFonts w:ascii="Times New Roman" w:hAnsi="Times New Roman" w:cs="Times New Roman"/>
          <w:sz w:val="24"/>
          <w:szCs w:val="24"/>
        </w:rPr>
        <w:t xml:space="preserve"> </w:t>
      </w:r>
      <w:r w:rsidR="003270D3">
        <w:rPr>
          <w:rFonts w:ascii="Times New Roman" w:hAnsi="Times New Roman" w:cs="Times New Roman"/>
          <w:sz w:val="24"/>
          <w:szCs w:val="24"/>
        </w:rPr>
        <w:t>(2)</w:t>
      </w:r>
    </w:p>
    <w:p w:rsidR="00224890" w:rsidRDefault="00E06E2A" w:rsidP="003516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24890" w:rsidRDefault="006A16AA" w:rsidP="003516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COMMISSIONER-GE</w:t>
      </w:r>
      <w:r w:rsidR="00224890">
        <w:rPr>
          <w:rFonts w:ascii="Times New Roman" w:hAnsi="Times New Roman" w:cs="Times New Roman"/>
          <w:sz w:val="24"/>
          <w:szCs w:val="24"/>
        </w:rPr>
        <w:t>NERAL</w:t>
      </w:r>
    </w:p>
    <w:p w:rsidR="00224890" w:rsidRDefault="00224890" w:rsidP="003516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REVENUE AUTHORITY</w:t>
      </w:r>
    </w:p>
    <w:p w:rsidR="00224890" w:rsidRDefault="00224890" w:rsidP="00224890">
      <w:pPr>
        <w:jc w:val="both"/>
        <w:rPr>
          <w:rFonts w:ascii="Times New Roman" w:hAnsi="Times New Roman" w:cs="Times New Roman"/>
          <w:sz w:val="24"/>
          <w:szCs w:val="24"/>
        </w:rPr>
      </w:pPr>
    </w:p>
    <w:p w:rsidR="00224890" w:rsidRDefault="00224890" w:rsidP="003516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SPECIAL COURT FOR INCOME TAX APPEALS</w:t>
      </w:r>
    </w:p>
    <w:p w:rsidR="00224890" w:rsidRDefault="00224890" w:rsidP="003516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KUDYA J</w:t>
      </w:r>
    </w:p>
    <w:p w:rsidR="00224890" w:rsidRDefault="00224890" w:rsidP="003516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516C2">
        <w:rPr>
          <w:rFonts w:ascii="Times New Roman" w:hAnsi="Times New Roman" w:cs="Times New Roman"/>
          <w:sz w:val="24"/>
          <w:szCs w:val="24"/>
        </w:rPr>
        <w:t>,</w:t>
      </w:r>
      <w:r>
        <w:rPr>
          <w:rFonts w:ascii="Times New Roman" w:hAnsi="Times New Roman" w:cs="Times New Roman"/>
          <w:sz w:val="24"/>
          <w:szCs w:val="24"/>
        </w:rPr>
        <w:t xml:space="preserve"> </w:t>
      </w:r>
      <w:r w:rsidR="00971A91">
        <w:rPr>
          <w:rFonts w:ascii="Times New Roman" w:hAnsi="Times New Roman" w:cs="Times New Roman"/>
          <w:sz w:val="24"/>
          <w:szCs w:val="24"/>
        </w:rPr>
        <w:t>4, 5, 6, 7</w:t>
      </w:r>
      <w:r w:rsidR="003516C2">
        <w:rPr>
          <w:rFonts w:ascii="Times New Roman" w:hAnsi="Times New Roman" w:cs="Times New Roman"/>
          <w:sz w:val="24"/>
          <w:szCs w:val="24"/>
        </w:rPr>
        <w:t>, 8,</w:t>
      </w:r>
      <w:r w:rsidR="00D71DA2">
        <w:rPr>
          <w:rFonts w:ascii="Times New Roman" w:hAnsi="Times New Roman" w:cs="Times New Roman"/>
          <w:sz w:val="24"/>
          <w:szCs w:val="24"/>
        </w:rPr>
        <w:t xml:space="preserve"> </w:t>
      </w:r>
      <w:r w:rsidR="00971A91">
        <w:rPr>
          <w:rFonts w:ascii="Times New Roman" w:hAnsi="Times New Roman" w:cs="Times New Roman"/>
          <w:sz w:val="24"/>
          <w:szCs w:val="24"/>
        </w:rPr>
        <w:t>11, 12, 13</w:t>
      </w:r>
      <w:r w:rsidR="003516C2">
        <w:rPr>
          <w:rFonts w:ascii="Times New Roman" w:hAnsi="Times New Roman" w:cs="Times New Roman"/>
          <w:sz w:val="24"/>
          <w:szCs w:val="24"/>
        </w:rPr>
        <w:t>, 14</w:t>
      </w:r>
      <w:r w:rsidR="007759E8">
        <w:rPr>
          <w:rFonts w:ascii="Times New Roman" w:hAnsi="Times New Roman" w:cs="Times New Roman"/>
          <w:sz w:val="24"/>
          <w:szCs w:val="24"/>
        </w:rPr>
        <w:t>, 18</w:t>
      </w:r>
      <w:r w:rsidR="00971A91">
        <w:rPr>
          <w:rFonts w:ascii="Times New Roman" w:hAnsi="Times New Roman" w:cs="Times New Roman"/>
          <w:sz w:val="24"/>
          <w:szCs w:val="24"/>
        </w:rPr>
        <w:t>, 19</w:t>
      </w:r>
      <w:r w:rsidR="003516C2">
        <w:rPr>
          <w:rFonts w:ascii="Times New Roman" w:hAnsi="Times New Roman" w:cs="Times New Roman"/>
          <w:sz w:val="24"/>
          <w:szCs w:val="24"/>
        </w:rPr>
        <w:t>,</w:t>
      </w:r>
      <w:r w:rsidR="00971A91">
        <w:rPr>
          <w:rFonts w:ascii="Times New Roman" w:hAnsi="Times New Roman" w:cs="Times New Roman"/>
          <w:sz w:val="24"/>
          <w:szCs w:val="24"/>
        </w:rPr>
        <w:t xml:space="preserve"> </w:t>
      </w:r>
      <w:r>
        <w:rPr>
          <w:rFonts w:ascii="Times New Roman" w:hAnsi="Times New Roman" w:cs="Times New Roman"/>
          <w:sz w:val="24"/>
          <w:szCs w:val="24"/>
        </w:rPr>
        <w:t>21 March 2019</w:t>
      </w:r>
      <w:r w:rsidR="00971A91">
        <w:rPr>
          <w:rFonts w:ascii="Times New Roman" w:hAnsi="Times New Roman" w:cs="Times New Roman"/>
          <w:sz w:val="24"/>
          <w:szCs w:val="24"/>
        </w:rPr>
        <w:t xml:space="preserve"> and </w:t>
      </w:r>
      <w:r w:rsidR="007759E8">
        <w:rPr>
          <w:rFonts w:ascii="Times New Roman" w:hAnsi="Times New Roman" w:cs="Times New Roman"/>
          <w:sz w:val="24"/>
          <w:szCs w:val="24"/>
        </w:rPr>
        <w:t>30</w:t>
      </w:r>
      <w:r w:rsidR="00E06E2A">
        <w:rPr>
          <w:rFonts w:ascii="Times New Roman" w:hAnsi="Times New Roman" w:cs="Times New Roman"/>
          <w:sz w:val="24"/>
          <w:szCs w:val="24"/>
        </w:rPr>
        <w:t xml:space="preserve"> June</w:t>
      </w:r>
      <w:r w:rsidR="003516C2">
        <w:rPr>
          <w:rFonts w:ascii="Times New Roman" w:hAnsi="Times New Roman" w:cs="Times New Roman"/>
          <w:sz w:val="24"/>
          <w:szCs w:val="24"/>
        </w:rPr>
        <w:t xml:space="preserve"> 2021</w:t>
      </w:r>
    </w:p>
    <w:p w:rsidR="00224890" w:rsidRDefault="00224890" w:rsidP="00224890">
      <w:pPr>
        <w:jc w:val="both"/>
        <w:rPr>
          <w:rFonts w:ascii="Times New Roman" w:hAnsi="Times New Roman" w:cs="Times New Roman"/>
          <w:sz w:val="24"/>
          <w:szCs w:val="24"/>
        </w:rPr>
      </w:pPr>
    </w:p>
    <w:p w:rsidR="003516C2" w:rsidRDefault="003516C2" w:rsidP="00224890">
      <w:pPr>
        <w:jc w:val="both"/>
        <w:rPr>
          <w:rFonts w:ascii="Times New Roman" w:hAnsi="Times New Roman" w:cs="Times New Roman"/>
          <w:b/>
          <w:sz w:val="24"/>
          <w:szCs w:val="24"/>
        </w:rPr>
      </w:pPr>
    </w:p>
    <w:p w:rsidR="00224890" w:rsidRDefault="00224890" w:rsidP="00224890">
      <w:pPr>
        <w:jc w:val="both"/>
        <w:rPr>
          <w:rFonts w:ascii="Times New Roman" w:hAnsi="Times New Roman" w:cs="Times New Roman"/>
          <w:b/>
          <w:sz w:val="24"/>
          <w:szCs w:val="24"/>
        </w:rPr>
      </w:pPr>
      <w:r>
        <w:rPr>
          <w:rFonts w:ascii="Times New Roman" w:hAnsi="Times New Roman" w:cs="Times New Roman"/>
          <w:b/>
          <w:sz w:val="24"/>
          <w:szCs w:val="24"/>
        </w:rPr>
        <w:t>Income Tax Appeal</w:t>
      </w:r>
      <w:r w:rsidR="00432CC4">
        <w:rPr>
          <w:rFonts w:ascii="Times New Roman" w:hAnsi="Times New Roman" w:cs="Times New Roman"/>
          <w:b/>
          <w:sz w:val="24"/>
          <w:szCs w:val="24"/>
        </w:rPr>
        <w:t>-The merits</w:t>
      </w:r>
    </w:p>
    <w:p w:rsidR="00224890" w:rsidRDefault="00224890" w:rsidP="00224890">
      <w:pPr>
        <w:jc w:val="both"/>
        <w:rPr>
          <w:rFonts w:ascii="Times New Roman" w:hAnsi="Times New Roman" w:cs="Times New Roman"/>
          <w:b/>
          <w:sz w:val="24"/>
          <w:szCs w:val="24"/>
        </w:rPr>
      </w:pPr>
    </w:p>
    <w:p w:rsidR="009240DA" w:rsidRDefault="00224890" w:rsidP="003516C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 Erasmus &amp;</w:t>
      </w:r>
      <w:r w:rsidR="004F6060">
        <w:rPr>
          <w:rFonts w:ascii="Times New Roman" w:hAnsi="Times New Roman" w:cs="Times New Roman"/>
          <w:i/>
          <w:sz w:val="24"/>
          <w:szCs w:val="24"/>
        </w:rPr>
        <w:t>H Vorster,</w:t>
      </w:r>
      <w:r>
        <w:rPr>
          <w:rFonts w:ascii="Times New Roman" w:hAnsi="Times New Roman" w:cs="Times New Roman"/>
          <w:i/>
          <w:sz w:val="24"/>
          <w:szCs w:val="24"/>
        </w:rPr>
        <w:t xml:space="preserve"> </w:t>
      </w:r>
      <w:r w:rsidR="009240DA" w:rsidRPr="009240DA">
        <w:rPr>
          <w:rFonts w:ascii="Times New Roman" w:hAnsi="Times New Roman" w:cs="Times New Roman"/>
          <w:sz w:val="24"/>
          <w:szCs w:val="24"/>
        </w:rPr>
        <w:t>for the appellant</w:t>
      </w:r>
      <w:r w:rsidR="009240DA">
        <w:rPr>
          <w:rFonts w:ascii="Times New Roman" w:hAnsi="Times New Roman" w:cs="Times New Roman"/>
          <w:sz w:val="24"/>
          <w:szCs w:val="24"/>
        </w:rPr>
        <w:t xml:space="preserve"> </w:t>
      </w:r>
    </w:p>
    <w:p w:rsidR="00224890" w:rsidRDefault="00224890" w:rsidP="003516C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Matinenga</w:t>
      </w:r>
      <w:r w:rsidR="004F6060">
        <w:rPr>
          <w:rFonts w:ascii="Times New Roman" w:hAnsi="Times New Roman" w:cs="Times New Roman"/>
          <w:i/>
          <w:sz w:val="24"/>
          <w:szCs w:val="24"/>
        </w:rPr>
        <w:t xml:space="preserve"> &amp; </w:t>
      </w:r>
      <w:r w:rsidR="00D50FED">
        <w:rPr>
          <w:rFonts w:ascii="Times New Roman" w:hAnsi="Times New Roman" w:cs="Times New Roman"/>
          <w:i/>
          <w:sz w:val="24"/>
          <w:szCs w:val="24"/>
        </w:rPr>
        <w:t xml:space="preserve">D </w:t>
      </w:r>
      <w:r w:rsidR="004F6060">
        <w:rPr>
          <w:rFonts w:ascii="Times New Roman" w:hAnsi="Times New Roman" w:cs="Times New Roman"/>
          <w:i/>
          <w:sz w:val="24"/>
          <w:szCs w:val="24"/>
        </w:rPr>
        <w:t>Mehta</w:t>
      </w:r>
      <w:r>
        <w:rPr>
          <w:rFonts w:ascii="Times New Roman" w:hAnsi="Times New Roman" w:cs="Times New Roman"/>
          <w:i/>
          <w:sz w:val="24"/>
          <w:szCs w:val="24"/>
        </w:rPr>
        <w:t xml:space="preserve">, </w:t>
      </w:r>
      <w:r w:rsidRPr="00224890">
        <w:rPr>
          <w:rFonts w:ascii="Times New Roman" w:hAnsi="Times New Roman" w:cs="Times New Roman"/>
          <w:sz w:val="24"/>
          <w:szCs w:val="24"/>
        </w:rPr>
        <w:t>for the respondent</w:t>
      </w:r>
    </w:p>
    <w:p w:rsidR="00224890" w:rsidRDefault="00224890" w:rsidP="00224890">
      <w:pPr>
        <w:jc w:val="both"/>
        <w:rPr>
          <w:rFonts w:ascii="Times New Roman" w:hAnsi="Times New Roman" w:cs="Times New Roman"/>
          <w:sz w:val="24"/>
          <w:szCs w:val="24"/>
        </w:rPr>
      </w:pPr>
    </w:p>
    <w:p w:rsidR="006A6DB0" w:rsidRDefault="000D0E2D" w:rsidP="003516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KUDYA J: This</w:t>
      </w:r>
      <w:r w:rsidR="00224890">
        <w:rPr>
          <w:rFonts w:ascii="Times New Roman" w:hAnsi="Times New Roman" w:cs="Times New Roman"/>
          <w:sz w:val="24"/>
          <w:szCs w:val="24"/>
        </w:rPr>
        <w:t xml:space="preserve"> judgment on the merits</w:t>
      </w:r>
      <w:r>
        <w:rPr>
          <w:rFonts w:ascii="Times New Roman" w:hAnsi="Times New Roman" w:cs="Times New Roman"/>
          <w:sz w:val="24"/>
          <w:szCs w:val="24"/>
        </w:rPr>
        <w:t xml:space="preserve"> is a sequel</w:t>
      </w:r>
      <w:r w:rsidR="00224890">
        <w:rPr>
          <w:rFonts w:ascii="Times New Roman" w:hAnsi="Times New Roman" w:cs="Times New Roman"/>
          <w:sz w:val="24"/>
          <w:szCs w:val="24"/>
        </w:rPr>
        <w:t xml:space="preserve"> to </w:t>
      </w:r>
      <w:r w:rsidR="00224890" w:rsidRPr="00224890">
        <w:rPr>
          <w:rFonts w:ascii="Times New Roman" w:hAnsi="Times New Roman" w:cs="Times New Roman"/>
          <w:i/>
          <w:sz w:val="24"/>
          <w:szCs w:val="24"/>
        </w:rPr>
        <w:t xml:space="preserve">SDC Ltd </w:t>
      </w:r>
      <w:r w:rsidR="00224890" w:rsidRPr="00B47FF3">
        <w:rPr>
          <w:rFonts w:ascii="Times New Roman" w:hAnsi="Times New Roman" w:cs="Times New Roman"/>
          <w:sz w:val="24"/>
          <w:szCs w:val="24"/>
        </w:rPr>
        <w:t>v</w:t>
      </w:r>
      <w:r w:rsidR="00A54636" w:rsidRPr="00B47FF3">
        <w:rPr>
          <w:rFonts w:ascii="Times New Roman" w:hAnsi="Times New Roman" w:cs="Times New Roman"/>
          <w:sz w:val="24"/>
          <w:szCs w:val="24"/>
        </w:rPr>
        <w:t xml:space="preserve"> </w:t>
      </w:r>
      <w:r w:rsidR="00A54636">
        <w:rPr>
          <w:rFonts w:ascii="Times New Roman" w:hAnsi="Times New Roman" w:cs="Times New Roman"/>
          <w:i/>
          <w:sz w:val="24"/>
          <w:szCs w:val="24"/>
        </w:rPr>
        <w:t>Commissioner General-Zimbabwe R</w:t>
      </w:r>
      <w:r w:rsidR="00224890" w:rsidRPr="00224890">
        <w:rPr>
          <w:rFonts w:ascii="Times New Roman" w:hAnsi="Times New Roman" w:cs="Times New Roman"/>
          <w:i/>
          <w:sz w:val="24"/>
          <w:szCs w:val="24"/>
        </w:rPr>
        <w:t xml:space="preserve">evenue Authority </w:t>
      </w:r>
      <w:r w:rsidR="00224890" w:rsidRPr="00224890">
        <w:rPr>
          <w:rFonts w:ascii="Times New Roman" w:hAnsi="Times New Roman" w:cs="Times New Roman"/>
          <w:sz w:val="24"/>
          <w:szCs w:val="24"/>
        </w:rPr>
        <w:t>HH 648/18,</w:t>
      </w:r>
      <w:r w:rsidR="00224890">
        <w:rPr>
          <w:rFonts w:ascii="Times New Roman" w:hAnsi="Times New Roman" w:cs="Times New Roman"/>
          <w:sz w:val="24"/>
          <w:szCs w:val="24"/>
        </w:rPr>
        <w:t xml:space="preserve"> which dismissed all t</w:t>
      </w:r>
      <w:r w:rsidR="003C523D">
        <w:rPr>
          <w:rFonts w:ascii="Times New Roman" w:hAnsi="Times New Roman" w:cs="Times New Roman"/>
          <w:sz w:val="24"/>
          <w:szCs w:val="24"/>
        </w:rPr>
        <w:t>he preliminary points</w:t>
      </w:r>
      <w:r w:rsidR="00224890">
        <w:rPr>
          <w:rFonts w:ascii="Times New Roman" w:hAnsi="Times New Roman" w:cs="Times New Roman"/>
          <w:sz w:val="24"/>
          <w:szCs w:val="24"/>
        </w:rPr>
        <w:t xml:space="preserve"> raised </w:t>
      </w:r>
      <w:r w:rsidR="004E0249">
        <w:rPr>
          <w:rFonts w:ascii="Times New Roman" w:hAnsi="Times New Roman" w:cs="Times New Roman"/>
          <w:sz w:val="24"/>
          <w:szCs w:val="24"/>
        </w:rPr>
        <w:t>by the appellant in this appeal</w:t>
      </w:r>
      <w:r w:rsidR="00224890">
        <w:rPr>
          <w:rFonts w:ascii="Times New Roman" w:hAnsi="Times New Roman" w:cs="Times New Roman"/>
          <w:sz w:val="24"/>
          <w:szCs w:val="24"/>
        </w:rPr>
        <w:t xml:space="preserve">. The </w:t>
      </w:r>
      <w:r w:rsidR="00994D0F">
        <w:rPr>
          <w:rFonts w:ascii="Times New Roman" w:hAnsi="Times New Roman" w:cs="Times New Roman"/>
          <w:sz w:val="24"/>
          <w:szCs w:val="24"/>
        </w:rPr>
        <w:t xml:space="preserve">real questions for determination in this appeal are </w:t>
      </w:r>
      <w:r w:rsidR="003345AA">
        <w:rPr>
          <w:rFonts w:ascii="Times New Roman" w:hAnsi="Times New Roman" w:cs="Times New Roman"/>
          <w:sz w:val="24"/>
          <w:szCs w:val="24"/>
        </w:rPr>
        <w:t xml:space="preserve">firstly, </w:t>
      </w:r>
      <w:r w:rsidR="00994D0F">
        <w:rPr>
          <w:rFonts w:ascii="Times New Roman" w:hAnsi="Times New Roman" w:cs="Times New Roman"/>
          <w:sz w:val="24"/>
          <w:szCs w:val="24"/>
        </w:rPr>
        <w:t xml:space="preserve">whether </w:t>
      </w:r>
      <w:r w:rsidR="003345AA" w:rsidRPr="00994D0F">
        <w:rPr>
          <w:rFonts w:ascii="Times New Roman" w:hAnsi="Times New Roman" w:cs="Times New Roman"/>
          <w:sz w:val="24"/>
          <w:szCs w:val="24"/>
        </w:rPr>
        <w:t xml:space="preserve">the Organisation for Economic Cooperation and Development Transfer Pricing Guidelines for Multi-National Enterprises and Tax Administrations (OECD TPGs) </w:t>
      </w:r>
      <w:r w:rsidR="003345AA">
        <w:rPr>
          <w:rFonts w:ascii="Times New Roman" w:hAnsi="Times New Roman" w:cs="Times New Roman"/>
          <w:sz w:val="24"/>
          <w:szCs w:val="24"/>
        </w:rPr>
        <w:t xml:space="preserve">were applicable in Zimbabwe during the 2009 to 2012 tax years, secondly whether </w:t>
      </w:r>
      <w:r w:rsidR="00A54636">
        <w:rPr>
          <w:rFonts w:ascii="Times New Roman" w:hAnsi="Times New Roman" w:cs="Times New Roman"/>
          <w:sz w:val="24"/>
          <w:szCs w:val="24"/>
        </w:rPr>
        <w:t xml:space="preserve">the </w:t>
      </w:r>
      <w:r w:rsidR="004E0249">
        <w:rPr>
          <w:rFonts w:ascii="Times New Roman" w:hAnsi="Times New Roman" w:cs="Times New Roman"/>
          <w:sz w:val="24"/>
          <w:szCs w:val="24"/>
        </w:rPr>
        <w:t xml:space="preserve">respondent </w:t>
      </w:r>
      <w:r w:rsidR="00A54636">
        <w:rPr>
          <w:rFonts w:ascii="Times New Roman" w:hAnsi="Times New Roman" w:cs="Times New Roman"/>
          <w:sz w:val="24"/>
          <w:szCs w:val="24"/>
        </w:rPr>
        <w:t>Commissioner</w:t>
      </w:r>
      <w:r w:rsidR="00DE78AA">
        <w:rPr>
          <w:rFonts w:ascii="Times New Roman" w:hAnsi="Times New Roman" w:cs="Times New Roman"/>
          <w:sz w:val="24"/>
          <w:szCs w:val="24"/>
        </w:rPr>
        <w:t xml:space="preserve"> lawfully applied the g</w:t>
      </w:r>
      <w:r w:rsidR="00E06E2A">
        <w:rPr>
          <w:rFonts w:ascii="Times New Roman" w:hAnsi="Times New Roman" w:cs="Times New Roman"/>
          <w:sz w:val="24"/>
          <w:szCs w:val="24"/>
        </w:rPr>
        <w:t>eneral anti-avoidance provision (GAAP)</w:t>
      </w:r>
      <w:r w:rsidR="00C9007D">
        <w:rPr>
          <w:rFonts w:ascii="Times New Roman" w:hAnsi="Times New Roman" w:cs="Times New Roman"/>
          <w:sz w:val="24"/>
          <w:szCs w:val="24"/>
        </w:rPr>
        <w:t>,</w:t>
      </w:r>
      <w:r w:rsidR="00DE78AA">
        <w:rPr>
          <w:rFonts w:ascii="Times New Roman" w:hAnsi="Times New Roman" w:cs="Times New Roman"/>
          <w:sz w:val="24"/>
          <w:szCs w:val="24"/>
        </w:rPr>
        <w:t xml:space="preserve"> </w:t>
      </w:r>
      <w:r w:rsidR="00A7575F">
        <w:rPr>
          <w:rFonts w:ascii="Times New Roman" w:hAnsi="Times New Roman" w:cs="Times New Roman"/>
          <w:sz w:val="24"/>
          <w:szCs w:val="24"/>
        </w:rPr>
        <w:t xml:space="preserve">s 98 of the Income Tax Act </w:t>
      </w:r>
      <w:r w:rsidR="00A7575F" w:rsidRPr="00BB0152">
        <w:rPr>
          <w:rFonts w:ascii="Times New Roman" w:hAnsi="Times New Roman" w:cs="Times New Roman"/>
          <w:i/>
          <w:sz w:val="24"/>
          <w:szCs w:val="24"/>
        </w:rPr>
        <w:t>[Chapter</w:t>
      </w:r>
      <w:r w:rsidR="00BB0152" w:rsidRPr="00BB0152">
        <w:rPr>
          <w:rFonts w:ascii="Times New Roman" w:hAnsi="Times New Roman" w:cs="Times New Roman"/>
          <w:i/>
          <w:sz w:val="24"/>
          <w:szCs w:val="24"/>
        </w:rPr>
        <w:t xml:space="preserve"> 23:06]</w:t>
      </w:r>
      <w:r w:rsidR="00DE78AA">
        <w:rPr>
          <w:rFonts w:ascii="Times New Roman" w:hAnsi="Times New Roman" w:cs="Times New Roman"/>
          <w:i/>
          <w:sz w:val="24"/>
          <w:szCs w:val="24"/>
        </w:rPr>
        <w:t xml:space="preserve"> </w:t>
      </w:r>
      <w:r w:rsidR="00DE78AA" w:rsidRPr="00DE78AA">
        <w:rPr>
          <w:rFonts w:ascii="Times New Roman" w:hAnsi="Times New Roman" w:cs="Times New Roman"/>
          <w:sz w:val="24"/>
          <w:szCs w:val="24"/>
        </w:rPr>
        <w:t>against the appellant</w:t>
      </w:r>
      <w:r w:rsidR="003345AA">
        <w:rPr>
          <w:rFonts w:ascii="Times New Roman" w:hAnsi="Times New Roman" w:cs="Times New Roman"/>
          <w:sz w:val="24"/>
          <w:szCs w:val="24"/>
        </w:rPr>
        <w:t xml:space="preserve"> by</w:t>
      </w:r>
      <w:r w:rsidR="00A54636">
        <w:rPr>
          <w:rFonts w:ascii="Times New Roman" w:hAnsi="Times New Roman" w:cs="Times New Roman"/>
          <w:sz w:val="24"/>
          <w:szCs w:val="24"/>
        </w:rPr>
        <w:t xml:space="preserve"> </w:t>
      </w:r>
      <w:r w:rsidR="003345AA">
        <w:rPr>
          <w:rFonts w:ascii="Times New Roman" w:hAnsi="Times New Roman" w:cs="Times New Roman"/>
          <w:sz w:val="24"/>
          <w:szCs w:val="24"/>
        </w:rPr>
        <w:t>imputing</w:t>
      </w:r>
      <w:r w:rsidR="00DE78AA">
        <w:rPr>
          <w:rFonts w:ascii="Times New Roman" w:hAnsi="Times New Roman" w:cs="Times New Roman"/>
          <w:sz w:val="24"/>
          <w:szCs w:val="24"/>
        </w:rPr>
        <w:t xml:space="preserve"> royalties </w:t>
      </w:r>
      <w:r w:rsidR="00517ABA">
        <w:rPr>
          <w:rFonts w:ascii="Times New Roman" w:hAnsi="Times New Roman" w:cs="Times New Roman"/>
          <w:sz w:val="24"/>
          <w:szCs w:val="24"/>
        </w:rPr>
        <w:t xml:space="preserve">for the purported intragroup use of the appellant’s five locally registered trademarks </w:t>
      </w:r>
      <w:r w:rsidR="00DE78AA">
        <w:rPr>
          <w:rFonts w:ascii="Times New Roman" w:hAnsi="Times New Roman" w:cs="Times New Roman"/>
          <w:sz w:val="24"/>
          <w:szCs w:val="24"/>
        </w:rPr>
        <w:t>and management fees</w:t>
      </w:r>
      <w:r w:rsidR="00517ABA" w:rsidRPr="00517ABA">
        <w:rPr>
          <w:rFonts w:ascii="Times New Roman" w:hAnsi="Times New Roman" w:cs="Times New Roman"/>
          <w:sz w:val="24"/>
          <w:szCs w:val="24"/>
        </w:rPr>
        <w:t xml:space="preserve"> </w:t>
      </w:r>
      <w:r w:rsidR="00517ABA">
        <w:rPr>
          <w:rFonts w:ascii="Times New Roman" w:hAnsi="Times New Roman" w:cs="Times New Roman"/>
          <w:sz w:val="24"/>
          <w:szCs w:val="24"/>
        </w:rPr>
        <w:t>on the intragroup se</w:t>
      </w:r>
      <w:r w:rsidR="003345AA">
        <w:rPr>
          <w:rFonts w:ascii="Times New Roman" w:hAnsi="Times New Roman" w:cs="Times New Roman"/>
          <w:sz w:val="24"/>
          <w:szCs w:val="24"/>
        </w:rPr>
        <w:t>rvices rendered by the</w:t>
      </w:r>
      <w:r w:rsidR="00517ABA">
        <w:rPr>
          <w:rFonts w:ascii="Times New Roman" w:hAnsi="Times New Roman" w:cs="Times New Roman"/>
          <w:sz w:val="24"/>
          <w:szCs w:val="24"/>
        </w:rPr>
        <w:t xml:space="preserve"> senior management team</w:t>
      </w:r>
      <w:r w:rsidR="00DE78AA">
        <w:rPr>
          <w:rFonts w:ascii="Times New Roman" w:hAnsi="Times New Roman" w:cs="Times New Roman"/>
          <w:sz w:val="24"/>
          <w:szCs w:val="24"/>
        </w:rPr>
        <w:t xml:space="preserve"> </w:t>
      </w:r>
      <w:r w:rsidR="003345AA">
        <w:rPr>
          <w:rFonts w:ascii="Times New Roman" w:hAnsi="Times New Roman" w:cs="Times New Roman"/>
          <w:sz w:val="24"/>
          <w:szCs w:val="24"/>
        </w:rPr>
        <w:t>of the group</w:t>
      </w:r>
      <w:r w:rsidR="00517ABA">
        <w:rPr>
          <w:rFonts w:ascii="Times New Roman" w:hAnsi="Times New Roman" w:cs="Times New Roman"/>
          <w:sz w:val="24"/>
          <w:szCs w:val="24"/>
        </w:rPr>
        <w:t xml:space="preserve"> </w:t>
      </w:r>
      <w:r w:rsidR="00DE78AA">
        <w:rPr>
          <w:rFonts w:ascii="Times New Roman" w:hAnsi="Times New Roman" w:cs="Times New Roman"/>
          <w:sz w:val="24"/>
          <w:szCs w:val="24"/>
        </w:rPr>
        <w:t>to the appellant; thirdly, whether she correctly computed the income tax payable and lastly, whether the imposition of a penalty in any amount was appropriate</w:t>
      </w:r>
      <w:r w:rsidR="00517ABA">
        <w:rPr>
          <w:rFonts w:ascii="Times New Roman" w:hAnsi="Times New Roman" w:cs="Times New Roman"/>
          <w:sz w:val="24"/>
          <w:szCs w:val="24"/>
        </w:rPr>
        <w:t xml:space="preserve">, </w:t>
      </w:r>
      <w:r w:rsidR="00FF45CE">
        <w:rPr>
          <w:rFonts w:ascii="Times New Roman" w:hAnsi="Times New Roman" w:cs="Times New Roman"/>
          <w:sz w:val="24"/>
          <w:szCs w:val="24"/>
        </w:rPr>
        <w:t xml:space="preserve">for </w:t>
      </w:r>
      <w:r w:rsidR="00465608">
        <w:rPr>
          <w:rFonts w:ascii="Times New Roman" w:hAnsi="Times New Roman" w:cs="Times New Roman"/>
          <w:sz w:val="24"/>
          <w:szCs w:val="24"/>
        </w:rPr>
        <w:t>the</w:t>
      </w:r>
      <w:r w:rsidR="003345AA">
        <w:rPr>
          <w:rFonts w:ascii="Times New Roman" w:hAnsi="Times New Roman" w:cs="Times New Roman"/>
          <w:sz w:val="24"/>
          <w:szCs w:val="24"/>
        </w:rPr>
        <w:t xml:space="preserve">se </w:t>
      </w:r>
      <w:r w:rsidR="00147D39">
        <w:rPr>
          <w:rFonts w:ascii="Times New Roman" w:hAnsi="Times New Roman" w:cs="Times New Roman"/>
          <w:sz w:val="24"/>
          <w:szCs w:val="24"/>
        </w:rPr>
        <w:t xml:space="preserve"> </w:t>
      </w:r>
      <w:r w:rsidR="006840F9">
        <w:rPr>
          <w:rFonts w:ascii="Times New Roman" w:hAnsi="Times New Roman" w:cs="Times New Roman"/>
          <w:sz w:val="24"/>
          <w:szCs w:val="24"/>
        </w:rPr>
        <w:t>tax years</w:t>
      </w:r>
      <w:r w:rsidR="00E6270B">
        <w:rPr>
          <w:rFonts w:ascii="Times New Roman" w:hAnsi="Times New Roman" w:cs="Times New Roman"/>
          <w:sz w:val="24"/>
          <w:szCs w:val="24"/>
        </w:rPr>
        <w:t xml:space="preserve">. </w:t>
      </w:r>
    </w:p>
    <w:p w:rsidR="00FA6BEB" w:rsidRPr="00F31740" w:rsidRDefault="00FA6BEB" w:rsidP="003516C2">
      <w:pPr>
        <w:spacing w:after="0" w:line="360" w:lineRule="auto"/>
        <w:jc w:val="both"/>
        <w:rPr>
          <w:rFonts w:ascii="Times New Roman" w:hAnsi="Times New Roman" w:cs="Times New Roman"/>
          <w:sz w:val="24"/>
          <w:szCs w:val="24"/>
          <w:u w:val="single"/>
        </w:rPr>
      </w:pPr>
      <w:r w:rsidRPr="00F31740">
        <w:rPr>
          <w:rFonts w:ascii="Times New Roman" w:hAnsi="Times New Roman" w:cs="Times New Roman"/>
          <w:sz w:val="24"/>
          <w:szCs w:val="24"/>
          <w:u w:val="single"/>
        </w:rPr>
        <w:t>The background facts</w:t>
      </w:r>
    </w:p>
    <w:p w:rsidR="00401055" w:rsidRDefault="00823129" w:rsidP="003516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is a local</w:t>
      </w:r>
      <w:r w:rsidR="0099000E">
        <w:rPr>
          <w:rFonts w:ascii="Times New Roman" w:hAnsi="Times New Roman" w:cs="Times New Roman"/>
          <w:sz w:val="24"/>
          <w:szCs w:val="24"/>
        </w:rPr>
        <w:t xml:space="preserve"> multinational public company </w:t>
      </w:r>
      <w:r w:rsidR="00466DF0">
        <w:rPr>
          <w:rFonts w:ascii="Times New Roman" w:hAnsi="Times New Roman" w:cs="Times New Roman"/>
          <w:sz w:val="24"/>
          <w:szCs w:val="24"/>
        </w:rPr>
        <w:t xml:space="preserve">and a major player in the hybrid seed industry </w:t>
      </w:r>
      <w:r w:rsidR="0099000E">
        <w:rPr>
          <w:rFonts w:ascii="Times New Roman" w:hAnsi="Times New Roman" w:cs="Times New Roman"/>
          <w:sz w:val="24"/>
          <w:szCs w:val="24"/>
        </w:rPr>
        <w:t xml:space="preserve">that is listed on the </w:t>
      </w:r>
      <w:r>
        <w:rPr>
          <w:rFonts w:ascii="Times New Roman" w:hAnsi="Times New Roman" w:cs="Times New Roman"/>
          <w:sz w:val="24"/>
          <w:szCs w:val="24"/>
        </w:rPr>
        <w:t>Zimbabwe Stock Exchange (ZSE or local bourse).</w:t>
      </w:r>
      <w:r w:rsidR="00517ABA">
        <w:rPr>
          <w:rFonts w:ascii="Times New Roman" w:hAnsi="Times New Roman" w:cs="Times New Roman"/>
          <w:sz w:val="24"/>
          <w:szCs w:val="24"/>
        </w:rPr>
        <w:t xml:space="preserve"> I</w:t>
      </w:r>
      <w:r>
        <w:rPr>
          <w:rFonts w:ascii="Times New Roman" w:hAnsi="Times New Roman" w:cs="Times New Roman"/>
          <w:sz w:val="24"/>
          <w:szCs w:val="24"/>
        </w:rPr>
        <w:t>t controls</w:t>
      </w:r>
      <w:r w:rsidR="00244E58">
        <w:rPr>
          <w:rFonts w:ascii="Times New Roman" w:hAnsi="Times New Roman" w:cs="Times New Roman"/>
          <w:sz w:val="24"/>
          <w:szCs w:val="24"/>
        </w:rPr>
        <w:t xml:space="preserve"> a netwo</w:t>
      </w:r>
      <w:r w:rsidR="00517ABA">
        <w:rPr>
          <w:rFonts w:ascii="Times New Roman" w:hAnsi="Times New Roman" w:cs="Times New Roman"/>
          <w:sz w:val="24"/>
          <w:szCs w:val="24"/>
        </w:rPr>
        <w:t>rk of foreign based subsidiary companies</w:t>
      </w:r>
      <w:r w:rsidR="00244E58">
        <w:rPr>
          <w:rFonts w:ascii="Times New Roman" w:hAnsi="Times New Roman" w:cs="Times New Roman"/>
          <w:sz w:val="24"/>
          <w:szCs w:val="24"/>
        </w:rPr>
        <w:t xml:space="preserve"> in which it either owns the entire or majority shareholding. </w:t>
      </w:r>
      <w:r w:rsidR="00401055">
        <w:rPr>
          <w:rFonts w:ascii="Times New Roman" w:hAnsi="Times New Roman" w:cs="Times New Roman"/>
          <w:sz w:val="24"/>
          <w:szCs w:val="24"/>
        </w:rPr>
        <w:t>These subsidiaries are incorporated</w:t>
      </w:r>
      <w:r w:rsidR="00466DF0">
        <w:rPr>
          <w:rFonts w:ascii="Times New Roman" w:hAnsi="Times New Roman" w:cs="Times New Roman"/>
          <w:sz w:val="24"/>
          <w:szCs w:val="24"/>
        </w:rPr>
        <w:t xml:space="preserve"> in </w:t>
      </w:r>
      <w:r w:rsidR="00E06E2A">
        <w:rPr>
          <w:rFonts w:ascii="Times New Roman" w:hAnsi="Times New Roman" w:cs="Times New Roman"/>
          <w:sz w:val="24"/>
          <w:szCs w:val="24"/>
        </w:rPr>
        <w:t>over 15 countries in</w:t>
      </w:r>
      <w:r w:rsidR="00466DF0">
        <w:rPr>
          <w:rFonts w:ascii="Times New Roman" w:hAnsi="Times New Roman" w:cs="Times New Roman"/>
          <w:sz w:val="24"/>
          <w:szCs w:val="24"/>
        </w:rPr>
        <w:t xml:space="preserve"> </w:t>
      </w:r>
      <w:r w:rsidR="00244E58">
        <w:rPr>
          <w:rFonts w:ascii="Times New Roman" w:hAnsi="Times New Roman" w:cs="Times New Roman"/>
          <w:sz w:val="24"/>
          <w:szCs w:val="24"/>
        </w:rPr>
        <w:t>SADC</w:t>
      </w:r>
      <w:r w:rsidR="00D361FD">
        <w:rPr>
          <w:rFonts w:ascii="Times New Roman" w:hAnsi="Times New Roman" w:cs="Times New Roman"/>
          <w:sz w:val="24"/>
          <w:szCs w:val="24"/>
        </w:rPr>
        <w:t>,</w:t>
      </w:r>
      <w:r w:rsidR="00466DF0">
        <w:rPr>
          <w:rFonts w:ascii="Times New Roman" w:hAnsi="Times New Roman" w:cs="Times New Roman"/>
          <w:sz w:val="24"/>
          <w:szCs w:val="24"/>
        </w:rPr>
        <w:t xml:space="preserve"> </w:t>
      </w:r>
      <w:r w:rsidR="00244E58">
        <w:rPr>
          <w:rFonts w:ascii="Times New Roman" w:hAnsi="Times New Roman" w:cs="Times New Roman"/>
          <w:sz w:val="24"/>
          <w:szCs w:val="24"/>
        </w:rPr>
        <w:t>COMESA</w:t>
      </w:r>
      <w:r w:rsidR="00466DF0">
        <w:rPr>
          <w:rFonts w:ascii="Times New Roman" w:hAnsi="Times New Roman" w:cs="Times New Roman"/>
          <w:sz w:val="24"/>
          <w:szCs w:val="24"/>
        </w:rPr>
        <w:t xml:space="preserve"> </w:t>
      </w:r>
      <w:r w:rsidR="00D361FD">
        <w:rPr>
          <w:rFonts w:ascii="Times New Roman" w:hAnsi="Times New Roman" w:cs="Times New Roman"/>
          <w:sz w:val="24"/>
          <w:szCs w:val="24"/>
        </w:rPr>
        <w:t>and E</w:t>
      </w:r>
      <w:r>
        <w:rPr>
          <w:rFonts w:ascii="Times New Roman" w:hAnsi="Times New Roman" w:cs="Times New Roman"/>
          <w:sz w:val="24"/>
          <w:szCs w:val="24"/>
        </w:rPr>
        <w:t>COWAS</w:t>
      </w:r>
      <w:r w:rsidR="00D361FD">
        <w:rPr>
          <w:rFonts w:ascii="Times New Roman" w:hAnsi="Times New Roman" w:cs="Times New Roman"/>
          <w:sz w:val="24"/>
          <w:szCs w:val="24"/>
        </w:rPr>
        <w:t xml:space="preserve"> and </w:t>
      </w:r>
      <w:r w:rsidR="00466DF0">
        <w:rPr>
          <w:rFonts w:ascii="Times New Roman" w:hAnsi="Times New Roman" w:cs="Times New Roman"/>
          <w:sz w:val="24"/>
          <w:szCs w:val="24"/>
        </w:rPr>
        <w:t>South S</w:t>
      </w:r>
      <w:r w:rsidR="00D361FD">
        <w:rPr>
          <w:rFonts w:ascii="Times New Roman" w:hAnsi="Times New Roman" w:cs="Times New Roman"/>
          <w:sz w:val="24"/>
          <w:szCs w:val="24"/>
        </w:rPr>
        <w:t xml:space="preserve">udan and </w:t>
      </w:r>
      <w:r w:rsidR="00466DF0">
        <w:rPr>
          <w:rFonts w:ascii="Times New Roman" w:hAnsi="Times New Roman" w:cs="Times New Roman"/>
          <w:sz w:val="24"/>
          <w:szCs w:val="24"/>
        </w:rPr>
        <w:t>E</w:t>
      </w:r>
      <w:r w:rsidR="00D361FD">
        <w:rPr>
          <w:rFonts w:ascii="Times New Roman" w:hAnsi="Times New Roman" w:cs="Times New Roman"/>
          <w:sz w:val="24"/>
          <w:szCs w:val="24"/>
        </w:rPr>
        <w:t>gypt</w:t>
      </w:r>
      <w:r w:rsidR="00F51A96">
        <w:rPr>
          <w:rFonts w:ascii="Times New Roman" w:hAnsi="Times New Roman" w:cs="Times New Roman"/>
          <w:sz w:val="24"/>
          <w:szCs w:val="24"/>
        </w:rPr>
        <w:t>.</w:t>
      </w:r>
      <w:r w:rsidR="00466DF0">
        <w:rPr>
          <w:rFonts w:ascii="Times New Roman" w:hAnsi="Times New Roman" w:cs="Times New Roman"/>
          <w:sz w:val="24"/>
          <w:szCs w:val="24"/>
        </w:rPr>
        <w:t xml:space="preserve"> </w:t>
      </w:r>
    </w:p>
    <w:p w:rsidR="004F3B6F" w:rsidRDefault="006919DE" w:rsidP="003516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is the statutory au</w:t>
      </w:r>
      <w:r w:rsidR="00F31740">
        <w:rPr>
          <w:rFonts w:ascii="Times New Roman" w:hAnsi="Times New Roman" w:cs="Times New Roman"/>
          <w:sz w:val="24"/>
          <w:szCs w:val="24"/>
        </w:rPr>
        <w:t>thority charged with the responsibility</w:t>
      </w:r>
      <w:r w:rsidR="00466DF0">
        <w:rPr>
          <w:rFonts w:ascii="Times New Roman" w:hAnsi="Times New Roman" w:cs="Times New Roman"/>
          <w:sz w:val="24"/>
          <w:szCs w:val="24"/>
        </w:rPr>
        <w:t xml:space="preserve"> of</w:t>
      </w:r>
      <w:r>
        <w:rPr>
          <w:rFonts w:ascii="Times New Roman" w:hAnsi="Times New Roman" w:cs="Times New Roman"/>
          <w:sz w:val="24"/>
          <w:szCs w:val="24"/>
        </w:rPr>
        <w:t xml:space="preserve"> collect</w:t>
      </w:r>
      <w:r w:rsidR="00466DF0">
        <w:rPr>
          <w:rFonts w:ascii="Times New Roman" w:hAnsi="Times New Roman" w:cs="Times New Roman"/>
          <w:sz w:val="24"/>
          <w:szCs w:val="24"/>
        </w:rPr>
        <w:t>ing</w:t>
      </w:r>
      <w:r>
        <w:rPr>
          <w:rFonts w:ascii="Times New Roman" w:hAnsi="Times New Roman" w:cs="Times New Roman"/>
          <w:sz w:val="24"/>
          <w:szCs w:val="24"/>
        </w:rPr>
        <w:t xml:space="preserve"> taxes from all eligible tax payers in Zimbabwe.</w:t>
      </w:r>
      <w:r w:rsidR="00401055">
        <w:rPr>
          <w:rFonts w:ascii="Times New Roman" w:hAnsi="Times New Roman" w:cs="Times New Roman"/>
          <w:sz w:val="24"/>
          <w:szCs w:val="24"/>
        </w:rPr>
        <w:t xml:space="preserve"> The key operatives who acted on its behalf in </w:t>
      </w:r>
      <w:r w:rsidR="00401055">
        <w:rPr>
          <w:rFonts w:ascii="Times New Roman" w:hAnsi="Times New Roman" w:cs="Times New Roman"/>
          <w:sz w:val="24"/>
          <w:szCs w:val="24"/>
        </w:rPr>
        <w:lastRenderedPageBreak/>
        <w:t>the present matter were a team of field investigators who worked</w:t>
      </w:r>
      <w:r w:rsidR="004F3E3D">
        <w:rPr>
          <w:rFonts w:ascii="Times New Roman" w:hAnsi="Times New Roman" w:cs="Times New Roman"/>
          <w:sz w:val="24"/>
          <w:szCs w:val="24"/>
        </w:rPr>
        <w:t xml:space="preserve"> under the command</w:t>
      </w:r>
      <w:r w:rsidR="00401055">
        <w:rPr>
          <w:rFonts w:ascii="Times New Roman" w:hAnsi="Times New Roman" w:cs="Times New Roman"/>
          <w:sz w:val="24"/>
          <w:szCs w:val="24"/>
        </w:rPr>
        <w:t xml:space="preserve"> of a case manager</w:t>
      </w:r>
      <w:r w:rsidR="005E1ABA" w:rsidRPr="005E1ABA">
        <w:rPr>
          <w:rFonts w:ascii="Times New Roman" w:hAnsi="Times New Roman" w:cs="Times New Roman"/>
          <w:sz w:val="24"/>
          <w:szCs w:val="24"/>
        </w:rPr>
        <w:t xml:space="preserve"> </w:t>
      </w:r>
      <w:r w:rsidR="005E1ABA">
        <w:rPr>
          <w:rFonts w:ascii="Times New Roman" w:hAnsi="Times New Roman" w:cs="Times New Roman"/>
          <w:sz w:val="24"/>
          <w:szCs w:val="24"/>
        </w:rPr>
        <w:t>in charge of the compliance section of complex multinational enterprises transactions</w:t>
      </w:r>
      <w:r w:rsidR="00401055">
        <w:rPr>
          <w:rFonts w:ascii="Times New Roman" w:hAnsi="Times New Roman" w:cs="Times New Roman"/>
          <w:sz w:val="24"/>
          <w:szCs w:val="24"/>
        </w:rPr>
        <w:t xml:space="preserve">, who in turn </w:t>
      </w:r>
      <w:r w:rsidR="004F3E3D">
        <w:rPr>
          <w:rFonts w:ascii="Times New Roman" w:hAnsi="Times New Roman" w:cs="Times New Roman"/>
          <w:sz w:val="24"/>
          <w:szCs w:val="24"/>
        </w:rPr>
        <w:t>reported to</w:t>
      </w:r>
      <w:r w:rsidR="00401055">
        <w:rPr>
          <w:rFonts w:ascii="Times New Roman" w:hAnsi="Times New Roman" w:cs="Times New Roman"/>
          <w:sz w:val="24"/>
          <w:szCs w:val="24"/>
        </w:rPr>
        <w:t xml:space="preserve"> the Commissioner for Investigations and International Affairs. </w:t>
      </w:r>
      <w:r w:rsidR="004F3B6F">
        <w:rPr>
          <w:rFonts w:ascii="Times New Roman" w:hAnsi="Times New Roman" w:cs="Times New Roman"/>
          <w:sz w:val="24"/>
          <w:szCs w:val="24"/>
        </w:rPr>
        <w:t xml:space="preserve">I will, in this judgment, impute the conduct of the investigators to the case manager. </w:t>
      </w:r>
      <w:r w:rsidR="005E1ABA">
        <w:rPr>
          <w:rFonts w:ascii="Times New Roman" w:hAnsi="Times New Roman" w:cs="Times New Roman"/>
          <w:sz w:val="24"/>
          <w:szCs w:val="24"/>
        </w:rPr>
        <w:t xml:space="preserve"> </w:t>
      </w:r>
    </w:p>
    <w:p w:rsidR="00F31740" w:rsidRDefault="005578B9" w:rsidP="003516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A26260">
        <w:rPr>
          <w:rFonts w:ascii="Times New Roman" w:hAnsi="Times New Roman" w:cs="Times New Roman"/>
          <w:sz w:val="24"/>
          <w:szCs w:val="24"/>
        </w:rPr>
        <w:t>n</w:t>
      </w:r>
      <w:r w:rsidR="00A42D26">
        <w:rPr>
          <w:rFonts w:ascii="Times New Roman" w:hAnsi="Times New Roman" w:cs="Times New Roman"/>
          <w:sz w:val="24"/>
          <w:szCs w:val="24"/>
        </w:rPr>
        <w:t xml:space="preserve"> 2012</w:t>
      </w:r>
      <w:r w:rsidR="004F3B6F">
        <w:rPr>
          <w:rFonts w:ascii="Times New Roman" w:hAnsi="Times New Roman" w:cs="Times New Roman"/>
          <w:sz w:val="24"/>
          <w:szCs w:val="24"/>
        </w:rPr>
        <w:t xml:space="preserve">, the case manager </w:t>
      </w:r>
      <w:r w:rsidR="00D84057">
        <w:rPr>
          <w:rFonts w:ascii="Times New Roman" w:hAnsi="Times New Roman" w:cs="Times New Roman"/>
          <w:sz w:val="24"/>
          <w:szCs w:val="24"/>
        </w:rPr>
        <w:t xml:space="preserve">audited the tax affairs of </w:t>
      </w:r>
      <w:r w:rsidR="00E06E2A">
        <w:rPr>
          <w:rFonts w:ascii="Times New Roman" w:hAnsi="Times New Roman" w:cs="Times New Roman"/>
          <w:sz w:val="24"/>
          <w:szCs w:val="24"/>
        </w:rPr>
        <w:t>SD</w:t>
      </w:r>
      <w:r w:rsidR="00D951A7">
        <w:rPr>
          <w:rFonts w:ascii="Times New Roman" w:hAnsi="Times New Roman" w:cs="Times New Roman"/>
          <w:sz w:val="24"/>
          <w:szCs w:val="24"/>
        </w:rPr>
        <w:t>Z (Pvt) Ltd (</w:t>
      </w:r>
      <w:r w:rsidR="00D84057">
        <w:rPr>
          <w:rFonts w:ascii="Times New Roman" w:hAnsi="Times New Roman" w:cs="Times New Roman"/>
          <w:sz w:val="24"/>
          <w:szCs w:val="24"/>
        </w:rPr>
        <w:t>the</w:t>
      </w:r>
      <w:r w:rsidR="006919DE">
        <w:rPr>
          <w:rFonts w:ascii="Times New Roman" w:hAnsi="Times New Roman" w:cs="Times New Roman"/>
          <w:sz w:val="24"/>
          <w:szCs w:val="24"/>
        </w:rPr>
        <w:t xml:space="preserve"> </w:t>
      </w:r>
      <w:r w:rsidR="00466DF0">
        <w:rPr>
          <w:rFonts w:ascii="Times New Roman" w:hAnsi="Times New Roman" w:cs="Times New Roman"/>
          <w:sz w:val="24"/>
          <w:szCs w:val="24"/>
        </w:rPr>
        <w:t>appellant’</w:t>
      </w:r>
      <w:r w:rsidR="00D84057">
        <w:rPr>
          <w:rFonts w:ascii="Times New Roman" w:hAnsi="Times New Roman" w:cs="Times New Roman"/>
          <w:sz w:val="24"/>
          <w:szCs w:val="24"/>
        </w:rPr>
        <w:t>s flagship local</w:t>
      </w:r>
      <w:r w:rsidR="00D951A7">
        <w:rPr>
          <w:rFonts w:ascii="Times New Roman" w:hAnsi="Times New Roman" w:cs="Times New Roman"/>
          <w:sz w:val="24"/>
          <w:szCs w:val="24"/>
        </w:rPr>
        <w:t xml:space="preserve"> subsidiary-</w:t>
      </w:r>
      <w:r w:rsidR="004F3B6F">
        <w:rPr>
          <w:rFonts w:ascii="Times New Roman" w:hAnsi="Times New Roman" w:cs="Times New Roman"/>
          <w:sz w:val="24"/>
          <w:szCs w:val="24"/>
        </w:rPr>
        <w:t xml:space="preserve"> </w:t>
      </w:r>
      <w:r w:rsidR="00D951A7">
        <w:rPr>
          <w:rFonts w:ascii="Times New Roman" w:hAnsi="Times New Roman" w:cs="Times New Roman"/>
          <w:sz w:val="24"/>
          <w:szCs w:val="24"/>
        </w:rPr>
        <w:t xml:space="preserve">the </w:t>
      </w:r>
      <w:r w:rsidR="004F3B6F">
        <w:rPr>
          <w:rFonts w:ascii="Times New Roman" w:hAnsi="Times New Roman" w:cs="Times New Roman"/>
          <w:sz w:val="24"/>
          <w:szCs w:val="24"/>
        </w:rPr>
        <w:t>flagship</w:t>
      </w:r>
      <w:r w:rsidR="00D951A7">
        <w:rPr>
          <w:rFonts w:ascii="Times New Roman" w:hAnsi="Times New Roman" w:cs="Times New Roman"/>
          <w:sz w:val="24"/>
          <w:szCs w:val="24"/>
        </w:rPr>
        <w:t>)</w:t>
      </w:r>
      <w:r w:rsidR="004F3B6F">
        <w:rPr>
          <w:rFonts w:ascii="Times New Roman" w:hAnsi="Times New Roman" w:cs="Times New Roman"/>
          <w:sz w:val="24"/>
          <w:szCs w:val="24"/>
        </w:rPr>
        <w:t xml:space="preserve">, </w:t>
      </w:r>
      <w:r w:rsidR="00D84057">
        <w:rPr>
          <w:rFonts w:ascii="Times New Roman" w:hAnsi="Times New Roman" w:cs="Times New Roman"/>
          <w:sz w:val="24"/>
          <w:szCs w:val="24"/>
        </w:rPr>
        <w:t>for the 2009 to 2012 tax years. A series of transactions</w:t>
      </w:r>
      <w:r w:rsidR="00A7378E">
        <w:rPr>
          <w:rFonts w:ascii="Times New Roman" w:hAnsi="Times New Roman" w:cs="Times New Roman"/>
          <w:sz w:val="24"/>
          <w:szCs w:val="24"/>
        </w:rPr>
        <w:t xml:space="preserve"> covering management fees and royalties</w:t>
      </w:r>
      <w:r w:rsidR="004F3B6F">
        <w:rPr>
          <w:rFonts w:ascii="Times New Roman" w:hAnsi="Times New Roman" w:cs="Times New Roman"/>
          <w:sz w:val="24"/>
          <w:szCs w:val="24"/>
        </w:rPr>
        <w:t xml:space="preserve"> between </w:t>
      </w:r>
      <w:r w:rsidR="00D951A7">
        <w:rPr>
          <w:rFonts w:ascii="Times New Roman" w:hAnsi="Times New Roman" w:cs="Times New Roman"/>
          <w:sz w:val="24"/>
          <w:szCs w:val="24"/>
        </w:rPr>
        <w:t xml:space="preserve">the </w:t>
      </w:r>
      <w:r w:rsidR="004F3B6F">
        <w:rPr>
          <w:rFonts w:ascii="Times New Roman" w:hAnsi="Times New Roman" w:cs="Times New Roman"/>
          <w:sz w:val="24"/>
          <w:szCs w:val="24"/>
        </w:rPr>
        <w:t>flagship</w:t>
      </w:r>
      <w:r w:rsidR="00D84057">
        <w:rPr>
          <w:rFonts w:ascii="Times New Roman" w:hAnsi="Times New Roman" w:cs="Times New Roman"/>
          <w:sz w:val="24"/>
          <w:szCs w:val="24"/>
        </w:rPr>
        <w:t xml:space="preserve"> and </w:t>
      </w:r>
      <w:r w:rsidR="00F31740">
        <w:rPr>
          <w:rFonts w:ascii="Times New Roman" w:hAnsi="Times New Roman" w:cs="Times New Roman"/>
          <w:sz w:val="24"/>
          <w:szCs w:val="24"/>
        </w:rPr>
        <w:t>some of the</w:t>
      </w:r>
      <w:r w:rsidR="00D84057">
        <w:rPr>
          <w:rFonts w:ascii="Times New Roman" w:hAnsi="Times New Roman" w:cs="Times New Roman"/>
          <w:sz w:val="24"/>
          <w:szCs w:val="24"/>
        </w:rPr>
        <w:t xml:space="preserve"> foreign subsidiaries </w:t>
      </w:r>
      <w:r w:rsidR="00490941">
        <w:rPr>
          <w:rFonts w:ascii="Times New Roman" w:hAnsi="Times New Roman" w:cs="Times New Roman"/>
          <w:sz w:val="24"/>
          <w:szCs w:val="24"/>
        </w:rPr>
        <w:t xml:space="preserve">in the same period </w:t>
      </w:r>
      <w:r w:rsidR="00D951A7">
        <w:rPr>
          <w:rFonts w:ascii="Times New Roman" w:hAnsi="Times New Roman" w:cs="Times New Roman"/>
          <w:sz w:val="24"/>
          <w:szCs w:val="24"/>
        </w:rPr>
        <w:t xml:space="preserve">activated </w:t>
      </w:r>
      <w:r w:rsidR="008D321A">
        <w:rPr>
          <w:rFonts w:ascii="Times New Roman" w:hAnsi="Times New Roman" w:cs="Times New Roman"/>
          <w:sz w:val="24"/>
          <w:szCs w:val="24"/>
        </w:rPr>
        <w:t xml:space="preserve">the </w:t>
      </w:r>
      <w:r w:rsidR="00D951A7">
        <w:rPr>
          <w:rFonts w:ascii="Times New Roman" w:hAnsi="Times New Roman" w:cs="Times New Roman"/>
          <w:sz w:val="24"/>
          <w:szCs w:val="24"/>
        </w:rPr>
        <w:t>tax review</w:t>
      </w:r>
      <w:r w:rsidR="009B68F5">
        <w:rPr>
          <w:rFonts w:ascii="Times New Roman" w:hAnsi="Times New Roman" w:cs="Times New Roman"/>
          <w:sz w:val="24"/>
          <w:szCs w:val="24"/>
        </w:rPr>
        <w:t xml:space="preserve"> of the appellant</w:t>
      </w:r>
      <w:r w:rsidR="00D00DEF">
        <w:rPr>
          <w:rFonts w:ascii="Times New Roman" w:hAnsi="Times New Roman" w:cs="Times New Roman"/>
          <w:sz w:val="24"/>
          <w:szCs w:val="24"/>
        </w:rPr>
        <w:t xml:space="preserve"> </w:t>
      </w:r>
      <w:r w:rsidR="00F40858">
        <w:rPr>
          <w:rFonts w:ascii="Times New Roman" w:hAnsi="Times New Roman" w:cs="Times New Roman"/>
          <w:sz w:val="24"/>
          <w:szCs w:val="24"/>
        </w:rPr>
        <w:t>in October 2012</w:t>
      </w:r>
      <w:r w:rsidR="00D84784">
        <w:rPr>
          <w:rFonts w:ascii="Times New Roman" w:hAnsi="Times New Roman" w:cs="Times New Roman"/>
          <w:sz w:val="24"/>
          <w:szCs w:val="24"/>
        </w:rPr>
        <w:t>.</w:t>
      </w:r>
      <w:r w:rsidR="00F40858">
        <w:rPr>
          <w:rStyle w:val="FootnoteReference"/>
          <w:rFonts w:ascii="Times New Roman" w:hAnsi="Times New Roman" w:cs="Times New Roman"/>
          <w:sz w:val="24"/>
          <w:szCs w:val="24"/>
        </w:rPr>
        <w:footnoteReference w:id="1"/>
      </w:r>
      <w:r w:rsidR="003A1FEF">
        <w:rPr>
          <w:rFonts w:ascii="Times New Roman" w:hAnsi="Times New Roman" w:cs="Times New Roman"/>
          <w:sz w:val="24"/>
          <w:szCs w:val="24"/>
        </w:rPr>
        <w:t xml:space="preserve"> </w:t>
      </w:r>
      <w:r w:rsidR="009B68F5">
        <w:rPr>
          <w:rFonts w:ascii="Times New Roman" w:hAnsi="Times New Roman" w:cs="Times New Roman"/>
          <w:sz w:val="24"/>
          <w:szCs w:val="24"/>
        </w:rPr>
        <w:t xml:space="preserve">It was common cause that </w:t>
      </w:r>
      <w:r w:rsidR="00792026">
        <w:rPr>
          <w:rFonts w:ascii="Times New Roman" w:hAnsi="Times New Roman" w:cs="Times New Roman"/>
          <w:sz w:val="24"/>
          <w:szCs w:val="24"/>
        </w:rPr>
        <w:t>t</w:t>
      </w:r>
      <w:r w:rsidR="00933676">
        <w:rPr>
          <w:rFonts w:ascii="Times New Roman" w:hAnsi="Times New Roman" w:cs="Times New Roman"/>
          <w:sz w:val="24"/>
          <w:szCs w:val="24"/>
        </w:rPr>
        <w:t xml:space="preserve">he appellant had not </w:t>
      </w:r>
      <w:r w:rsidR="00583337">
        <w:rPr>
          <w:rFonts w:ascii="Times New Roman" w:hAnsi="Times New Roman" w:cs="Times New Roman"/>
          <w:sz w:val="24"/>
          <w:szCs w:val="24"/>
        </w:rPr>
        <w:t>been submitting</w:t>
      </w:r>
      <w:r w:rsidR="00933676">
        <w:rPr>
          <w:rFonts w:ascii="Times New Roman" w:hAnsi="Times New Roman" w:cs="Times New Roman"/>
          <w:sz w:val="24"/>
          <w:szCs w:val="24"/>
        </w:rPr>
        <w:t xml:space="preserve"> any tax returns </w:t>
      </w:r>
      <w:r w:rsidR="005F5122">
        <w:rPr>
          <w:rFonts w:ascii="Times New Roman" w:hAnsi="Times New Roman" w:cs="Times New Roman"/>
          <w:sz w:val="24"/>
          <w:szCs w:val="24"/>
        </w:rPr>
        <w:t>for the</w:t>
      </w:r>
      <w:r w:rsidR="008D321A">
        <w:rPr>
          <w:rFonts w:ascii="Times New Roman" w:hAnsi="Times New Roman" w:cs="Times New Roman"/>
          <w:sz w:val="24"/>
          <w:szCs w:val="24"/>
        </w:rPr>
        <w:t xml:space="preserve"> 2009 to 2012 tax years</w:t>
      </w:r>
      <w:r w:rsidR="00583337">
        <w:rPr>
          <w:rFonts w:ascii="Times New Roman" w:hAnsi="Times New Roman" w:cs="Times New Roman"/>
          <w:sz w:val="24"/>
          <w:szCs w:val="24"/>
        </w:rPr>
        <w:t xml:space="preserve">. </w:t>
      </w:r>
    </w:p>
    <w:p w:rsidR="003516C2" w:rsidRDefault="00140EDA" w:rsidP="003516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and the case manager</w:t>
      </w:r>
      <w:r w:rsidR="00561007">
        <w:rPr>
          <w:rFonts w:ascii="Times New Roman" w:hAnsi="Times New Roman" w:cs="Times New Roman"/>
          <w:sz w:val="24"/>
          <w:szCs w:val="24"/>
        </w:rPr>
        <w:t xml:space="preserve"> held various meetings and exchange</w:t>
      </w:r>
      <w:r w:rsidR="00F64050">
        <w:rPr>
          <w:rFonts w:ascii="Times New Roman" w:hAnsi="Times New Roman" w:cs="Times New Roman"/>
          <w:sz w:val="24"/>
          <w:szCs w:val="24"/>
        </w:rPr>
        <w:t>d</w:t>
      </w:r>
      <w:r w:rsidR="00561007">
        <w:rPr>
          <w:rFonts w:ascii="Times New Roman" w:hAnsi="Times New Roman" w:cs="Times New Roman"/>
          <w:sz w:val="24"/>
          <w:szCs w:val="24"/>
        </w:rPr>
        <w:t xml:space="preserve"> </w:t>
      </w:r>
      <w:r w:rsidR="00F879DE">
        <w:rPr>
          <w:rFonts w:ascii="Times New Roman" w:hAnsi="Times New Roman" w:cs="Times New Roman"/>
          <w:sz w:val="24"/>
          <w:szCs w:val="24"/>
        </w:rPr>
        <w:t xml:space="preserve">numerous </w:t>
      </w:r>
      <w:r w:rsidR="00561007">
        <w:rPr>
          <w:rFonts w:ascii="Times New Roman" w:hAnsi="Times New Roman" w:cs="Times New Roman"/>
          <w:sz w:val="24"/>
          <w:szCs w:val="24"/>
        </w:rPr>
        <w:t>documents, correspondence and e-mails during the course of the investigations</w:t>
      </w:r>
      <w:r>
        <w:rPr>
          <w:rFonts w:ascii="Times New Roman" w:hAnsi="Times New Roman" w:cs="Times New Roman"/>
          <w:sz w:val="24"/>
          <w:szCs w:val="24"/>
        </w:rPr>
        <w:t>, which culminated in</w:t>
      </w:r>
      <w:r w:rsidR="00F64050">
        <w:rPr>
          <w:rFonts w:ascii="Times New Roman" w:hAnsi="Times New Roman" w:cs="Times New Roman"/>
          <w:sz w:val="24"/>
          <w:szCs w:val="24"/>
        </w:rPr>
        <w:t xml:space="preserve"> the issuance of the notices of assessment on 25 November 2013. </w:t>
      </w:r>
      <w:r w:rsidR="00DA28F3">
        <w:rPr>
          <w:rFonts w:ascii="Times New Roman" w:hAnsi="Times New Roman" w:cs="Times New Roman"/>
          <w:sz w:val="24"/>
          <w:szCs w:val="24"/>
        </w:rPr>
        <w:t>The appellant was represented by its public office</w:t>
      </w:r>
      <w:r w:rsidR="00513CB2">
        <w:rPr>
          <w:rFonts w:ascii="Times New Roman" w:hAnsi="Times New Roman" w:cs="Times New Roman"/>
          <w:sz w:val="24"/>
          <w:szCs w:val="24"/>
        </w:rPr>
        <w:t>r</w:t>
      </w:r>
      <w:r w:rsidR="00DA28F3">
        <w:rPr>
          <w:rFonts w:ascii="Times New Roman" w:hAnsi="Times New Roman" w:cs="Times New Roman"/>
          <w:sz w:val="24"/>
          <w:szCs w:val="24"/>
        </w:rPr>
        <w:t xml:space="preserve"> and Group Financial Director</w:t>
      </w:r>
      <w:r w:rsidR="004C1F16">
        <w:rPr>
          <w:rFonts w:ascii="Times New Roman" w:hAnsi="Times New Roman" w:cs="Times New Roman"/>
          <w:sz w:val="24"/>
          <w:szCs w:val="24"/>
        </w:rPr>
        <w:t xml:space="preserve"> (GFD)</w:t>
      </w:r>
      <w:r w:rsidR="00DA28F3">
        <w:rPr>
          <w:rFonts w:ascii="Times New Roman" w:hAnsi="Times New Roman" w:cs="Times New Roman"/>
          <w:sz w:val="24"/>
          <w:szCs w:val="24"/>
        </w:rPr>
        <w:t>, JM, who was accompanied either by the Group Chief Executive Officer</w:t>
      </w:r>
      <w:r w:rsidR="004C1F16">
        <w:rPr>
          <w:rFonts w:ascii="Times New Roman" w:hAnsi="Times New Roman" w:cs="Times New Roman"/>
          <w:sz w:val="24"/>
          <w:szCs w:val="24"/>
        </w:rPr>
        <w:t xml:space="preserve"> (GCEO)</w:t>
      </w:r>
      <w:r w:rsidR="00DA28F3">
        <w:rPr>
          <w:rFonts w:ascii="Times New Roman" w:hAnsi="Times New Roman" w:cs="Times New Roman"/>
          <w:sz w:val="24"/>
          <w:szCs w:val="24"/>
        </w:rPr>
        <w:t xml:space="preserve"> MN, or representatives of either of its two tax consulting firms</w:t>
      </w:r>
      <w:r w:rsidR="004C1F16">
        <w:rPr>
          <w:rFonts w:ascii="Times New Roman" w:hAnsi="Times New Roman" w:cs="Times New Roman"/>
          <w:sz w:val="24"/>
          <w:szCs w:val="24"/>
        </w:rPr>
        <w:t xml:space="preserve"> (</w:t>
      </w:r>
      <w:r w:rsidR="00DA28F3">
        <w:rPr>
          <w:rFonts w:ascii="Times New Roman" w:hAnsi="Times New Roman" w:cs="Times New Roman"/>
          <w:sz w:val="24"/>
          <w:szCs w:val="24"/>
        </w:rPr>
        <w:t>the consultants</w:t>
      </w:r>
      <w:r w:rsidR="004C1F16">
        <w:rPr>
          <w:rFonts w:ascii="Times New Roman" w:hAnsi="Times New Roman" w:cs="Times New Roman"/>
          <w:sz w:val="24"/>
          <w:szCs w:val="24"/>
        </w:rPr>
        <w:t>)</w:t>
      </w:r>
      <w:r w:rsidR="00DA28F3">
        <w:rPr>
          <w:rFonts w:ascii="Times New Roman" w:hAnsi="Times New Roman" w:cs="Times New Roman"/>
          <w:sz w:val="24"/>
          <w:szCs w:val="24"/>
        </w:rPr>
        <w:t xml:space="preserve">. </w:t>
      </w:r>
      <w:r w:rsidR="00F64050">
        <w:rPr>
          <w:rFonts w:ascii="Times New Roman" w:hAnsi="Times New Roman" w:cs="Times New Roman"/>
          <w:sz w:val="24"/>
          <w:szCs w:val="24"/>
        </w:rPr>
        <w:t>The interactions between the</w:t>
      </w:r>
      <w:r w:rsidR="00DA28F3">
        <w:rPr>
          <w:rFonts w:ascii="Times New Roman" w:hAnsi="Times New Roman" w:cs="Times New Roman"/>
          <w:sz w:val="24"/>
          <w:szCs w:val="24"/>
        </w:rPr>
        <w:t xml:space="preserve"> parties, however, continued into the objection and appeal stages</w:t>
      </w:r>
      <w:r w:rsidR="00F879DE">
        <w:rPr>
          <w:rFonts w:ascii="Times New Roman" w:hAnsi="Times New Roman" w:cs="Times New Roman"/>
          <w:sz w:val="24"/>
          <w:szCs w:val="24"/>
        </w:rPr>
        <w:t>.</w:t>
      </w:r>
    </w:p>
    <w:p w:rsidR="00E237B5" w:rsidRDefault="00B07029" w:rsidP="003516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manager attached </w:t>
      </w:r>
      <w:r w:rsidR="00BC3A7E">
        <w:rPr>
          <w:rFonts w:ascii="Times New Roman" w:hAnsi="Times New Roman" w:cs="Times New Roman"/>
          <w:sz w:val="24"/>
          <w:szCs w:val="24"/>
        </w:rPr>
        <w:t xml:space="preserve">to the notices of assessment of 25 November 2013, </w:t>
      </w:r>
      <w:r>
        <w:rPr>
          <w:rFonts w:ascii="Times New Roman" w:hAnsi="Times New Roman" w:cs="Times New Roman"/>
          <w:sz w:val="24"/>
          <w:szCs w:val="24"/>
        </w:rPr>
        <w:t>schedules of his computations of the cumulative income tax due, interest and penalty at the rate of 60% in the aggregate sum of US$5 726 090.02, for the period in question</w:t>
      </w:r>
      <w:r w:rsidR="00156834">
        <w:rPr>
          <w:rFonts w:ascii="Times New Roman" w:hAnsi="Times New Roman" w:cs="Times New Roman"/>
          <w:sz w:val="24"/>
          <w:szCs w:val="24"/>
        </w:rPr>
        <w:t xml:space="preserve">. </w:t>
      </w:r>
      <w:r w:rsidR="003C6B9D">
        <w:rPr>
          <w:rFonts w:ascii="Times New Roman" w:hAnsi="Times New Roman" w:cs="Times New Roman"/>
          <w:sz w:val="24"/>
          <w:szCs w:val="24"/>
        </w:rPr>
        <w:t xml:space="preserve"> </w:t>
      </w:r>
    </w:p>
    <w:p w:rsidR="008A69F0" w:rsidRDefault="00BC3A7E" w:rsidP="003516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e-mail of 23 December 2013, the appellant objected to the notices of assessment to the Commissioner. </w:t>
      </w:r>
      <w:r w:rsidR="006E7581" w:rsidRPr="00994D0F">
        <w:rPr>
          <w:rFonts w:ascii="Times New Roman" w:hAnsi="Times New Roman" w:cs="Times New Roman"/>
          <w:sz w:val="24"/>
          <w:szCs w:val="24"/>
        </w:rPr>
        <w:t xml:space="preserve">The objection was predicated </w:t>
      </w:r>
      <w:r w:rsidR="00994D0F" w:rsidRPr="00994D0F">
        <w:rPr>
          <w:rFonts w:ascii="Times New Roman" w:hAnsi="Times New Roman" w:cs="Times New Roman"/>
          <w:sz w:val="24"/>
          <w:szCs w:val="24"/>
        </w:rPr>
        <w:t xml:space="preserve">upon </w:t>
      </w:r>
      <w:r w:rsidR="00FB39E4" w:rsidRPr="00994D0F">
        <w:rPr>
          <w:rFonts w:ascii="Times New Roman" w:hAnsi="Times New Roman" w:cs="Times New Roman"/>
          <w:sz w:val="24"/>
          <w:szCs w:val="24"/>
        </w:rPr>
        <w:t xml:space="preserve">the application of </w:t>
      </w:r>
      <w:r w:rsidR="00994D0F">
        <w:rPr>
          <w:rFonts w:ascii="Times New Roman" w:hAnsi="Times New Roman" w:cs="Times New Roman"/>
          <w:sz w:val="24"/>
          <w:szCs w:val="24"/>
        </w:rPr>
        <w:t xml:space="preserve">the OECD TPGs </w:t>
      </w:r>
      <w:r w:rsidR="00FB39E4" w:rsidRPr="00994D0F">
        <w:rPr>
          <w:rFonts w:ascii="Times New Roman" w:hAnsi="Times New Roman" w:cs="Times New Roman"/>
          <w:sz w:val="24"/>
          <w:szCs w:val="24"/>
        </w:rPr>
        <w:t xml:space="preserve">to </w:t>
      </w:r>
      <w:r w:rsidR="006E7581" w:rsidRPr="00994D0F">
        <w:rPr>
          <w:rFonts w:ascii="Times New Roman" w:hAnsi="Times New Roman" w:cs="Times New Roman"/>
          <w:sz w:val="24"/>
          <w:szCs w:val="24"/>
        </w:rPr>
        <w:t>the jurisdictional facts in s 98 of the Income Tax Act</w:t>
      </w:r>
      <w:r w:rsidR="00FB39E4" w:rsidRPr="00994D0F">
        <w:rPr>
          <w:rFonts w:ascii="Times New Roman" w:hAnsi="Times New Roman" w:cs="Times New Roman"/>
          <w:sz w:val="24"/>
          <w:szCs w:val="24"/>
        </w:rPr>
        <w:t xml:space="preserve">. </w:t>
      </w:r>
      <w:r w:rsidR="006E7581" w:rsidRPr="00994D0F">
        <w:rPr>
          <w:rFonts w:ascii="Times New Roman" w:hAnsi="Times New Roman" w:cs="Times New Roman"/>
          <w:sz w:val="24"/>
          <w:szCs w:val="24"/>
        </w:rPr>
        <w:t xml:space="preserve"> </w:t>
      </w:r>
      <w:r>
        <w:rPr>
          <w:rFonts w:ascii="Times New Roman" w:hAnsi="Times New Roman" w:cs="Times New Roman"/>
          <w:sz w:val="24"/>
          <w:szCs w:val="24"/>
        </w:rPr>
        <w:t xml:space="preserve">On 7 May 2014, the Commissioner disallowed the </w:t>
      </w:r>
      <w:r w:rsidR="00CC2373">
        <w:rPr>
          <w:rFonts w:ascii="Times New Roman" w:hAnsi="Times New Roman" w:cs="Times New Roman"/>
          <w:sz w:val="24"/>
          <w:szCs w:val="24"/>
        </w:rPr>
        <w:t xml:space="preserve">seven general and two specific </w:t>
      </w:r>
      <w:r>
        <w:rPr>
          <w:rFonts w:ascii="Times New Roman" w:hAnsi="Times New Roman" w:cs="Times New Roman"/>
          <w:sz w:val="24"/>
          <w:szCs w:val="24"/>
        </w:rPr>
        <w:t>objection</w:t>
      </w:r>
      <w:r w:rsidR="00CC2373">
        <w:rPr>
          <w:rFonts w:ascii="Times New Roman" w:hAnsi="Times New Roman" w:cs="Times New Roman"/>
          <w:sz w:val="24"/>
          <w:szCs w:val="24"/>
        </w:rPr>
        <w:t>s raised in respect of income tax in their</w:t>
      </w:r>
      <w:r w:rsidR="000D41F9">
        <w:rPr>
          <w:rFonts w:ascii="Times New Roman" w:hAnsi="Times New Roman" w:cs="Times New Roman"/>
          <w:sz w:val="24"/>
          <w:szCs w:val="24"/>
        </w:rPr>
        <w:t xml:space="preserve"> entirety and increased the penalty, imp</w:t>
      </w:r>
      <w:r w:rsidR="00FB39E4">
        <w:rPr>
          <w:rFonts w:ascii="Times New Roman" w:hAnsi="Times New Roman" w:cs="Times New Roman"/>
          <w:sz w:val="24"/>
          <w:szCs w:val="24"/>
        </w:rPr>
        <w:t>osed by the case manager</w:t>
      </w:r>
      <w:r w:rsidR="000D41F9">
        <w:rPr>
          <w:rFonts w:ascii="Times New Roman" w:hAnsi="Times New Roman" w:cs="Times New Roman"/>
          <w:sz w:val="24"/>
          <w:szCs w:val="24"/>
        </w:rPr>
        <w:t xml:space="preserve"> to 100%</w:t>
      </w:r>
      <w:r w:rsidR="008A69F0">
        <w:rPr>
          <w:rFonts w:ascii="Times New Roman" w:hAnsi="Times New Roman" w:cs="Times New Roman"/>
          <w:sz w:val="24"/>
          <w:szCs w:val="24"/>
        </w:rPr>
        <w:t>.</w:t>
      </w:r>
      <w:r w:rsidR="005E7593">
        <w:rPr>
          <w:rFonts w:ascii="Times New Roman" w:hAnsi="Times New Roman" w:cs="Times New Roman"/>
          <w:sz w:val="24"/>
          <w:szCs w:val="24"/>
        </w:rPr>
        <w:t xml:space="preserve"> </w:t>
      </w:r>
    </w:p>
    <w:p w:rsidR="00F33C33" w:rsidRDefault="006028A4" w:rsidP="003516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held that s 98 of the Income Tax Act was correctly invoked on the adjustments to management fees and royalties. </w:t>
      </w:r>
      <w:r w:rsidR="004B3BCF">
        <w:rPr>
          <w:rFonts w:ascii="Times New Roman" w:hAnsi="Times New Roman" w:cs="Times New Roman"/>
          <w:sz w:val="24"/>
          <w:szCs w:val="24"/>
        </w:rPr>
        <w:t xml:space="preserve">She characterized the housing of the head office function in the flagship to be a </w:t>
      </w:r>
      <w:r w:rsidR="00915EB0">
        <w:rPr>
          <w:rFonts w:ascii="Times New Roman" w:hAnsi="Times New Roman" w:cs="Times New Roman"/>
          <w:sz w:val="24"/>
          <w:szCs w:val="24"/>
        </w:rPr>
        <w:t>transaction, operation or scheme (</w:t>
      </w:r>
      <w:r w:rsidR="004B3BCF">
        <w:rPr>
          <w:rFonts w:ascii="Times New Roman" w:hAnsi="Times New Roman" w:cs="Times New Roman"/>
          <w:sz w:val="24"/>
          <w:szCs w:val="24"/>
        </w:rPr>
        <w:t>TOS</w:t>
      </w:r>
      <w:r w:rsidR="00915EB0">
        <w:rPr>
          <w:rFonts w:ascii="Times New Roman" w:hAnsi="Times New Roman" w:cs="Times New Roman"/>
          <w:sz w:val="24"/>
          <w:szCs w:val="24"/>
        </w:rPr>
        <w:t>)</w:t>
      </w:r>
      <w:r w:rsidR="00CC2373">
        <w:rPr>
          <w:rFonts w:ascii="Times New Roman" w:hAnsi="Times New Roman" w:cs="Times New Roman"/>
          <w:sz w:val="24"/>
          <w:szCs w:val="24"/>
        </w:rPr>
        <w:t>, which, firstly, had the effect of either avoiding or reducing the appellant’s tax liability</w:t>
      </w:r>
      <w:r w:rsidR="004B3BCF">
        <w:rPr>
          <w:rFonts w:ascii="Times New Roman" w:hAnsi="Times New Roman" w:cs="Times New Roman"/>
          <w:sz w:val="24"/>
          <w:szCs w:val="24"/>
        </w:rPr>
        <w:t xml:space="preserve">, </w:t>
      </w:r>
      <w:r w:rsidR="00CC2373">
        <w:rPr>
          <w:rFonts w:ascii="Times New Roman" w:hAnsi="Times New Roman" w:cs="Times New Roman"/>
          <w:sz w:val="24"/>
          <w:szCs w:val="24"/>
        </w:rPr>
        <w:t xml:space="preserve">secondly, </w:t>
      </w:r>
      <w:r w:rsidR="004B3BCF">
        <w:rPr>
          <w:rFonts w:ascii="Times New Roman" w:hAnsi="Times New Roman" w:cs="Times New Roman"/>
          <w:sz w:val="24"/>
          <w:szCs w:val="24"/>
        </w:rPr>
        <w:t>created abnormal rights and obligations not usually created between independent parti</w:t>
      </w:r>
      <w:r w:rsidR="00CC2373">
        <w:rPr>
          <w:rFonts w:ascii="Times New Roman" w:hAnsi="Times New Roman" w:cs="Times New Roman"/>
          <w:sz w:val="24"/>
          <w:szCs w:val="24"/>
        </w:rPr>
        <w:t>es in comparable circumstances, thirdly,</w:t>
      </w:r>
      <w:r w:rsidR="00954489">
        <w:rPr>
          <w:rFonts w:ascii="Times New Roman" w:hAnsi="Times New Roman" w:cs="Times New Roman"/>
          <w:sz w:val="24"/>
          <w:szCs w:val="24"/>
        </w:rPr>
        <w:t xml:space="preserve"> notwithstanding the purported divest</w:t>
      </w:r>
      <w:r w:rsidR="00B31666">
        <w:rPr>
          <w:rFonts w:ascii="Times New Roman" w:hAnsi="Times New Roman" w:cs="Times New Roman"/>
          <w:sz w:val="24"/>
          <w:szCs w:val="24"/>
        </w:rPr>
        <w:t>it</w:t>
      </w:r>
      <w:r w:rsidR="00954489">
        <w:rPr>
          <w:rFonts w:ascii="Times New Roman" w:hAnsi="Times New Roman" w:cs="Times New Roman"/>
          <w:sz w:val="24"/>
          <w:szCs w:val="24"/>
        </w:rPr>
        <w:t xml:space="preserve">ure of all operations to the flagship on 1 April </w:t>
      </w:r>
      <w:r w:rsidR="00954489">
        <w:rPr>
          <w:rFonts w:ascii="Times New Roman" w:hAnsi="Times New Roman" w:cs="Times New Roman"/>
          <w:sz w:val="24"/>
          <w:szCs w:val="24"/>
        </w:rPr>
        <w:lastRenderedPageBreak/>
        <w:t>2005, the appellant continued to employ for its own account the senior management corps who provided management services to all the subsidiaries</w:t>
      </w:r>
      <w:r w:rsidR="00CE5A02">
        <w:rPr>
          <w:rFonts w:ascii="Times New Roman" w:hAnsi="Times New Roman" w:cs="Times New Roman"/>
          <w:sz w:val="24"/>
          <w:szCs w:val="24"/>
        </w:rPr>
        <w:t xml:space="preserve"> in compliance with the li</w:t>
      </w:r>
      <w:r w:rsidR="00CC2373">
        <w:rPr>
          <w:rFonts w:ascii="Times New Roman" w:hAnsi="Times New Roman" w:cs="Times New Roman"/>
          <w:sz w:val="24"/>
          <w:szCs w:val="24"/>
        </w:rPr>
        <w:t>sting rules of the local bourse, and not only charged management fees at cost but further</w:t>
      </w:r>
      <w:r w:rsidR="00CE5A02">
        <w:rPr>
          <w:rFonts w:ascii="Times New Roman" w:hAnsi="Times New Roman" w:cs="Times New Roman"/>
          <w:sz w:val="24"/>
          <w:szCs w:val="24"/>
        </w:rPr>
        <w:t xml:space="preserve"> diverted t</w:t>
      </w:r>
      <w:r w:rsidR="00CC2373">
        <w:rPr>
          <w:rFonts w:ascii="Times New Roman" w:hAnsi="Times New Roman" w:cs="Times New Roman"/>
          <w:sz w:val="24"/>
          <w:szCs w:val="24"/>
        </w:rPr>
        <w:t>hem t</w:t>
      </w:r>
      <w:r w:rsidR="00CE5A02">
        <w:rPr>
          <w:rFonts w:ascii="Times New Roman" w:hAnsi="Times New Roman" w:cs="Times New Roman"/>
          <w:sz w:val="24"/>
          <w:szCs w:val="24"/>
        </w:rPr>
        <w:t>o the flagship. She regarded the fa</w:t>
      </w:r>
      <w:r w:rsidR="00CC2373">
        <w:rPr>
          <w:rFonts w:ascii="Times New Roman" w:hAnsi="Times New Roman" w:cs="Times New Roman"/>
          <w:sz w:val="24"/>
          <w:szCs w:val="24"/>
        </w:rPr>
        <w:t>ilure to gross up these</w:t>
      </w:r>
      <w:r w:rsidR="00CE5A02">
        <w:rPr>
          <w:rFonts w:ascii="Times New Roman" w:hAnsi="Times New Roman" w:cs="Times New Roman"/>
          <w:sz w:val="24"/>
          <w:szCs w:val="24"/>
        </w:rPr>
        <w:t xml:space="preserve"> fees </w:t>
      </w:r>
      <w:r w:rsidR="00F33C33">
        <w:rPr>
          <w:rFonts w:ascii="Times New Roman" w:hAnsi="Times New Roman" w:cs="Times New Roman"/>
          <w:sz w:val="24"/>
          <w:szCs w:val="24"/>
        </w:rPr>
        <w:t xml:space="preserve">and the </w:t>
      </w:r>
      <w:r w:rsidR="00CC2373">
        <w:rPr>
          <w:rFonts w:ascii="Times New Roman" w:hAnsi="Times New Roman" w:cs="Times New Roman"/>
          <w:sz w:val="24"/>
          <w:szCs w:val="24"/>
        </w:rPr>
        <w:t xml:space="preserve">no-employees </w:t>
      </w:r>
      <w:r w:rsidR="00F33C33">
        <w:rPr>
          <w:rFonts w:ascii="Times New Roman" w:hAnsi="Times New Roman" w:cs="Times New Roman"/>
          <w:sz w:val="24"/>
          <w:szCs w:val="24"/>
        </w:rPr>
        <w:t>as</w:t>
      </w:r>
      <w:r w:rsidR="00CC2373">
        <w:rPr>
          <w:rFonts w:ascii="Times New Roman" w:hAnsi="Times New Roman" w:cs="Times New Roman"/>
          <w:sz w:val="24"/>
          <w:szCs w:val="24"/>
        </w:rPr>
        <w:t>sertion</w:t>
      </w:r>
      <w:r w:rsidR="00F33C33">
        <w:rPr>
          <w:rFonts w:ascii="Times New Roman" w:hAnsi="Times New Roman" w:cs="Times New Roman"/>
          <w:sz w:val="24"/>
          <w:szCs w:val="24"/>
        </w:rPr>
        <w:t xml:space="preserve"> </w:t>
      </w:r>
      <w:r w:rsidR="00CE5A02">
        <w:rPr>
          <w:rFonts w:ascii="Times New Roman" w:hAnsi="Times New Roman" w:cs="Times New Roman"/>
          <w:sz w:val="24"/>
          <w:szCs w:val="24"/>
        </w:rPr>
        <w:t xml:space="preserve">as abnormal in </w:t>
      </w:r>
      <w:r w:rsidR="00AE216C">
        <w:rPr>
          <w:rFonts w:ascii="Times New Roman" w:hAnsi="Times New Roman" w:cs="Times New Roman"/>
          <w:sz w:val="24"/>
          <w:szCs w:val="24"/>
        </w:rPr>
        <w:t xml:space="preserve">both the alternative </w:t>
      </w:r>
      <w:r w:rsidR="00CE5A02">
        <w:rPr>
          <w:rFonts w:ascii="Times New Roman" w:hAnsi="Times New Roman" w:cs="Times New Roman"/>
          <w:sz w:val="24"/>
          <w:szCs w:val="24"/>
        </w:rPr>
        <w:t xml:space="preserve">respects set out in s 98. </w:t>
      </w:r>
      <w:r w:rsidR="00F33C33">
        <w:rPr>
          <w:rFonts w:ascii="Times New Roman" w:hAnsi="Times New Roman" w:cs="Times New Roman"/>
          <w:sz w:val="24"/>
          <w:szCs w:val="24"/>
        </w:rPr>
        <w:t xml:space="preserve"> </w:t>
      </w:r>
    </w:p>
    <w:p w:rsidR="000B56FE" w:rsidRDefault="00F33C33" w:rsidP="003516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regard to royalties she invoked the provisions of s 98 on the </w:t>
      </w:r>
      <w:r w:rsidR="005D1EB3">
        <w:rPr>
          <w:rFonts w:ascii="Times New Roman" w:hAnsi="Times New Roman" w:cs="Times New Roman"/>
          <w:sz w:val="24"/>
          <w:szCs w:val="24"/>
        </w:rPr>
        <w:t xml:space="preserve">following bases. Firstly, </w:t>
      </w:r>
      <w:r>
        <w:rPr>
          <w:rFonts w:ascii="Times New Roman" w:hAnsi="Times New Roman" w:cs="Times New Roman"/>
          <w:sz w:val="24"/>
          <w:szCs w:val="24"/>
        </w:rPr>
        <w:t>the purported transfer of the five trademarks legally owned by the appellant to the f</w:t>
      </w:r>
      <w:r w:rsidR="00150025">
        <w:rPr>
          <w:rFonts w:ascii="Times New Roman" w:hAnsi="Times New Roman" w:cs="Times New Roman"/>
          <w:sz w:val="24"/>
          <w:szCs w:val="24"/>
        </w:rPr>
        <w:t>lagship, who in turn assigned them</w:t>
      </w:r>
      <w:r>
        <w:rPr>
          <w:rFonts w:ascii="Times New Roman" w:hAnsi="Times New Roman" w:cs="Times New Roman"/>
          <w:sz w:val="24"/>
          <w:szCs w:val="24"/>
        </w:rPr>
        <w:t xml:space="preserve"> to the Botswana </w:t>
      </w:r>
      <w:r w:rsidR="005D1EB3">
        <w:rPr>
          <w:rFonts w:ascii="Times New Roman" w:hAnsi="Times New Roman" w:cs="Times New Roman"/>
          <w:sz w:val="24"/>
          <w:szCs w:val="24"/>
        </w:rPr>
        <w:t xml:space="preserve">subsidiary was invalid </w:t>
      </w:r>
      <w:r>
        <w:rPr>
          <w:rFonts w:ascii="Times New Roman" w:hAnsi="Times New Roman" w:cs="Times New Roman"/>
          <w:sz w:val="24"/>
          <w:szCs w:val="24"/>
        </w:rPr>
        <w:t xml:space="preserve">because it was done contrary to the provisions of the Trade Marks Act </w:t>
      </w:r>
      <w:r w:rsidRPr="003516C2">
        <w:rPr>
          <w:rFonts w:ascii="Times New Roman" w:hAnsi="Times New Roman" w:cs="Times New Roman"/>
          <w:sz w:val="24"/>
          <w:szCs w:val="24"/>
        </w:rPr>
        <w:t>[</w:t>
      </w:r>
      <w:r w:rsidRPr="00AC272C">
        <w:rPr>
          <w:rFonts w:ascii="Times New Roman" w:hAnsi="Times New Roman" w:cs="Times New Roman"/>
          <w:i/>
          <w:sz w:val="24"/>
          <w:szCs w:val="24"/>
        </w:rPr>
        <w:t>Chapter 26:04</w:t>
      </w:r>
      <w:r w:rsidRPr="003516C2">
        <w:rPr>
          <w:rFonts w:ascii="Times New Roman" w:hAnsi="Times New Roman" w:cs="Times New Roman"/>
          <w:sz w:val="24"/>
          <w:szCs w:val="24"/>
        </w:rPr>
        <w:t xml:space="preserve">], </w:t>
      </w:r>
      <w:r w:rsidR="005D1EB3">
        <w:rPr>
          <w:rFonts w:ascii="Times New Roman" w:hAnsi="Times New Roman" w:cs="Times New Roman"/>
          <w:sz w:val="24"/>
          <w:szCs w:val="24"/>
        </w:rPr>
        <w:t>and by a signatory who was</w:t>
      </w:r>
      <w:r w:rsidR="00AC272C">
        <w:rPr>
          <w:rFonts w:ascii="Times New Roman" w:hAnsi="Times New Roman" w:cs="Times New Roman"/>
          <w:sz w:val="24"/>
          <w:szCs w:val="24"/>
        </w:rPr>
        <w:t xml:space="preserve"> neither authorised to do so by the board of directors nor</w:t>
      </w:r>
      <w:r w:rsidR="005D1EB3">
        <w:rPr>
          <w:rFonts w:ascii="Times New Roman" w:hAnsi="Times New Roman" w:cs="Times New Roman"/>
          <w:sz w:val="24"/>
          <w:szCs w:val="24"/>
        </w:rPr>
        <w:t xml:space="preserve"> a member </w:t>
      </w:r>
      <w:r w:rsidR="00AC272C">
        <w:rPr>
          <w:rFonts w:ascii="Times New Roman" w:hAnsi="Times New Roman" w:cs="Times New Roman"/>
          <w:sz w:val="24"/>
          <w:szCs w:val="24"/>
        </w:rPr>
        <w:t xml:space="preserve">thereof. </w:t>
      </w:r>
      <w:r w:rsidR="005D1EB3">
        <w:rPr>
          <w:rFonts w:ascii="Times New Roman" w:hAnsi="Times New Roman" w:cs="Times New Roman"/>
          <w:sz w:val="24"/>
          <w:szCs w:val="24"/>
        </w:rPr>
        <w:t xml:space="preserve">Secondly, the appellant’s </w:t>
      </w:r>
      <w:r w:rsidR="00AC272C">
        <w:rPr>
          <w:rFonts w:ascii="Times New Roman" w:hAnsi="Times New Roman" w:cs="Times New Roman"/>
          <w:sz w:val="24"/>
          <w:szCs w:val="24"/>
        </w:rPr>
        <w:t>group research manager (</w:t>
      </w:r>
      <w:r w:rsidR="005D1EB3">
        <w:rPr>
          <w:rFonts w:ascii="Times New Roman" w:hAnsi="Times New Roman" w:cs="Times New Roman"/>
          <w:sz w:val="24"/>
          <w:szCs w:val="24"/>
        </w:rPr>
        <w:t>GRM</w:t>
      </w:r>
      <w:r w:rsidR="00147D39">
        <w:rPr>
          <w:rFonts w:ascii="Times New Roman" w:hAnsi="Times New Roman" w:cs="Times New Roman"/>
          <w:sz w:val="24"/>
          <w:szCs w:val="24"/>
        </w:rPr>
        <w:t xml:space="preserve"> or the scientist</w:t>
      </w:r>
      <w:r w:rsidR="00AC272C">
        <w:rPr>
          <w:rFonts w:ascii="Times New Roman" w:hAnsi="Times New Roman" w:cs="Times New Roman"/>
          <w:sz w:val="24"/>
          <w:szCs w:val="24"/>
        </w:rPr>
        <w:t>)</w:t>
      </w:r>
      <w:r w:rsidR="005D1EB3">
        <w:rPr>
          <w:rFonts w:ascii="Times New Roman" w:hAnsi="Times New Roman" w:cs="Times New Roman"/>
          <w:sz w:val="24"/>
          <w:szCs w:val="24"/>
        </w:rPr>
        <w:t xml:space="preserve"> and Maize Consultant </w:t>
      </w:r>
      <w:r w:rsidR="00761924">
        <w:rPr>
          <w:rFonts w:ascii="Times New Roman" w:hAnsi="Times New Roman" w:cs="Times New Roman"/>
          <w:sz w:val="24"/>
          <w:szCs w:val="24"/>
        </w:rPr>
        <w:t xml:space="preserve">in </w:t>
      </w:r>
      <w:r w:rsidR="005D1EB3">
        <w:rPr>
          <w:rFonts w:ascii="Times New Roman" w:hAnsi="Times New Roman" w:cs="Times New Roman"/>
          <w:sz w:val="24"/>
          <w:szCs w:val="24"/>
        </w:rPr>
        <w:t xml:space="preserve">Zimbabwe were responsible for the development and monitoring of regional trials </w:t>
      </w:r>
      <w:r w:rsidR="00761924">
        <w:rPr>
          <w:rFonts w:ascii="Times New Roman" w:hAnsi="Times New Roman" w:cs="Times New Roman"/>
          <w:sz w:val="24"/>
          <w:szCs w:val="24"/>
        </w:rPr>
        <w:t>from whic</w:t>
      </w:r>
      <w:r w:rsidR="00AC272C">
        <w:rPr>
          <w:rFonts w:ascii="Times New Roman" w:hAnsi="Times New Roman" w:cs="Times New Roman"/>
          <w:sz w:val="24"/>
          <w:szCs w:val="24"/>
        </w:rPr>
        <w:t xml:space="preserve">h royalties accrued </w:t>
      </w:r>
      <w:r w:rsidR="00994D0F">
        <w:rPr>
          <w:rFonts w:ascii="Times New Roman" w:hAnsi="Times New Roman" w:cs="Times New Roman"/>
          <w:sz w:val="24"/>
          <w:szCs w:val="24"/>
        </w:rPr>
        <w:t>but</w:t>
      </w:r>
      <w:r w:rsidR="00AC272C">
        <w:rPr>
          <w:rFonts w:ascii="Times New Roman" w:hAnsi="Times New Roman" w:cs="Times New Roman"/>
          <w:sz w:val="24"/>
          <w:szCs w:val="24"/>
        </w:rPr>
        <w:t xml:space="preserve"> paid to the</w:t>
      </w:r>
      <w:r w:rsidR="00761924">
        <w:rPr>
          <w:rFonts w:ascii="Times New Roman" w:hAnsi="Times New Roman" w:cs="Times New Roman"/>
          <w:sz w:val="24"/>
          <w:szCs w:val="24"/>
        </w:rPr>
        <w:t xml:space="preserve"> Botswana subsidiary</w:t>
      </w:r>
      <w:r w:rsidR="00AC272C">
        <w:rPr>
          <w:rFonts w:ascii="Times New Roman" w:hAnsi="Times New Roman" w:cs="Times New Roman"/>
          <w:sz w:val="24"/>
          <w:szCs w:val="24"/>
        </w:rPr>
        <w:t xml:space="preserve"> in</w:t>
      </w:r>
      <w:r w:rsidR="00994D0F">
        <w:rPr>
          <w:rFonts w:ascii="Times New Roman" w:hAnsi="Times New Roman" w:cs="Times New Roman"/>
          <w:sz w:val="24"/>
          <w:szCs w:val="24"/>
        </w:rPr>
        <w:t xml:space="preserve"> place of </w:t>
      </w:r>
      <w:r w:rsidR="00AC272C">
        <w:rPr>
          <w:rFonts w:ascii="Times New Roman" w:hAnsi="Times New Roman" w:cs="Times New Roman"/>
          <w:sz w:val="24"/>
          <w:szCs w:val="24"/>
        </w:rPr>
        <w:t>the appellant</w:t>
      </w:r>
      <w:r w:rsidR="00761924">
        <w:rPr>
          <w:rFonts w:ascii="Times New Roman" w:hAnsi="Times New Roman" w:cs="Times New Roman"/>
          <w:sz w:val="24"/>
          <w:szCs w:val="24"/>
        </w:rPr>
        <w:t xml:space="preserve">. </w:t>
      </w:r>
      <w:r w:rsidR="008658DA">
        <w:rPr>
          <w:rFonts w:ascii="Times New Roman" w:hAnsi="Times New Roman" w:cs="Times New Roman"/>
          <w:sz w:val="24"/>
          <w:szCs w:val="24"/>
        </w:rPr>
        <w:t>She held that these</w:t>
      </w:r>
      <w:r w:rsidR="00AC272C">
        <w:rPr>
          <w:rFonts w:ascii="Times New Roman" w:hAnsi="Times New Roman" w:cs="Times New Roman"/>
          <w:sz w:val="24"/>
          <w:szCs w:val="24"/>
        </w:rPr>
        <w:t xml:space="preserve"> researchers</w:t>
      </w:r>
      <w:r w:rsidR="00311D8B">
        <w:rPr>
          <w:rFonts w:ascii="Times New Roman" w:hAnsi="Times New Roman" w:cs="Times New Roman"/>
          <w:sz w:val="24"/>
          <w:szCs w:val="24"/>
        </w:rPr>
        <w:t xml:space="preserve"> employed their wits, labour and intellect in </w:t>
      </w:r>
      <w:r w:rsidR="009417E4">
        <w:rPr>
          <w:rFonts w:ascii="Times New Roman" w:hAnsi="Times New Roman" w:cs="Times New Roman"/>
          <w:sz w:val="24"/>
          <w:szCs w:val="24"/>
        </w:rPr>
        <w:t xml:space="preserve">or from </w:t>
      </w:r>
      <w:r w:rsidR="00311D8B">
        <w:rPr>
          <w:rFonts w:ascii="Times New Roman" w:hAnsi="Times New Roman" w:cs="Times New Roman"/>
          <w:sz w:val="24"/>
          <w:szCs w:val="24"/>
        </w:rPr>
        <w:t>Zimbabwe to breed the germplasm used to create the hybrid seed deve</w:t>
      </w:r>
      <w:r w:rsidR="00AC272C">
        <w:rPr>
          <w:rFonts w:ascii="Times New Roman" w:hAnsi="Times New Roman" w:cs="Times New Roman"/>
          <w:sz w:val="24"/>
          <w:szCs w:val="24"/>
        </w:rPr>
        <w:t xml:space="preserve">loped and registered in </w:t>
      </w:r>
      <w:r w:rsidR="00B8638C">
        <w:rPr>
          <w:rFonts w:ascii="Times New Roman" w:hAnsi="Times New Roman" w:cs="Times New Roman"/>
          <w:sz w:val="24"/>
          <w:szCs w:val="24"/>
        </w:rPr>
        <w:t>the territories in which the subsidi</w:t>
      </w:r>
      <w:r w:rsidR="00AC272C">
        <w:rPr>
          <w:rFonts w:ascii="Times New Roman" w:hAnsi="Times New Roman" w:cs="Times New Roman"/>
          <w:sz w:val="24"/>
          <w:szCs w:val="24"/>
        </w:rPr>
        <w:t>aries were based.</w:t>
      </w:r>
    </w:p>
    <w:p w:rsidR="003516C2" w:rsidRDefault="00761924" w:rsidP="003516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regards to the OECD TPGs, she held that they were not legislated </w:t>
      </w:r>
      <w:r w:rsidR="00E41C95">
        <w:rPr>
          <w:rFonts w:ascii="Times New Roman" w:hAnsi="Times New Roman" w:cs="Times New Roman"/>
          <w:sz w:val="24"/>
          <w:szCs w:val="24"/>
        </w:rPr>
        <w:t xml:space="preserve">and were therefore ineligible </w:t>
      </w:r>
      <w:r>
        <w:rPr>
          <w:rFonts w:ascii="Times New Roman" w:hAnsi="Times New Roman" w:cs="Times New Roman"/>
          <w:sz w:val="24"/>
          <w:szCs w:val="24"/>
        </w:rPr>
        <w:t xml:space="preserve">for use in Zimbabwe. She </w:t>
      </w:r>
      <w:r w:rsidR="000243C4">
        <w:rPr>
          <w:rFonts w:ascii="Times New Roman" w:hAnsi="Times New Roman" w:cs="Times New Roman"/>
          <w:sz w:val="24"/>
          <w:szCs w:val="24"/>
        </w:rPr>
        <w:t>regarded the royalty rate applied</w:t>
      </w:r>
      <w:r>
        <w:rPr>
          <w:rFonts w:ascii="Times New Roman" w:hAnsi="Times New Roman" w:cs="Times New Roman"/>
          <w:sz w:val="24"/>
          <w:szCs w:val="24"/>
        </w:rPr>
        <w:t xml:space="preserve"> by two of the appellant’s subsidiaries</w:t>
      </w:r>
      <w:r w:rsidR="00150025">
        <w:rPr>
          <w:rFonts w:ascii="Times New Roman" w:hAnsi="Times New Roman" w:cs="Times New Roman"/>
          <w:sz w:val="24"/>
          <w:szCs w:val="24"/>
        </w:rPr>
        <w:t xml:space="preserve"> of 3.5%</w:t>
      </w:r>
      <w:r w:rsidR="00553301">
        <w:rPr>
          <w:rFonts w:ascii="Times New Roman" w:hAnsi="Times New Roman" w:cs="Times New Roman"/>
          <w:sz w:val="24"/>
          <w:szCs w:val="24"/>
        </w:rPr>
        <w:t>,</w:t>
      </w:r>
      <w:r>
        <w:rPr>
          <w:rFonts w:ascii="Times New Roman" w:hAnsi="Times New Roman" w:cs="Times New Roman"/>
          <w:sz w:val="24"/>
          <w:szCs w:val="24"/>
        </w:rPr>
        <w:t xml:space="preserve"> </w:t>
      </w:r>
      <w:r w:rsidR="00553301">
        <w:rPr>
          <w:rFonts w:ascii="Times New Roman" w:hAnsi="Times New Roman" w:cs="Times New Roman"/>
          <w:sz w:val="24"/>
          <w:szCs w:val="24"/>
        </w:rPr>
        <w:t xml:space="preserve">rather than the 1% offered by the appellant, </w:t>
      </w:r>
      <w:r>
        <w:rPr>
          <w:rFonts w:ascii="Times New Roman" w:hAnsi="Times New Roman" w:cs="Times New Roman"/>
          <w:sz w:val="24"/>
          <w:szCs w:val="24"/>
        </w:rPr>
        <w:t xml:space="preserve">to </w:t>
      </w:r>
      <w:r w:rsidR="000243C4">
        <w:rPr>
          <w:rFonts w:ascii="Times New Roman" w:hAnsi="Times New Roman" w:cs="Times New Roman"/>
          <w:sz w:val="24"/>
          <w:szCs w:val="24"/>
        </w:rPr>
        <w:t>be arm’s length and used</w:t>
      </w:r>
      <w:r w:rsidR="00553301">
        <w:rPr>
          <w:rFonts w:ascii="Times New Roman" w:hAnsi="Times New Roman" w:cs="Times New Roman"/>
          <w:sz w:val="24"/>
          <w:szCs w:val="24"/>
        </w:rPr>
        <w:t xml:space="preserve"> it</w:t>
      </w:r>
      <w:r w:rsidR="00001D86">
        <w:rPr>
          <w:rFonts w:ascii="Times New Roman" w:hAnsi="Times New Roman" w:cs="Times New Roman"/>
          <w:sz w:val="24"/>
          <w:szCs w:val="24"/>
        </w:rPr>
        <w:t xml:space="preserve"> </w:t>
      </w:r>
      <w:r w:rsidR="000243C4">
        <w:rPr>
          <w:rFonts w:ascii="Times New Roman" w:hAnsi="Times New Roman" w:cs="Times New Roman"/>
          <w:sz w:val="24"/>
          <w:szCs w:val="24"/>
        </w:rPr>
        <w:t xml:space="preserve">to compute the royalty that </w:t>
      </w:r>
      <w:r>
        <w:rPr>
          <w:rFonts w:ascii="Times New Roman" w:hAnsi="Times New Roman" w:cs="Times New Roman"/>
          <w:sz w:val="24"/>
          <w:szCs w:val="24"/>
        </w:rPr>
        <w:t xml:space="preserve">accrued to the appellant from the use of its trademarks </w:t>
      </w:r>
      <w:r w:rsidR="000243C4">
        <w:rPr>
          <w:rFonts w:ascii="Times New Roman" w:hAnsi="Times New Roman" w:cs="Times New Roman"/>
          <w:sz w:val="24"/>
          <w:szCs w:val="24"/>
        </w:rPr>
        <w:t xml:space="preserve">by all its subsidiaries. </w:t>
      </w:r>
      <w:r>
        <w:rPr>
          <w:rFonts w:ascii="Times New Roman" w:hAnsi="Times New Roman" w:cs="Times New Roman"/>
          <w:sz w:val="24"/>
          <w:szCs w:val="24"/>
        </w:rPr>
        <w:t xml:space="preserve"> </w:t>
      </w:r>
    </w:p>
    <w:p w:rsidR="00156834" w:rsidRDefault="000243C4" w:rsidP="003516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Lastly, she increased the penalty to 100% on the ground that the failure to render an income tax return was a grave contravention of s 46 (1) (a) of the Act. </w:t>
      </w:r>
      <w:r w:rsidR="00043BA3">
        <w:rPr>
          <w:rFonts w:ascii="Times New Roman" w:hAnsi="Times New Roman" w:cs="Times New Roman"/>
          <w:sz w:val="24"/>
          <w:szCs w:val="24"/>
        </w:rPr>
        <w:t>The gravity was accentuated by</w:t>
      </w:r>
      <w:r w:rsidR="00156834">
        <w:rPr>
          <w:rFonts w:ascii="Times New Roman" w:hAnsi="Times New Roman" w:cs="Times New Roman"/>
          <w:sz w:val="24"/>
          <w:szCs w:val="24"/>
        </w:rPr>
        <w:t xml:space="preserve"> </w:t>
      </w:r>
      <w:r w:rsidR="00043BA3">
        <w:rPr>
          <w:rFonts w:ascii="Times New Roman" w:hAnsi="Times New Roman" w:cs="Times New Roman"/>
          <w:sz w:val="24"/>
          <w:szCs w:val="24"/>
        </w:rPr>
        <w:t xml:space="preserve">various </w:t>
      </w:r>
      <w:r w:rsidR="00156834">
        <w:rPr>
          <w:rFonts w:ascii="Times New Roman" w:hAnsi="Times New Roman" w:cs="Times New Roman"/>
          <w:sz w:val="24"/>
          <w:szCs w:val="24"/>
        </w:rPr>
        <w:t xml:space="preserve">e-mails </w:t>
      </w:r>
      <w:r w:rsidR="00043BA3">
        <w:rPr>
          <w:rFonts w:ascii="Times New Roman" w:hAnsi="Times New Roman" w:cs="Times New Roman"/>
          <w:sz w:val="24"/>
          <w:szCs w:val="24"/>
        </w:rPr>
        <w:t>that</w:t>
      </w:r>
      <w:r w:rsidR="00890222">
        <w:rPr>
          <w:rFonts w:ascii="Times New Roman" w:hAnsi="Times New Roman" w:cs="Times New Roman"/>
          <w:sz w:val="24"/>
          <w:szCs w:val="24"/>
        </w:rPr>
        <w:t>,</w:t>
      </w:r>
      <w:r w:rsidR="00043BA3">
        <w:rPr>
          <w:rFonts w:ascii="Times New Roman" w:hAnsi="Times New Roman" w:cs="Times New Roman"/>
          <w:sz w:val="24"/>
          <w:szCs w:val="24"/>
        </w:rPr>
        <w:t xml:space="preserve"> she reasoned</w:t>
      </w:r>
      <w:r w:rsidR="00890222">
        <w:rPr>
          <w:rFonts w:ascii="Times New Roman" w:hAnsi="Times New Roman" w:cs="Times New Roman"/>
          <w:sz w:val="24"/>
          <w:szCs w:val="24"/>
        </w:rPr>
        <w:t>,</w:t>
      </w:r>
      <w:r w:rsidR="00043BA3">
        <w:rPr>
          <w:rFonts w:ascii="Times New Roman" w:hAnsi="Times New Roman" w:cs="Times New Roman"/>
          <w:sz w:val="24"/>
          <w:szCs w:val="24"/>
        </w:rPr>
        <w:t xml:space="preserve"> tended to </w:t>
      </w:r>
      <w:r w:rsidR="00156834">
        <w:rPr>
          <w:rFonts w:ascii="Times New Roman" w:hAnsi="Times New Roman" w:cs="Times New Roman"/>
          <w:sz w:val="24"/>
          <w:szCs w:val="24"/>
        </w:rPr>
        <w:t>showed the appellant’s propensity to avoid payment of the correct t</w:t>
      </w:r>
      <w:r w:rsidR="00043BA3">
        <w:rPr>
          <w:rFonts w:ascii="Times New Roman" w:hAnsi="Times New Roman" w:cs="Times New Roman"/>
          <w:sz w:val="24"/>
          <w:szCs w:val="24"/>
        </w:rPr>
        <w:t>ax due by hiding information from the case manager,</w:t>
      </w:r>
      <w:r w:rsidR="00156834">
        <w:rPr>
          <w:rFonts w:ascii="Times New Roman" w:hAnsi="Times New Roman" w:cs="Times New Roman"/>
          <w:sz w:val="24"/>
          <w:szCs w:val="24"/>
        </w:rPr>
        <w:t xml:space="preserve"> altering records and fail</w:t>
      </w:r>
      <w:r w:rsidR="00043BA3">
        <w:rPr>
          <w:rFonts w:ascii="Times New Roman" w:hAnsi="Times New Roman" w:cs="Times New Roman"/>
          <w:sz w:val="24"/>
          <w:szCs w:val="24"/>
        </w:rPr>
        <w:t>ing to heed</w:t>
      </w:r>
      <w:r w:rsidR="00156834">
        <w:rPr>
          <w:rFonts w:ascii="Times New Roman" w:hAnsi="Times New Roman" w:cs="Times New Roman"/>
          <w:sz w:val="24"/>
          <w:szCs w:val="24"/>
        </w:rPr>
        <w:t xml:space="preserve"> the advice rendered </w:t>
      </w:r>
      <w:r w:rsidR="00994D0F">
        <w:rPr>
          <w:rFonts w:ascii="Times New Roman" w:hAnsi="Times New Roman" w:cs="Times New Roman"/>
          <w:sz w:val="24"/>
          <w:szCs w:val="24"/>
        </w:rPr>
        <w:t xml:space="preserve">by </w:t>
      </w:r>
      <w:r w:rsidR="00043BA3">
        <w:rPr>
          <w:rFonts w:ascii="Times New Roman" w:hAnsi="Times New Roman" w:cs="Times New Roman"/>
          <w:sz w:val="24"/>
          <w:szCs w:val="24"/>
        </w:rPr>
        <w:t xml:space="preserve">its </w:t>
      </w:r>
      <w:r w:rsidR="00156834">
        <w:rPr>
          <w:rFonts w:ascii="Times New Roman" w:hAnsi="Times New Roman" w:cs="Times New Roman"/>
          <w:sz w:val="24"/>
          <w:szCs w:val="24"/>
        </w:rPr>
        <w:t xml:space="preserve">transfer pricing consultant </w:t>
      </w:r>
      <w:r w:rsidR="00043BA3">
        <w:rPr>
          <w:rFonts w:ascii="Times New Roman" w:hAnsi="Times New Roman" w:cs="Times New Roman"/>
          <w:sz w:val="24"/>
          <w:szCs w:val="24"/>
        </w:rPr>
        <w:t xml:space="preserve">on the dangers of charging management fees at cost. </w:t>
      </w:r>
    </w:p>
    <w:p w:rsidR="00A500FA" w:rsidRDefault="000243C4" w:rsidP="003516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16C2">
        <w:rPr>
          <w:rFonts w:ascii="Times New Roman" w:hAnsi="Times New Roman" w:cs="Times New Roman"/>
          <w:sz w:val="24"/>
          <w:szCs w:val="24"/>
        </w:rPr>
        <w:tab/>
      </w:r>
      <w:r>
        <w:rPr>
          <w:rFonts w:ascii="Times New Roman" w:hAnsi="Times New Roman" w:cs="Times New Roman"/>
          <w:sz w:val="24"/>
          <w:szCs w:val="24"/>
        </w:rPr>
        <w:t xml:space="preserve"> </w:t>
      </w:r>
      <w:r w:rsidR="0054199D">
        <w:rPr>
          <w:rFonts w:ascii="Times New Roman" w:hAnsi="Times New Roman" w:cs="Times New Roman"/>
          <w:sz w:val="24"/>
          <w:szCs w:val="24"/>
        </w:rPr>
        <w:t>Aggrieved by the dismissal of the objection, the appellant filed its notic</w:t>
      </w:r>
      <w:r w:rsidR="00A12545">
        <w:rPr>
          <w:rFonts w:ascii="Times New Roman" w:hAnsi="Times New Roman" w:cs="Times New Roman"/>
          <w:sz w:val="24"/>
          <w:szCs w:val="24"/>
        </w:rPr>
        <w:t xml:space="preserve">e of appeal </w:t>
      </w:r>
      <w:r w:rsidR="0054199D">
        <w:rPr>
          <w:rFonts w:ascii="Times New Roman" w:hAnsi="Times New Roman" w:cs="Times New Roman"/>
          <w:sz w:val="24"/>
          <w:szCs w:val="24"/>
        </w:rPr>
        <w:t>on 22 M</w:t>
      </w:r>
      <w:r w:rsidR="00EC6177">
        <w:rPr>
          <w:rFonts w:ascii="Times New Roman" w:hAnsi="Times New Roman" w:cs="Times New Roman"/>
          <w:sz w:val="24"/>
          <w:szCs w:val="24"/>
        </w:rPr>
        <w:t>ay 2014</w:t>
      </w:r>
      <w:r w:rsidR="00A12545">
        <w:rPr>
          <w:rFonts w:ascii="Times New Roman" w:hAnsi="Times New Roman" w:cs="Times New Roman"/>
          <w:sz w:val="24"/>
          <w:szCs w:val="24"/>
        </w:rPr>
        <w:t>, and</w:t>
      </w:r>
      <w:r w:rsidR="00EC6177">
        <w:rPr>
          <w:rFonts w:ascii="Times New Roman" w:hAnsi="Times New Roman" w:cs="Times New Roman"/>
          <w:sz w:val="24"/>
          <w:szCs w:val="24"/>
        </w:rPr>
        <w:t xml:space="preserve"> grounds of appeal </w:t>
      </w:r>
      <w:r w:rsidR="0017504F">
        <w:rPr>
          <w:rFonts w:ascii="Times New Roman" w:hAnsi="Times New Roman" w:cs="Times New Roman"/>
          <w:sz w:val="24"/>
          <w:szCs w:val="24"/>
        </w:rPr>
        <w:t>and case on 18 August 2014</w:t>
      </w:r>
      <w:r w:rsidR="00566607">
        <w:rPr>
          <w:rFonts w:ascii="Times New Roman" w:hAnsi="Times New Roman" w:cs="Times New Roman"/>
          <w:sz w:val="24"/>
          <w:szCs w:val="24"/>
        </w:rPr>
        <w:t>.</w:t>
      </w:r>
      <w:r w:rsidR="00A12545">
        <w:rPr>
          <w:rFonts w:ascii="Times New Roman" w:hAnsi="Times New Roman" w:cs="Times New Roman"/>
          <w:sz w:val="24"/>
          <w:szCs w:val="24"/>
        </w:rPr>
        <w:t xml:space="preserve"> The respondent filed the Commissioner’s case o</w:t>
      </w:r>
      <w:r w:rsidR="00566607">
        <w:rPr>
          <w:rFonts w:ascii="Times New Roman" w:hAnsi="Times New Roman" w:cs="Times New Roman"/>
          <w:sz w:val="24"/>
          <w:szCs w:val="24"/>
        </w:rPr>
        <w:t xml:space="preserve">n </w:t>
      </w:r>
      <w:r w:rsidR="00A12545">
        <w:rPr>
          <w:rFonts w:ascii="Times New Roman" w:hAnsi="Times New Roman" w:cs="Times New Roman"/>
          <w:sz w:val="24"/>
          <w:szCs w:val="24"/>
        </w:rPr>
        <w:t xml:space="preserve">11 </w:t>
      </w:r>
      <w:r w:rsidR="00566607">
        <w:rPr>
          <w:rFonts w:ascii="Times New Roman" w:hAnsi="Times New Roman" w:cs="Times New Roman"/>
          <w:sz w:val="24"/>
          <w:szCs w:val="24"/>
        </w:rPr>
        <w:t>November 2014.</w:t>
      </w:r>
    </w:p>
    <w:p w:rsidR="00331678" w:rsidRDefault="00331678" w:rsidP="003516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consent of the parties, I granted the substitution of the appellant for the flagship and consequent condonation and extension of time within which to note the appeal on 25 November 2014. </w:t>
      </w:r>
    </w:p>
    <w:p w:rsidR="00D71C6F" w:rsidRDefault="00D919F3" w:rsidP="003516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 contended that the Commissioner erred and misdirected herself at law and on the facts in </w:t>
      </w:r>
      <w:r w:rsidR="006860CA">
        <w:rPr>
          <w:rFonts w:ascii="Times New Roman" w:hAnsi="Times New Roman" w:cs="Times New Roman"/>
          <w:sz w:val="24"/>
          <w:szCs w:val="24"/>
        </w:rPr>
        <w:t>ignoring the OECD</w:t>
      </w:r>
      <w:r w:rsidR="00207AFE">
        <w:rPr>
          <w:rFonts w:ascii="Times New Roman" w:hAnsi="Times New Roman" w:cs="Times New Roman"/>
          <w:sz w:val="24"/>
          <w:szCs w:val="24"/>
        </w:rPr>
        <w:t xml:space="preserve"> TPGs in </w:t>
      </w:r>
      <w:r>
        <w:rPr>
          <w:rFonts w:ascii="Times New Roman" w:hAnsi="Times New Roman" w:cs="Times New Roman"/>
          <w:sz w:val="24"/>
          <w:szCs w:val="24"/>
        </w:rPr>
        <w:t xml:space="preserve">invoking the provisions of s 98 </w:t>
      </w:r>
      <w:r w:rsidR="00BB1809">
        <w:rPr>
          <w:rFonts w:ascii="Times New Roman" w:hAnsi="Times New Roman" w:cs="Times New Roman"/>
          <w:sz w:val="24"/>
          <w:szCs w:val="24"/>
        </w:rPr>
        <w:t>of the Income Tax Act,</w:t>
      </w:r>
      <w:r>
        <w:rPr>
          <w:rFonts w:ascii="Times New Roman" w:hAnsi="Times New Roman" w:cs="Times New Roman"/>
          <w:sz w:val="24"/>
          <w:szCs w:val="24"/>
        </w:rPr>
        <w:t xml:space="preserve"> imputing </w:t>
      </w:r>
      <w:r w:rsidR="00BB1809">
        <w:rPr>
          <w:rFonts w:ascii="Times New Roman" w:hAnsi="Times New Roman" w:cs="Times New Roman"/>
          <w:sz w:val="24"/>
          <w:szCs w:val="24"/>
        </w:rPr>
        <w:t xml:space="preserve">and computing </w:t>
      </w:r>
      <w:r>
        <w:rPr>
          <w:rFonts w:ascii="Times New Roman" w:hAnsi="Times New Roman" w:cs="Times New Roman"/>
          <w:sz w:val="24"/>
          <w:szCs w:val="24"/>
        </w:rPr>
        <w:t>royalties</w:t>
      </w:r>
      <w:r w:rsidR="00BB1809">
        <w:rPr>
          <w:rFonts w:ascii="Times New Roman" w:hAnsi="Times New Roman" w:cs="Times New Roman"/>
          <w:sz w:val="24"/>
          <w:szCs w:val="24"/>
        </w:rPr>
        <w:t xml:space="preserve"> and management fees </w:t>
      </w:r>
      <w:r>
        <w:rPr>
          <w:rFonts w:ascii="Times New Roman" w:hAnsi="Times New Roman" w:cs="Times New Roman"/>
          <w:sz w:val="24"/>
          <w:szCs w:val="24"/>
        </w:rPr>
        <w:t xml:space="preserve">to the appellant for </w:t>
      </w:r>
      <w:r w:rsidR="00331678">
        <w:rPr>
          <w:rFonts w:ascii="Times New Roman" w:hAnsi="Times New Roman" w:cs="Times New Roman"/>
          <w:sz w:val="24"/>
          <w:szCs w:val="24"/>
        </w:rPr>
        <w:t xml:space="preserve">the </w:t>
      </w:r>
      <w:r w:rsidR="00AE2D59">
        <w:rPr>
          <w:rFonts w:ascii="Times New Roman" w:hAnsi="Times New Roman" w:cs="Times New Roman"/>
          <w:sz w:val="24"/>
          <w:szCs w:val="24"/>
        </w:rPr>
        <w:t xml:space="preserve">intragroup use of 5 of the appellant’s trademarks and management services rendered by </w:t>
      </w:r>
      <w:r w:rsidR="00BB1809">
        <w:rPr>
          <w:rFonts w:ascii="Times New Roman" w:hAnsi="Times New Roman" w:cs="Times New Roman"/>
          <w:sz w:val="24"/>
          <w:szCs w:val="24"/>
        </w:rPr>
        <w:t>members of the group’s senior management, respectively and imposing a penalty in any amount. The respondent made the contrary contentions that the Commissioner judiciously exercised her discretion in invoking the provisions of s 98 of the Income Tax Act, imputing and computing royalties and management fees to the appellant and imposing the</w:t>
      </w:r>
      <w:r w:rsidR="001D1A3C">
        <w:rPr>
          <w:rFonts w:ascii="Times New Roman" w:hAnsi="Times New Roman" w:cs="Times New Roman"/>
          <w:sz w:val="24"/>
          <w:szCs w:val="24"/>
        </w:rPr>
        <w:t xml:space="preserve"> reduced penalty of 75</w:t>
      </w:r>
      <w:r w:rsidR="00BB1809">
        <w:rPr>
          <w:rFonts w:ascii="Times New Roman" w:hAnsi="Times New Roman" w:cs="Times New Roman"/>
          <w:sz w:val="24"/>
          <w:szCs w:val="24"/>
        </w:rPr>
        <w:t xml:space="preserve">%. </w:t>
      </w:r>
      <w:r w:rsidR="00207AFE">
        <w:rPr>
          <w:rFonts w:ascii="Times New Roman" w:hAnsi="Times New Roman" w:cs="Times New Roman"/>
          <w:sz w:val="24"/>
          <w:szCs w:val="24"/>
        </w:rPr>
        <w:t>S</w:t>
      </w:r>
      <w:r w:rsidR="00FC1F5F">
        <w:rPr>
          <w:rFonts w:ascii="Times New Roman" w:hAnsi="Times New Roman" w:cs="Times New Roman"/>
          <w:sz w:val="24"/>
          <w:szCs w:val="24"/>
        </w:rPr>
        <w:t xml:space="preserve">he </w:t>
      </w:r>
      <w:r w:rsidR="00207AFE">
        <w:rPr>
          <w:rFonts w:ascii="Times New Roman" w:hAnsi="Times New Roman" w:cs="Times New Roman"/>
          <w:sz w:val="24"/>
          <w:szCs w:val="24"/>
        </w:rPr>
        <w:t xml:space="preserve">further </w:t>
      </w:r>
      <w:r w:rsidR="00FC1F5F">
        <w:rPr>
          <w:rFonts w:ascii="Times New Roman" w:hAnsi="Times New Roman" w:cs="Times New Roman"/>
          <w:sz w:val="24"/>
          <w:szCs w:val="24"/>
        </w:rPr>
        <w:t xml:space="preserve">disputed that </w:t>
      </w:r>
      <w:r w:rsidR="00207AFE">
        <w:rPr>
          <w:rFonts w:ascii="Times New Roman" w:hAnsi="Times New Roman" w:cs="Times New Roman"/>
          <w:sz w:val="24"/>
          <w:szCs w:val="24"/>
        </w:rPr>
        <w:t>she was required to apply the OECD TPGs in assessing the appellant to income tax under s 98.</w:t>
      </w:r>
      <w:r w:rsidR="003356C3">
        <w:rPr>
          <w:rFonts w:ascii="Times New Roman" w:hAnsi="Times New Roman" w:cs="Times New Roman"/>
          <w:sz w:val="24"/>
          <w:szCs w:val="24"/>
        </w:rPr>
        <w:t xml:space="preserve"> </w:t>
      </w:r>
      <w:r w:rsidR="00AE2D5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B5C87" w:rsidRPr="00D71C6F" w:rsidRDefault="00D919F3" w:rsidP="006B5C87">
      <w:pPr>
        <w:jc w:val="both"/>
        <w:rPr>
          <w:rFonts w:ascii="Times New Roman" w:hAnsi="Times New Roman" w:cs="Times New Roman"/>
          <w:sz w:val="24"/>
          <w:szCs w:val="24"/>
        </w:rPr>
      </w:pPr>
      <w:r>
        <w:rPr>
          <w:rFonts w:ascii="Times New Roman" w:hAnsi="Times New Roman" w:cs="Times New Roman"/>
          <w:sz w:val="24"/>
          <w:szCs w:val="24"/>
        </w:rPr>
        <w:t xml:space="preserve"> </w:t>
      </w:r>
      <w:r w:rsidR="006B5C87" w:rsidRPr="00440ED7">
        <w:rPr>
          <w:rFonts w:ascii="Times New Roman" w:hAnsi="Times New Roman" w:cs="Times New Roman"/>
          <w:sz w:val="24"/>
          <w:szCs w:val="24"/>
          <w:u w:val="single"/>
        </w:rPr>
        <w:t>The issues</w:t>
      </w:r>
    </w:p>
    <w:p w:rsidR="006B5C87" w:rsidRPr="002C75EF" w:rsidRDefault="006B5C87" w:rsidP="002C75EF">
      <w:pPr>
        <w:spacing w:after="0" w:line="360" w:lineRule="auto"/>
        <w:jc w:val="both"/>
        <w:rPr>
          <w:rFonts w:ascii="Times New Roman" w:hAnsi="Times New Roman" w:cs="Times New Roman"/>
          <w:sz w:val="24"/>
          <w:szCs w:val="24"/>
        </w:rPr>
      </w:pPr>
      <w:r w:rsidRPr="002C75EF">
        <w:rPr>
          <w:rFonts w:ascii="Times New Roman" w:hAnsi="Times New Roman" w:cs="Times New Roman"/>
          <w:sz w:val="24"/>
          <w:szCs w:val="24"/>
        </w:rPr>
        <w:t>The following 10 issues were referred on appeal</w:t>
      </w:r>
      <w:r w:rsidR="00085903" w:rsidRPr="002C75EF">
        <w:rPr>
          <w:rFonts w:ascii="Times New Roman" w:hAnsi="Times New Roman" w:cs="Times New Roman"/>
          <w:sz w:val="24"/>
          <w:szCs w:val="24"/>
        </w:rPr>
        <w:t xml:space="preserve"> at the pre-trial hearing of</w:t>
      </w:r>
      <w:r w:rsidR="00934ADB">
        <w:rPr>
          <w:rFonts w:ascii="Times New Roman" w:hAnsi="Times New Roman" w:cs="Times New Roman"/>
          <w:sz w:val="24"/>
          <w:szCs w:val="24"/>
        </w:rPr>
        <w:t xml:space="preserve"> 30 July 2015</w:t>
      </w:r>
      <w:r w:rsidRPr="002C75EF">
        <w:rPr>
          <w:rFonts w:ascii="Times New Roman" w:hAnsi="Times New Roman" w:cs="Times New Roman"/>
          <w:sz w:val="24"/>
          <w:szCs w:val="24"/>
        </w:rPr>
        <w:t>.</w:t>
      </w:r>
    </w:p>
    <w:p w:rsidR="006B5C87" w:rsidRPr="002C75EF" w:rsidRDefault="006B5C87" w:rsidP="002C75EF">
      <w:pPr>
        <w:pStyle w:val="ListParagraph"/>
        <w:numPr>
          <w:ilvl w:val="0"/>
          <w:numId w:val="1"/>
        </w:numPr>
        <w:spacing w:after="0" w:line="360" w:lineRule="auto"/>
        <w:jc w:val="both"/>
        <w:rPr>
          <w:rFonts w:ascii="Times New Roman" w:hAnsi="Times New Roman" w:cs="Times New Roman"/>
          <w:i/>
          <w:sz w:val="24"/>
          <w:szCs w:val="24"/>
        </w:rPr>
      </w:pPr>
      <w:r w:rsidRPr="002C75EF">
        <w:rPr>
          <w:rFonts w:ascii="Times New Roman" w:hAnsi="Times New Roman" w:cs="Times New Roman"/>
          <w:sz w:val="24"/>
          <w:szCs w:val="24"/>
        </w:rPr>
        <w:t>Whether or not there was a transaction, operation or scheme and whether such transaction, operation or scheme had the effect of avoiding or reducing tax and was abnormal in the sense prescribed under s 98 of the Act.</w:t>
      </w:r>
    </w:p>
    <w:p w:rsidR="006B5C87" w:rsidRPr="002C75EF" w:rsidRDefault="006B5C87" w:rsidP="002C75EF">
      <w:pPr>
        <w:pStyle w:val="ListParagraph"/>
        <w:numPr>
          <w:ilvl w:val="0"/>
          <w:numId w:val="1"/>
        </w:numPr>
        <w:spacing w:after="0" w:line="360" w:lineRule="auto"/>
        <w:jc w:val="both"/>
        <w:rPr>
          <w:rFonts w:ascii="Times New Roman" w:hAnsi="Times New Roman" w:cs="Times New Roman"/>
          <w:i/>
          <w:sz w:val="24"/>
          <w:szCs w:val="24"/>
        </w:rPr>
      </w:pPr>
      <w:r w:rsidRPr="002C75EF">
        <w:rPr>
          <w:rFonts w:ascii="Times New Roman" w:hAnsi="Times New Roman" w:cs="Times New Roman"/>
          <w:sz w:val="24"/>
          <w:szCs w:val="24"/>
        </w:rPr>
        <w:t>Whether or not royalties and management fees are from a source within Zimbabwe</w:t>
      </w:r>
      <w:r w:rsidR="009E21D9" w:rsidRPr="002C75EF">
        <w:rPr>
          <w:rFonts w:ascii="Times New Roman" w:hAnsi="Times New Roman" w:cs="Times New Roman"/>
          <w:sz w:val="24"/>
          <w:szCs w:val="24"/>
        </w:rPr>
        <w:t>.</w:t>
      </w:r>
    </w:p>
    <w:p w:rsidR="006B5C87" w:rsidRPr="002C75EF" w:rsidRDefault="006B5C87" w:rsidP="002C75EF">
      <w:pPr>
        <w:pStyle w:val="ListParagraph"/>
        <w:numPr>
          <w:ilvl w:val="0"/>
          <w:numId w:val="1"/>
        </w:numPr>
        <w:spacing w:after="0" w:line="360" w:lineRule="auto"/>
        <w:jc w:val="both"/>
        <w:rPr>
          <w:rFonts w:ascii="Times New Roman" w:hAnsi="Times New Roman" w:cs="Times New Roman"/>
          <w:i/>
          <w:sz w:val="24"/>
          <w:szCs w:val="24"/>
        </w:rPr>
      </w:pPr>
      <w:r w:rsidRPr="002C75EF">
        <w:rPr>
          <w:rFonts w:ascii="Times New Roman" w:hAnsi="Times New Roman" w:cs="Times New Roman"/>
          <w:sz w:val="24"/>
          <w:szCs w:val="24"/>
        </w:rPr>
        <w:t>Whether or not the Commissioner exercised his powers under s 98 in accordance with the Constitution and the rule of law</w:t>
      </w:r>
      <w:r w:rsidR="009E21D9" w:rsidRPr="002C75EF">
        <w:rPr>
          <w:rFonts w:ascii="Times New Roman" w:hAnsi="Times New Roman" w:cs="Times New Roman"/>
          <w:sz w:val="24"/>
          <w:szCs w:val="24"/>
        </w:rPr>
        <w:t>.</w:t>
      </w:r>
    </w:p>
    <w:p w:rsidR="006B5C87" w:rsidRPr="002C75EF" w:rsidRDefault="006B5C87" w:rsidP="002C75EF">
      <w:pPr>
        <w:pStyle w:val="ListParagraph"/>
        <w:numPr>
          <w:ilvl w:val="0"/>
          <w:numId w:val="1"/>
        </w:numPr>
        <w:spacing w:after="0" w:line="360" w:lineRule="auto"/>
        <w:jc w:val="both"/>
        <w:rPr>
          <w:rFonts w:ascii="Times New Roman" w:hAnsi="Times New Roman" w:cs="Times New Roman"/>
          <w:i/>
          <w:sz w:val="24"/>
          <w:szCs w:val="24"/>
        </w:rPr>
      </w:pPr>
      <w:r w:rsidRPr="002C75EF">
        <w:rPr>
          <w:rFonts w:ascii="Times New Roman" w:hAnsi="Times New Roman" w:cs="Times New Roman"/>
          <w:sz w:val="24"/>
          <w:szCs w:val="24"/>
        </w:rPr>
        <w:t>Whether or not the assessments raised by the Commissioner were wrong in law and in fact</w:t>
      </w:r>
      <w:r w:rsidR="009E21D9" w:rsidRPr="002C75EF">
        <w:rPr>
          <w:rFonts w:ascii="Times New Roman" w:hAnsi="Times New Roman" w:cs="Times New Roman"/>
          <w:sz w:val="24"/>
          <w:szCs w:val="24"/>
        </w:rPr>
        <w:t>.</w:t>
      </w:r>
    </w:p>
    <w:p w:rsidR="006B5C87" w:rsidRPr="002C75EF" w:rsidRDefault="006B5C87" w:rsidP="002C75EF">
      <w:pPr>
        <w:pStyle w:val="ListParagraph"/>
        <w:numPr>
          <w:ilvl w:val="0"/>
          <w:numId w:val="1"/>
        </w:numPr>
        <w:spacing w:after="0" w:line="360" w:lineRule="auto"/>
        <w:jc w:val="both"/>
        <w:rPr>
          <w:rFonts w:ascii="Times New Roman" w:hAnsi="Times New Roman" w:cs="Times New Roman"/>
          <w:i/>
          <w:sz w:val="24"/>
          <w:szCs w:val="24"/>
        </w:rPr>
      </w:pPr>
      <w:r w:rsidRPr="002C75EF">
        <w:rPr>
          <w:rFonts w:ascii="Times New Roman" w:hAnsi="Times New Roman" w:cs="Times New Roman"/>
          <w:sz w:val="24"/>
          <w:szCs w:val="24"/>
        </w:rPr>
        <w:t>Whether or not applying no mark-up on management fees by</w:t>
      </w:r>
      <w:r w:rsidR="009E21D9" w:rsidRPr="002C75EF">
        <w:rPr>
          <w:rFonts w:ascii="Times New Roman" w:hAnsi="Times New Roman" w:cs="Times New Roman"/>
          <w:sz w:val="24"/>
          <w:szCs w:val="24"/>
        </w:rPr>
        <w:t xml:space="preserve"> the appellant and or its flagship </w:t>
      </w:r>
      <w:r w:rsidRPr="002C75EF">
        <w:rPr>
          <w:rFonts w:ascii="Times New Roman" w:hAnsi="Times New Roman" w:cs="Times New Roman"/>
          <w:sz w:val="24"/>
          <w:szCs w:val="24"/>
        </w:rPr>
        <w:t>is under these circumstances arm’s length</w:t>
      </w:r>
      <w:r w:rsidR="009E21D9" w:rsidRPr="002C75EF">
        <w:rPr>
          <w:rFonts w:ascii="Times New Roman" w:hAnsi="Times New Roman" w:cs="Times New Roman"/>
          <w:sz w:val="24"/>
          <w:szCs w:val="24"/>
        </w:rPr>
        <w:t>.</w:t>
      </w:r>
    </w:p>
    <w:p w:rsidR="006B5C87" w:rsidRPr="002C75EF" w:rsidRDefault="006B5C87" w:rsidP="002C75EF">
      <w:pPr>
        <w:pStyle w:val="ListParagraph"/>
        <w:numPr>
          <w:ilvl w:val="0"/>
          <w:numId w:val="1"/>
        </w:numPr>
        <w:spacing w:after="0" w:line="360" w:lineRule="auto"/>
        <w:jc w:val="both"/>
        <w:rPr>
          <w:rFonts w:ascii="Times New Roman" w:hAnsi="Times New Roman" w:cs="Times New Roman"/>
          <w:i/>
          <w:sz w:val="24"/>
          <w:szCs w:val="24"/>
        </w:rPr>
      </w:pPr>
      <w:r w:rsidRPr="002C75EF">
        <w:rPr>
          <w:rFonts w:ascii="Times New Roman" w:hAnsi="Times New Roman" w:cs="Times New Roman"/>
          <w:sz w:val="24"/>
          <w:szCs w:val="24"/>
        </w:rPr>
        <w:t>Whether or not the group employees who carry out the head office functions are employees of the appellant’s subsidiary</w:t>
      </w:r>
      <w:r w:rsidR="009E21D9" w:rsidRPr="002C75EF">
        <w:rPr>
          <w:rFonts w:ascii="Times New Roman" w:hAnsi="Times New Roman" w:cs="Times New Roman"/>
          <w:sz w:val="24"/>
          <w:szCs w:val="24"/>
        </w:rPr>
        <w:t>.</w:t>
      </w:r>
    </w:p>
    <w:p w:rsidR="006B5C87" w:rsidRPr="002C75EF" w:rsidRDefault="006B5C87" w:rsidP="002C75EF">
      <w:pPr>
        <w:pStyle w:val="ListParagraph"/>
        <w:numPr>
          <w:ilvl w:val="0"/>
          <w:numId w:val="1"/>
        </w:numPr>
        <w:spacing w:after="0" w:line="360" w:lineRule="auto"/>
        <w:jc w:val="both"/>
        <w:rPr>
          <w:rFonts w:ascii="Times New Roman" w:hAnsi="Times New Roman" w:cs="Times New Roman"/>
          <w:i/>
          <w:sz w:val="24"/>
          <w:szCs w:val="24"/>
        </w:rPr>
      </w:pPr>
      <w:r w:rsidRPr="002C75EF">
        <w:rPr>
          <w:rFonts w:ascii="Times New Roman" w:hAnsi="Times New Roman" w:cs="Times New Roman"/>
          <w:sz w:val="24"/>
          <w:szCs w:val="24"/>
        </w:rPr>
        <w:t xml:space="preserve">Whether or not it is abnormal to house the head office function in the </w:t>
      </w:r>
      <w:r w:rsidR="00EC0208" w:rsidRPr="002C75EF">
        <w:rPr>
          <w:rFonts w:ascii="Times New Roman" w:hAnsi="Times New Roman" w:cs="Times New Roman"/>
          <w:sz w:val="24"/>
          <w:szCs w:val="24"/>
        </w:rPr>
        <w:t xml:space="preserve">flagship </w:t>
      </w:r>
      <w:r w:rsidRPr="002C75EF">
        <w:rPr>
          <w:rFonts w:ascii="Times New Roman" w:hAnsi="Times New Roman" w:cs="Times New Roman"/>
          <w:sz w:val="24"/>
          <w:szCs w:val="24"/>
        </w:rPr>
        <w:t>where the appellant does not operate as a head office.</w:t>
      </w:r>
    </w:p>
    <w:p w:rsidR="006B5C87" w:rsidRPr="002C75EF" w:rsidRDefault="00A46575" w:rsidP="002C75EF">
      <w:pPr>
        <w:pStyle w:val="ListParagraph"/>
        <w:numPr>
          <w:ilvl w:val="0"/>
          <w:numId w:val="1"/>
        </w:numPr>
        <w:spacing w:after="0" w:line="360" w:lineRule="auto"/>
        <w:jc w:val="both"/>
        <w:rPr>
          <w:rFonts w:ascii="Times New Roman" w:hAnsi="Times New Roman" w:cs="Times New Roman"/>
          <w:i/>
          <w:sz w:val="24"/>
          <w:szCs w:val="24"/>
        </w:rPr>
      </w:pPr>
      <w:r w:rsidRPr="002C75EF">
        <w:rPr>
          <w:rFonts w:ascii="Times New Roman" w:hAnsi="Times New Roman" w:cs="Times New Roman"/>
          <w:sz w:val="24"/>
          <w:szCs w:val="24"/>
        </w:rPr>
        <w:t>Whether or not the transactions</w:t>
      </w:r>
      <w:r w:rsidR="006B5C87" w:rsidRPr="002C75EF">
        <w:rPr>
          <w:rFonts w:ascii="Times New Roman" w:hAnsi="Times New Roman" w:cs="Times New Roman"/>
          <w:sz w:val="24"/>
          <w:szCs w:val="24"/>
        </w:rPr>
        <w:t xml:space="preserve">, </w:t>
      </w:r>
      <w:r w:rsidR="00E9350E" w:rsidRPr="002C75EF">
        <w:rPr>
          <w:rFonts w:ascii="Times New Roman" w:hAnsi="Times New Roman" w:cs="Times New Roman"/>
          <w:sz w:val="24"/>
          <w:szCs w:val="24"/>
        </w:rPr>
        <w:t>operations or schemes</w:t>
      </w:r>
      <w:r w:rsidR="006B5C87" w:rsidRPr="002C75EF">
        <w:rPr>
          <w:rFonts w:ascii="Times New Roman" w:hAnsi="Times New Roman" w:cs="Times New Roman"/>
          <w:sz w:val="24"/>
          <w:szCs w:val="24"/>
        </w:rPr>
        <w:t xml:space="preserve"> were entered into with the sole purpose or with one of their main purposes being to avoid or reduce the amount of its taxability</w:t>
      </w:r>
    </w:p>
    <w:p w:rsidR="006B5C87" w:rsidRPr="002C75EF" w:rsidRDefault="006B5C87" w:rsidP="002C75EF">
      <w:pPr>
        <w:pStyle w:val="ListParagraph"/>
        <w:numPr>
          <w:ilvl w:val="0"/>
          <w:numId w:val="1"/>
        </w:numPr>
        <w:spacing w:after="0" w:line="360" w:lineRule="auto"/>
        <w:jc w:val="both"/>
        <w:rPr>
          <w:rFonts w:ascii="Times New Roman" w:hAnsi="Times New Roman" w:cs="Times New Roman"/>
          <w:i/>
          <w:sz w:val="24"/>
          <w:szCs w:val="24"/>
        </w:rPr>
      </w:pPr>
      <w:r w:rsidRPr="002C75EF">
        <w:rPr>
          <w:rFonts w:ascii="Times New Roman" w:hAnsi="Times New Roman" w:cs="Times New Roman"/>
          <w:sz w:val="24"/>
          <w:szCs w:val="24"/>
        </w:rPr>
        <w:t>Whether or not the Commissioner was correct to levy a penalty in terms of s 46 of the Income Tax Act</w:t>
      </w:r>
    </w:p>
    <w:p w:rsidR="006B5C87" w:rsidRPr="002C75EF" w:rsidRDefault="006B5C87" w:rsidP="002C75EF">
      <w:pPr>
        <w:pStyle w:val="ListParagraph"/>
        <w:numPr>
          <w:ilvl w:val="0"/>
          <w:numId w:val="1"/>
        </w:numPr>
        <w:spacing w:after="0" w:line="360" w:lineRule="auto"/>
        <w:jc w:val="both"/>
        <w:rPr>
          <w:rFonts w:ascii="Times New Roman" w:hAnsi="Times New Roman" w:cs="Times New Roman"/>
          <w:i/>
          <w:sz w:val="24"/>
          <w:szCs w:val="24"/>
        </w:rPr>
      </w:pPr>
      <w:r w:rsidRPr="002C75EF">
        <w:rPr>
          <w:rFonts w:ascii="Times New Roman" w:hAnsi="Times New Roman" w:cs="Times New Roman"/>
          <w:sz w:val="24"/>
          <w:szCs w:val="24"/>
        </w:rPr>
        <w:t>Whether or not the penalty of 100% was warranted.</w:t>
      </w:r>
    </w:p>
    <w:p w:rsidR="00C37ECA" w:rsidRPr="002C75EF" w:rsidRDefault="00C37ECA" w:rsidP="002C75EF">
      <w:pPr>
        <w:spacing w:after="0" w:line="360" w:lineRule="auto"/>
        <w:ind w:firstLine="720"/>
        <w:jc w:val="both"/>
        <w:rPr>
          <w:rFonts w:ascii="Times New Roman" w:hAnsi="Times New Roman" w:cs="Times New Roman"/>
          <w:sz w:val="24"/>
          <w:szCs w:val="24"/>
        </w:rPr>
      </w:pPr>
      <w:r w:rsidRPr="002C75EF">
        <w:rPr>
          <w:rFonts w:ascii="Times New Roman" w:hAnsi="Times New Roman" w:cs="Times New Roman"/>
          <w:sz w:val="24"/>
          <w:szCs w:val="24"/>
        </w:rPr>
        <w:lastRenderedPageBreak/>
        <w:t xml:space="preserve">At the appeal hearing, counsel for the parties reduced the issues to the four that I set out at the commencement of this judgment. </w:t>
      </w:r>
    </w:p>
    <w:p w:rsidR="00BC3A7E" w:rsidRPr="002C75EF" w:rsidRDefault="00EC0208" w:rsidP="002C75EF">
      <w:pPr>
        <w:spacing w:after="0" w:line="360" w:lineRule="auto"/>
        <w:ind w:firstLine="720"/>
        <w:jc w:val="both"/>
        <w:rPr>
          <w:rFonts w:ascii="Times New Roman" w:hAnsi="Times New Roman" w:cs="Times New Roman"/>
          <w:sz w:val="24"/>
          <w:szCs w:val="24"/>
        </w:rPr>
      </w:pPr>
      <w:r w:rsidRPr="002C75EF">
        <w:rPr>
          <w:rFonts w:ascii="Times New Roman" w:hAnsi="Times New Roman" w:cs="Times New Roman"/>
          <w:sz w:val="24"/>
          <w:szCs w:val="24"/>
        </w:rPr>
        <w:t xml:space="preserve">The appeal hearing proceeded by way of oral evidence and the production of documentary evidence. The duty to begin and the incidence of onus to establish on a balance of </w:t>
      </w:r>
      <w:r w:rsidR="001567A3">
        <w:rPr>
          <w:rFonts w:ascii="Times New Roman" w:hAnsi="Times New Roman" w:cs="Times New Roman"/>
          <w:sz w:val="24"/>
          <w:szCs w:val="24"/>
        </w:rPr>
        <w:t>probabilities all the issues lies</w:t>
      </w:r>
      <w:r w:rsidRPr="002C75EF">
        <w:rPr>
          <w:rFonts w:ascii="Times New Roman" w:hAnsi="Times New Roman" w:cs="Times New Roman"/>
          <w:sz w:val="24"/>
          <w:szCs w:val="24"/>
        </w:rPr>
        <w:t xml:space="preserve"> on the </w:t>
      </w:r>
      <w:r w:rsidR="001567A3">
        <w:rPr>
          <w:rFonts w:ascii="Times New Roman" w:hAnsi="Times New Roman" w:cs="Times New Roman"/>
          <w:sz w:val="24"/>
          <w:szCs w:val="24"/>
        </w:rPr>
        <w:t>appellant. This is because it i</w:t>
      </w:r>
      <w:r w:rsidRPr="002C75EF">
        <w:rPr>
          <w:rFonts w:ascii="Times New Roman" w:hAnsi="Times New Roman" w:cs="Times New Roman"/>
          <w:sz w:val="24"/>
          <w:szCs w:val="24"/>
        </w:rPr>
        <w:t xml:space="preserve">s the one that made positive assertions that the decision of the Commissioner to the objection was either a misdirection of the facts or law. </w:t>
      </w:r>
      <w:r w:rsidR="00BE569A" w:rsidRPr="002C75EF">
        <w:rPr>
          <w:rFonts w:ascii="Times New Roman" w:hAnsi="Times New Roman" w:cs="Times New Roman"/>
          <w:sz w:val="24"/>
          <w:szCs w:val="24"/>
        </w:rPr>
        <w:t xml:space="preserve">It is trite that he who makes positive assertions bears the onus. </w:t>
      </w:r>
      <w:r w:rsidRPr="002C75EF">
        <w:rPr>
          <w:rFonts w:ascii="Times New Roman" w:hAnsi="Times New Roman" w:cs="Times New Roman"/>
          <w:sz w:val="24"/>
          <w:szCs w:val="24"/>
        </w:rPr>
        <w:t xml:space="preserve">See </w:t>
      </w:r>
      <w:r w:rsidR="00BE569A" w:rsidRPr="002C75EF">
        <w:rPr>
          <w:rFonts w:ascii="Times New Roman" w:hAnsi="Times New Roman" w:cs="Times New Roman"/>
          <w:i/>
          <w:sz w:val="24"/>
          <w:szCs w:val="24"/>
        </w:rPr>
        <w:t xml:space="preserve">Astra Industries Ltd </w:t>
      </w:r>
      <w:r w:rsidR="00BE569A" w:rsidRPr="001C77E3">
        <w:rPr>
          <w:rFonts w:ascii="Times New Roman" w:hAnsi="Times New Roman" w:cs="Times New Roman"/>
          <w:sz w:val="24"/>
          <w:szCs w:val="24"/>
        </w:rPr>
        <w:t xml:space="preserve">v </w:t>
      </w:r>
      <w:r w:rsidR="00BE569A" w:rsidRPr="002C75EF">
        <w:rPr>
          <w:rFonts w:ascii="Times New Roman" w:hAnsi="Times New Roman" w:cs="Times New Roman"/>
          <w:i/>
          <w:sz w:val="24"/>
          <w:szCs w:val="24"/>
        </w:rPr>
        <w:t>Chamburuka</w:t>
      </w:r>
      <w:r w:rsidR="00BE569A" w:rsidRPr="002C75EF">
        <w:rPr>
          <w:rFonts w:ascii="Times New Roman" w:hAnsi="Times New Roman" w:cs="Times New Roman"/>
          <w:sz w:val="24"/>
          <w:szCs w:val="24"/>
        </w:rPr>
        <w:t xml:space="preserve"> SC 258/11; </w:t>
      </w:r>
      <w:r w:rsidR="00BE569A" w:rsidRPr="002C75EF">
        <w:rPr>
          <w:rFonts w:ascii="Times New Roman" w:hAnsi="Times New Roman" w:cs="Times New Roman"/>
          <w:i/>
          <w:sz w:val="24"/>
          <w:szCs w:val="24"/>
        </w:rPr>
        <w:t>Zupco</w:t>
      </w:r>
      <w:r w:rsidR="00BE569A" w:rsidRPr="001C77E3">
        <w:rPr>
          <w:rFonts w:ascii="Times New Roman" w:hAnsi="Times New Roman" w:cs="Times New Roman"/>
          <w:sz w:val="24"/>
          <w:szCs w:val="24"/>
        </w:rPr>
        <w:t xml:space="preserve"> v</w:t>
      </w:r>
      <w:r w:rsidR="00BE569A" w:rsidRPr="002C75EF">
        <w:rPr>
          <w:rFonts w:ascii="Times New Roman" w:hAnsi="Times New Roman" w:cs="Times New Roman"/>
          <w:i/>
          <w:sz w:val="24"/>
          <w:szCs w:val="24"/>
        </w:rPr>
        <w:t xml:space="preserve"> Parkhouse Services (Pvt) Ltd</w:t>
      </w:r>
      <w:r w:rsidR="00B954B3" w:rsidRPr="002C75EF">
        <w:rPr>
          <w:rFonts w:ascii="Times New Roman" w:hAnsi="Times New Roman" w:cs="Times New Roman"/>
          <w:sz w:val="24"/>
          <w:szCs w:val="24"/>
        </w:rPr>
        <w:t xml:space="preserve"> SC 13/17.</w:t>
      </w:r>
    </w:p>
    <w:p w:rsidR="00B954B3" w:rsidRPr="002C75EF" w:rsidRDefault="00B954B3" w:rsidP="002C75EF">
      <w:pPr>
        <w:spacing w:after="0" w:line="360" w:lineRule="auto"/>
        <w:jc w:val="both"/>
        <w:rPr>
          <w:rFonts w:ascii="Times New Roman" w:hAnsi="Times New Roman" w:cs="Times New Roman"/>
          <w:sz w:val="24"/>
          <w:szCs w:val="24"/>
          <w:u w:val="single"/>
        </w:rPr>
      </w:pPr>
      <w:r w:rsidRPr="002C75EF">
        <w:rPr>
          <w:rFonts w:ascii="Times New Roman" w:hAnsi="Times New Roman" w:cs="Times New Roman"/>
          <w:sz w:val="24"/>
          <w:szCs w:val="24"/>
          <w:u w:val="single"/>
        </w:rPr>
        <w:t>The oral evidence</w:t>
      </w:r>
    </w:p>
    <w:p w:rsidR="00B954B3" w:rsidRPr="002C75EF" w:rsidRDefault="00B954B3" w:rsidP="001C77E3">
      <w:pPr>
        <w:spacing w:after="0" w:line="360" w:lineRule="auto"/>
        <w:ind w:firstLine="720"/>
        <w:jc w:val="both"/>
        <w:rPr>
          <w:rFonts w:ascii="Times New Roman" w:hAnsi="Times New Roman" w:cs="Times New Roman"/>
          <w:sz w:val="24"/>
          <w:szCs w:val="24"/>
        </w:rPr>
      </w:pPr>
      <w:r w:rsidRPr="002C75EF">
        <w:rPr>
          <w:rFonts w:ascii="Times New Roman" w:hAnsi="Times New Roman" w:cs="Times New Roman"/>
          <w:sz w:val="24"/>
          <w:szCs w:val="24"/>
        </w:rPr>
        <w:t>The appellant called the evidence of its form</w:t>
      </w:r>
      <w:r w:rsidR="00A82AF3" w:rsidRPr="002C75EF">
        <w:rPr>
          <w:rFonts w:ascii="Times New Roman" w:hAnsi="Times New Roman" w:cs="Times New Roman"/>
          <w:sz w:val="24"/>
          <w:szCs w:val="24"/>
        </w:rPr>
        <w:t>er</w:t>
      </w:r>
      <w:r w:rsidRPr="002C75EF">
        <w:rPr>
          <w:rFonts w:ascii="Times New Roman" w:hAnsi="Times New Roman" w:cs="Times New Roman"/>
          <w:sz w:val="24"/>
          <w:szCs w:val="24"/>
        </w:rPr>
        <w:t xml:space="preserve"> G</w:t>
      </w:r>
      <w:r w:rsidR="00A82AF3" w:rsidRPr="002C75EF">
        <w:rPr>
          <w:rFonts w:ascii="Times New Roman" w:hAnsi="Times New Roman" w:cs="Times New Roman"/>
          <w:sz w:val="24"/>
          <w:szCs w:val="24"/>
        </w:rPr>
        <w:t>CEO</w:t>
      </w:r>
      <w:r w:rsidRPr="002C75EF">
        <w:rPr>
          <w:rFonts w:ascii="Times New Roman" w:hAnsi="Times New Roman" w:cs="Times New Roman"/>
          <w:sz w:val="24"/>
          <w:szCs w:val="24"/>
        </w:rPr>
        <w:t xml:space="preserve"> </w:t>
      </w:r>
      <w:r w:rsidR="00A82AF3" w:rsidRPr="002C75EF">
        <w:rPr>
          <w:rFonts w:ascii="Times New Roman" w:hAnsi="Times New Roman" w:cs="Times New Roman"/>
          <w:sz w:val="24"/>
          <w:szCs w:val="24"/>
        </w:rPr>
        <w:t>St. LD (t</w:t>
      </w:r>
      <w:r w:rsidRPr="002C75EF">
        <w:rPr>
          <w:rFonts w:ascii="Times New Roman" w:hAnsi="Times New Roman" w:cs="Times New Roman"/>
          <w:sz w:val="24"/>
          <w:szCs w:val="24"/>
        </w:rPr>
        <w:t>he Saint</w:t>
      </w:r>
      <w:r w:rsidR="00A82AF3" w:rsidRPr="002C75EF">
        <w:rPr>
          <w:rFonts w:ascii="Times New Roman" w:hAnsi="Times New Roman" w:cs="Times New Roman"/>
          <w:sz w:val="24"/>
          <w:szCs w:val="24"/>
        </w:rPr>
        <w:t>)</w:t>
      </w:r>
      <w:r w:rsidRPr="002C75EF">
        <w:rPr>
          <w:rFonts w:ascii="Times New Roman" w:hAnsi="Times New Roman" w:cs="Times New Roman"/>
          <w:sz w:val="24"/>
          <w:szCs w:val="24"/>
        </w:rPr>
        <w:t>, Group Financial Director</w:t>
      </w:r>
      <w:r w:rsidR="00A82AF3" w:rsidRPr="002C75EF">
        <w:rPr>
          <w:rFonts w:ascii="Times New Roman" w:hAnsi="Times New Roman" w:cs="Times New Roman"/>
          <w:sz w:val="24"/>
          <w:szCs w:val="24"/>
        </w:rPr>
        <w:t xml:space="preserve"> and Public Officer (</w:t>
      </w:r>
      <w:r w:rsidR="00C37ECA" w:rsidRPr="002C75EF">
        <w:rPr>
          <w:rFonts w:ascii="Times New Roman" w:hAnsi="Times New Roman" w:cs="Times New Roman"/>
          <w:sz w:val="24"/>
          <w:szCs w:val="24"/>
        </w:rPr>
        <w:t>GFD or</w:t>
      </w:r>
      <w:r w:rsidRPr="002C75EF">
        <w:rPr>
          <w:rFonts w:ascii="Times New Roman" w:hAnsi="Times New Roman" w:cs="Times New Roman"/>
          <w:sz w:val="24"/>
          <w:szCs w:val="24"/>
        </w:rPr>
        <w:t xml:space="preserve"> JM</w:t>
      </w:r>
      <w:r w:rsidR="00A82AF3" w:rsidRPr="002C75EF">
        <w:rPr>
          <w:rFonts w:ascii="Times New Roman" w:hAnsi="Times New Roman" w:cs="Times New Roman"/>
          <w:sz w:val="24"/>
          <w:szCs w:val="24"/>
        </w:rPr>
        <w:t>)</w:t>
      </w:r>
      <w:r w:rsidRPr="002C75EF">
        <w:rPr>
          <w:rFonts w:ascii="Times New Roman" w:hAnsi="Times New Roman" w:cs="Times New Roman"/>
          <w:sz w:val="24"/>
          <w:szCs w:val="24"/>
        </w:rPr>
        <w:t xml:space="preserve">, Group Research Manager, </w:t>
      </w:r>
      <w:r w:rsidR="00A82AF3" w:rsidRPr="002C75EF">
        <w:rPr>
          <w:rFonts w:ascii="Times New Roman" w:hAnsi="Times New Roman" w:cs="Times New Roman"/>
          <w:sz w:val="24"/>
          <w:szCs w:val="24"/>
        </w:rPr>
        <w:t>(</w:t>
      </w:r>
      <w:r w:rsidRPr="002C75EF">
        <w:rPr>
          <w:rFonts w:ascii="Times New Roman" w:hAnsi="Times New Roman" w:cs="Times New Roman"/>
          <w:sz w:val="24"/>
          <w:szCs w:val="24"/>
        </w:rPr>
        <w:t>GRM</w:t>
      </w:r>
      <w:r w:rsidR="00F61FAE">
        <w:rPr>
          <w:rFonts w:ascii="Times New Roman" w:hAnsi="Times New Roman" w:cs="Times New Roman"/>
          <w:sz w:val="24"/>
          <w:szCs w:val="24"/>
        </w:rPr>
        <w:t xml:space="preserve"> or the scientist</w:t>
      </w:r>
      <w:r w:rsidR="00A82AF3" w:rsidRPr="002C75EF">
        <w:rPr>
          <w:rFonts w:ascii="Times New Roman" w:hAnsi="Times New Roman" w:cs="Times New Roman"/>
          <w:sz w:val="24"/>
          <w:szCs w:val="24"/>
        </w:rPr>
        <w:t>)</w:t>
      </w:r>
      <w:r w:rsidRPr="002C75EF">
        <w:rPr>
          <w:rFonts w:ascii="Times New Roman" w:hAnsi="Times New Roman" w:cs="Times New Roman"/>
          <w:sz w:val="24"/>
          <w:szCs w:val="24"/>
        </w:rPr>
        <w:t xml:space="preserve"> and a purported expert in </w:t>
      </w:r>
      <w:r w:rsidR="00A500FA" w:rsidRPr="002C75EF">
        <w:rPr>
          <w:rFonts w:ascii="Times New Roman" w:hAnsi="Times New Roman" w:cs="Times New Roman"/>
          <w:sz w:val="24"/>
          <w:szCs w:val="24"/>
        </w:rPr>
        <w:t>the O</w:t>
      </w:r>
      <w:r w:rsidR="00281A01" w:rsidRPr="002C75EF">
        <w:rPr>
          <w:rFonts w:ascii="Times New Roman" w:hAnsi="Times New Roman" w:cs="Times New Roman"/>
          <w:sz w:val="24"/>
          <w:szCs w:val="24"/>
        </w:rPr>
        <w:t xml:space="preserve">ECD TPGs </w:t>
      </w:r>
      <w:r w:rsidR="00A500FA" w:rsidRPr="002C75EF">
        <w:rPr>
          <w:rFonts w:ascii="Times New Roman" w:hAnsi="Times New Roman" w:cs="Times New Roman"/>
          <w:sz w:val="24"/>
          <w:szCs w:val="24"/>
        </w:rPr>
        <w:t xml:space="preserve">and </w:t>
      </w:r>
      <w:r w:rsidR="004663A0" w:rsidRPr="002C75EF">
        <w:rPr>
          <w:rFonts w:ascii="Times New Roman" w:hAnsi="Times New Roman" w:cs="Times New Roman"/>
          <w:sz w:val="24"/>
          <w:szCs w:val="24"/>
        </w:rPr>
        <w:t xml:space="preserve">the United Nations Practical Manual on Transfer Pricing for Developing Countries, </w:t>
      </w:r>
      <w:r w:rsidR="00281A01" w:rsidRPr="002C75EF">
        <w:rPr>
          <w:rFonts w:ascii="Times New Roman" w:hAnsi="Times New Roman" w:cs="Times New Roman"/>
          <w:sz w:val="24"/>
          <w:szCs w:val="24"/>
        </w:rPr>
        <w:t>UN Manual (</w:t>
      </w:r>
      <w:r w:rsidR="00A500FA" w:rsidRPr="002C75EF">
        <w:rPr>
          <w:rFonts w:ascii="Times New Roman" w:hAnsi="Times New Roman" w:cs="Times New Roman"/>
          <w:sz w:val="24"/>
          <w:szCs w:val="24"/>
        </w:rPr>
        <w:t>Mrs RN</w:t>
      </w:r>
      <w:r w:rsidR="00C4239F" w:rsidRPr="002C75EF">
        <w:rPr>
          <w:rFonts w:ascii="Times New Roman" w:hAnsi="Times New Roman" w:cs="Times New Roman"/>
          <w:sz w:val="24"/>
          <w:szCs w:val="24"/>
        </w:rPr>
        <w:t xml:space="preserve"> or the expert</w:t>
      </w:r>
      <w:r w:rsidR="00281A01" w:rsidRPr="002C75EF">
        <w:rPr>
          <w:rFonts w:ascii="Times New Roman" w:hAnsi="Times New Roman" w:cs="Times New Roman"/>
          <w:sz w:val="24"/>
          <w:szCs w:val="24"/>
        </w:rPr>
        <w:t>)</w:t>
      </w:r>
      <w:r w:rsidR="00200ED1" w:rsidRPr="002C75EF">
        <w:rPr>
          <w:rFonts w:ascii="Times New Roman" w:hAnsi="Times New Roman" w:cs="Times New Roman"/>
          <w:sz w:val="24"/>
          <w:szCs w:val="24"/>
        </w:rPr>
        <w:t>, who between them produced 11</w:t>
      </w:r>
      <w:r w:rsidR="00A500FA" w:rsidRPr="002C75EF">
        <w:rPr>
          <w:rFonts w:ascii="Times New Roman" w:hAnsi="Times New Roman" w:cs="Times New Roman"/>
          <w:sz w:val="24"/>
          <w:szCs w:val="24"/>
        </w:rPr>
        <w:t xml:space="preserve"> documentary exhibits. The respondent relied on the testimony of its field team leader, Chief Investigations Officer, </w:t>
      </w:r>
      <w:r w:rsidR="00C37ECA" w:rsidRPr="002C75EF">
        <w:rPr>
          <w:rFonts w:ascii="Times New Roman" w:hAnsi="Times New Roman" w:cs="Times New Roman"/>
          <w:sz w:val="24"/>
          <w:szCs w:val="24"/>
        </w:rPr>
        <w:t xml:space="preserve">OM, and its </w:t>
      </w:r>
      <w:r w:rsidR="00C4239F" w:rsidRPr="002C75EF">
        <w:rPr>
          <w:rFonts w:ascii="Times New Roman" w:hAnsi="Times New Roman" w:cs="Times New Roman"/>
          <w:sz w:val="24"/>
          <w:szCs w:val="24"/>
        </w:rPr>
        <w:t xml:space="preserve">305 paged </w:t>
      </w:r>
      <w:r w:rsidR="00C37ECA" w:rsidRPr="002C75EF">
        <w:rPr>
          <w:rFonts w:ascii="Times New Roman" w:hAnsi="Times New Roman" w:cs="Times New Roman"/>
          <w:sz w:val="24"/>
          <w:szCs w:val="24"/>
        </w:rPr>
        <w:t>bundle of documents filed on 27 July 2015</w:t>
      </w:r>
      <w:r w:rsidR="00A500FA" w:rsidRPr="002C75EF">
        <w:rPr>
          <w:rFonts w:ascii="Times New Roman" w:hAnsi="Times New Roman" w:cs="Times New Roman"/>
          <w:sz w:val="24"/>
          <w:szCs w:val="24"/>
        </w:rPr>
        <w:t xml:space="preserve">. </w:t>
      </w:r>
    </w:p>
    <w:p w:rsidR="00BD2F7C" w:rsidRPr="002C75EF" w:rsidRDefault="00BD2F7C" w:rsidP="002C75EF">
      <w:pPr>
        <w:spacing w:after="0" w:line="360" w:lineRule="auto"/>
        <w:jc w:val="both"/>
        <w:rPr>
          <w:rFonts w:ascii="Times New Roman" w:hAnsi="Times New Roman" w:cs="Times New Roman"/>
          <w:i/>
          <w:sz w:val="24"/>
          <w:szCs w:val="24"/>
        </w:rPr>
      </w:pPr>
      <w:r w:rsidRPr="002C75EF">
        <w:rPr>
          <w:rFonts w:ascii="Times New Roman" w:hAnsi="Times New Roman" w:cs="Times New Roman"/>
          <w:i/>
          <w:sz w:val="24"/>
          <w:szCs w:val="24"/>
        </w:rPr>
        <w:t>The c</w:t>
      </w:r>
      <w:r w:rsidR="00A368DE" w:rsidRPr="002C75EF">
        <w:rPr>
          <w:rFonts w:ascii="Times New Roman" w:hAnsi="Times New Roman" w:cs="Times New Roman"/>
          <w:i/>
          <w:sz w:val="24"/>
          <w:szCs w:val="24"/>
        </w:rPr>
        <w:t>om</w:t>
      </w:r>
      <w:r w:rsidRPr="002C75EF">
        <w:rPr>
          <w:rFonts w:ascii="Times New Roman" w:hAnsi="Times New Roman" w:cs="Times New Roman"/>
          <w:i/>
          <w:sz w:val="24"/>
          <w:szCs w:val="24"/>
        </w:rPr>
        <w:t>mon cause facts</w:t>
      </w:r>
    </w:p>
    <w:p w:rsidR="007915D5" w:rsidRPr="002C75EF" w:rsidRDefault="0093774D" w:rsidP="005A5CD5">
      <w:pPr>
        <w:spacing w:after="0" w:line="360" w:lineRule="auto"/>
        <w:ind w:firstLine="720"/>
        <w:jc w:val="both"/>
        <w:rPr>
          <w:rFonts w:ascii="Times New Roman" w:hAnsi="Times New Roman" w:cs="Times New Roman"/>
          <w:sz w:val="24"/>
          <w:szCs w:val="24"/>
        </w:rPr>
      </w:pPr>
      <w:r w:rsidRPr="002C75EF">
        <w:rPr>
          <w:rFonts w:ascii="Times New Roman" w:hAnsi="Times New Roman" w:cs="Times New Roman"/>
          <w:sz w:val="24"/>
          <w:szCs w:val="24"/>
        </w:rPr>
        <w:t xml:space="preserve">The appellant company was formed in </w:t>
      </w:r>
      <w:r w:rsidR="0022388D" w:rsidRPr="002C75EF">
        <w:rPr>
          <w:rFonts w:ascii="Times New Roman" w:hAnsi="Times New Roman" w:cs="Times New Roman"/>
          <w:sz w:val="24"/>
          <w:szCs w:val="24"/>
        </w:rPr>
        <w:t>1940</w:t>
      </w:r>
      <w:r w:rsidR="0023506E" w:rsidRPr="002C75EF">
        <w:rPr>
          <w:rFonts w:ascii="Times New Roman" w:hAnsi="Times New Roman" w:cs="Times New Roman"/>
          <w:sz w:val="24"/>
          <w:szCs w:val="24"/>
        </w:rPr>
        <w:t xml:space="preserve"> and floated as a public company in July 1996</w:t>
      </w:r>
      <w:r w:rsidR="00A368DE" w:rsidRPr="002C75EF">
        <w:rPr>
          <w:rFonts w:ascii="Times New Roman" w:hAnsi="Times New Roman" w:cs="Times New Roman"/>
          <w:sz w:val="24"/>
          <w:szCs w:val="24"/>
        </w:rPr>
        <w:t xml:space="preserve">. </w:t>
      </w:r>
      <w:r w:rsidR="009968AA" w:rsidRPr="002C75EF">
        <w:rPr>
          <w:rFonts w:ascii="Times New Roman" w:hAnsi="Times New Roman" w:cs="Times New Roman"/>
          <w:sz w:val="24"/>
          <w:szCs w:val="24"/>
        </w:rPr>
        <w:t>The annual</w:t>
      </w:r>
      <w:r w:rsidR="00046B80" w:rsidRPr="002C75EF">
        <w:rPr>
          <w:rFonts w:ascii="Times New Roman" w:hAnsi="Times New Roman" w:cs="Times New Roman"/>
          <w:sz w:val="24"/>
          <w:szCs w:val="24"/>
        </w:rPr>
        <w:t xml:space="preserve"> report for the year ended 29 February 2004, </w:t>
      </w:r>
      <w:r w:rsidR="00A368DE" w:rsidRPr="002C75EF">
        <w:rPr>
          <w:rFonts w:ascii="Times New Roman" w:hAnsi="Times New Roman" w:cs="Times New Roman"/>
          <w:sz w:val="24"/>
          <w:szCs w:val="24"/>
        </w:rPr>
        <w:t xml:space="preserve">portrayed the appellant as a dominant </w:t>
      </w:r>
      <w:r w:rsidR="007915D5" w:rsidRPr="002C75EF">
        <w:rPr>
          <w:rFonts w:ascii="Times New Roman" w:hAnsi="Times New Roman" w:cs="Times New Roman"/>
          <w:sz w:val="24"/>
          <w:szCs w:val="24"/>
        </w:rPr>
        <w:t>multinational enterprise in the business of developing and marketing certified crop seeds through its own operations in Zimbabwe and othe</w:t>
      </w:r>
      <w:r w:rsidR="00A368DE" w:rsidRPr="002C75EF">
        <w:rPr>
          <w:rFonts w:ascii="Times New Roman" w:hAnsi="Times New Roman" w:cs="Times New Roman"/>
          <w:sz w:val="24"/>
          <w:szCs w:val="24"/>
        </w:rPr>
        <w:t>r SADC countries and Kenya</w:t>
      </w:r>
      <w:r w:rsidR="004D2C19" w:rsidRPr="002C75EF">
        <w:rPr>
          <w:rFonts w:ascii="Times New Roman" w:hAnsi="Times New Roman" w:cs="Times New Roman"/>
          <w:sz w:val="24"/>
          <w:szCs w:val="24"/>
        </w:rPr>
        <w:t xml:space="preserve">. </w:t>
      </w:r>
      <w:r w:rsidR="00A368DE" w:rsidRPr="002C75EF">
        <w:rPr>
          <w:rFonts w:ascii="Times New Roman" w:hAnsi="Times New Roman" w:cs="Times New Roman"/>
          <w:sz w:val="24"/>
          <w:szCs w:val="24"/>
        </w:rPr>
        <w:t>It undertook</w:t>
      </w:r>
      <w:r w:rsidR="007915D5" w:rsidRPr="002C75EF">
        <w:rPr>
          <w:rFonts w:ascii="Times New Roman" w:hAnsi="Times New Roman" w:cs="Times New Roman"/>
          <w:sz w:val="24"/>
          <w:szCs w:val="24"/>
        </w:rPr>
        <w:t xml:space="preserve"> </w:t>
      </w:r>
      <w:r w:rsidR="00046B80" w:rsidRPr="002C75EF">
        <w:rPr>
          <w:rFonts w:ascii="Times New Roman" w:hAnsi="Times New Roman" w:cs="Times New Roman"/>
          <w:sz w:val="24"/>
          <w:szCs w:val="24"/>
        </w:rPr>
        <w:t xml:space="preserve">an internal reorganization </w:t>
      </w:r>
      <w:r w:rsidR="00A368DE" w:rsidRPr="002C75EF">
        <w:rPr>
          <w:rFonts w:ascii="Times New Roman" w:hAnsi="Times New Roman" w:cs="Times New Roman"/>
          <w:sz w:val="24"/>
          <w:szCs w:val="24"/>
        </w:rPr>
        <w:t>programme, referred to by</w:t>
      </w:r>
      <w:r w:rsidR="00046B80" w:rsidRPr="002C75EF">
        <w:rPr>
          <w:rFonts w:ascii="Times New Roman" w:hAnsi="Times New Roman" w:cs="Times New Roman"/>
          <w:sz w:val="24"/>
          <w:szCs w:val="24"/>
        </w:rPr>
        <w:t xml:space="preserve"> the Saint</w:t>
      </w:r>
      <w:r w:rsidR="00A368DE" w:rsidRPr="002C75EF">
        <w:rPr>
          <w:rFonts w:ascii="Times New Roman" w:hAnsi="Times New Roman" w:cs="Times New Roman"/>
          <w:sz w:val="24"/>
          <w:szCs w:val="24"/>
        </w:rPr>
        <w:t xml:space="preserve"> and JM</w:t>
      </w:r>
      <w:r w:rsidR="00046B80" w:rsidRPr="002C75EF">
        <w:rPr>
          <w:rFonts w:ascii="Times New Roman" w:hAnsi="Times New Roman" w:cs="Times New Roman"/>
          <w:sz w:val="24"/>
          <w:szCs w:val="24"/>
        </w:rPr>
        <w:t xml:space="preserve"> </w:t>
      </w:r>
      <w:r w:rsidR="007915D5" w:rsidRPr="002C75EF">
        <w:rPr>
          <w:rFonts w:ascii="Times New Roman" w:hAnsi="Times New Roman" w:cs="Times New Roman"/>
          <w:sz w:val="24"/>
          <w:szCs w:val="24"/>
        </w:rPr>
        <w:t xml:space="preserve">in oral evidence, </w:t>
      </w:r>
      <w:r w:rsidR="00046B80" w:rsidRPr="002C75EF">
        <w:rPr>
          <w:rFonts w:ascii="Times New Roman" w:hAnsi="Times New Roman" w:cs="Times New Roman"/>
          <w:sz w:val="24"/>
          <w:szCs w:val="24"/>
        </w:rPr>
        <w:t>as a reconstruction scheme</w:t>
      </w:r>
      <w:r w:rsidR="007915D5" w:rsidRPr="002C75EF">
        <w:rPr>
          <w:rFonts w:ascii="Times New Roman" w:hAnsi="Times New Roman" w:cs="Times New Roman"/>
          <w:sz w:val="24"/>
          <w:szCs w:val="24"/>
        </w:rPr>
        <w:t>. The p</w:t>
      </w:r>
      <w:r w:rsidR="00A368DE" w:rsidRPr="002C75EF">
        <w:rPr>
          <w:rFonts w:ascii="Times New Roman" w:hAnsi="Times New Roman" w:cs="Times New Roman"/>
          <w:sz w:val="24"/>
          <w:szCs w:val="24"/>
        </w:rPr>
        <w:t>urpose,</w:t>
      </w:r>
      <w:r w:rsidR="007915D5" w:rsidRPr="002C75EF">
        <w:rPr>
          <w:rFonts w:ascii="Times New Roman" w:hAnsi="Times New Roman" w:cs="Times New Roman"/>
          <w:sz w:val="24"/>
          <w:szCs w:val="24"/>
        </w:rPr>
        <w:t xml:space="preserve"> </w:t>
      </w:r>
      <w:r w:rsidR="00523AB6" w:rsidRPr="002C75EF">
        <w:rPr>
          <w:rFonts w:ascii="Times New Roman" w:hAnsi="Times New Roman" w:cs="Times New Roman"/>
          <w:sz w:val="24"/>
          <w:szCs w:val="24"/>
        </w:rPr>
        <w:t>captured in the</w:t>
      </w:r>
      <w:r w:rsidR="007915D5" w:rsidRPr="002C75EF">
        <w:rPr>
          <w:rFonts w:ascii="Times New Roman" w:hAnsi="Times New Roman" w:cs="Times New Roman"/>
          <w:sz w:val="24"/>
          <w:szCs w:val="24"/>
        </w:rPr>
        <w:t xml:space="preserve"> Chairman</w:t>
      </w:r>
      <w:r w:rsidR="00523AB6" w:rsidRPr="002C75EF">
        <w:rPr>
          <w:rFonts w:ascii="Times New Roman" w:hAnsi="Times New Roman" w:cs="Times New Roman"/>
          <w:sz w:val="24"/>
          <w:szCs w:val="24"/>
        </w:rPr>
        <w:t>’s</w:t>
      </w:r>
      <w:r w:rsidR="007915D5" w:rsidRPr="002C75EF">
        <w:rPr>
          <w:rFonts w:ascii="Times New Roman" w:hAnsi="Times New Roman" w:cs="Times New Roman"/>
          <w:sz w:val="24"/>
          <w:szCs w:val="24"/>
        </w:rPr>
        <w:t xml:space="preserve"> circular to shareholders and notice convening an extraordinary general meeting</w:t>
      </w:r>
      <w:r w:rsidR="008D1AB5" w:rsidRPr="002C75EF">
        <w:rPr>
          <w:rFonts w:ascii="Times New Roman" w:hAnsi="Times New Roman" w:cs="Times New Roman"/>
          <w:sz w:val="24"/>
          <w:szCs w:val="24"/>
        </w:rPr>
        <w:t xml:space="preserve"> (EGM)</w:t>
      </w:r>
      <w:r w:rsidR="007915D5" w:rsidRPr="002C75EF">
        <w:rPr>
          <w:rFonts w:ascii="Times New Roman" w:hAnsi="Times New Roman" w:cs="Times New Roman"/>
          <w:sz w:val="24"/>
          <w:szCs w:val="24"/>
        </w:rPr>
        <w:t xml:space="preserve"> of 27 January 2005</w:t>
      </w:r>
      <w:r w:rsidR="00A368DE" w:rsidRPr="002C75EF">
        <w:rPr>
          <w:rFonts w:ascii="Times New Roman" w:hAnsi="Times New Roman" w:cs="Times New Roman"/>
          <w:sz w:val="24"/>
          <w:szCs w:val="24"/>
        </w:rPr>
        <w:t>, was to best serve the interest</w:t>
      </w:r>
      <w:r w:rsidR="00E143F7">
        <w:rPr>
          <w:rFonts w:ascii="Times New Roman" w:hAnsi="Times New Roman" w:cs="Times New Roman"/>
          <w:sz w:val="24"/>
          <w:szCs w:val="24"/>
        </w:rPr>
        <w:t>s</w:t>
      </w:r>
      <w:r w:rsidR="00A368DE" w:rsidRPr="002C75EF">
        <w:rPr>
          <w:rFonts w:ascii="Times New Roman" w:hAnsi="Times New Roman" w:cs="Times New Roman"/>
          <w:sz w:val="24"/>
          <w:szCs w:val="24"/>
        </w:rPr>
        <w:t xml:space="preserve"> of the appellant by placing its Zimbabwean operations</w:t>
      </w:r>
      <w:r w:rsidR="003969C2" w:rsidRPr="002C75EF">
        <w:rPr>
          <w:rFonts w:ascii="Times New Roman" w:hAnsi="Times New Roman" w:cs="Times New Roman"/>
          <w:sz w:val="24"/>
          <w:szCs w:val="24"/>
        </w:rPr>
        <w:t>, exclusive of its investments in local companies and Africa,</w:t>
      </w:r>
      <w:r w:rsidR="00A368DE" w:rsidRPr="002C75EF">
        <w:rPr>
          <w:rFonts w:ascii="Times New Roman" w:hAnsi="Times New Roman" w:cs="Times New Roman"/>
          <w:sz w:val="24"/>
          <w:szCs w:val="24"/>
        </w:rPr>
        <w:t xml:space="preserve"> under a</w:t>
      </w:r>
      <w:r w:rsidR="00737530" w:rsidRPr="002C75EF">
        <w:rPr>
          <w:rFonts w:ascii="Times New Roman" w:hAnsi="Times New Roman" w:cs="Times New Roman"/>
          <w:sz w:val="24"/>
          <w:szCs w:val="24"/>
        </w:rPr>
        <w:t xml:space="preserve">n </w:t>
      </w:r>
      <w:r w:rsidR="003969C2" w:rsidRPr="002C75EF">
        <w:rPr>
          <w:rFonts w:ascii="Times New Roman" w:hAnsi="Times New Roman" w:cs="Times New Roman"/>
          <w:sz w:val="24"/>
          <w:szCs w:val="24"/>
        </w:rPr>
        <w:t xml:space="preserve">as </w:t>
      </w:r>
      <w:r w:rsidR="00737530" w:rsidRPr="002C75EF">
        <w:rPr>
          <w:rFonts w:ascii="Times New Roman" w:hAnsi="Times New Roman" w:cs="Times New Roman"/>
          <w:sz w:val="24"/>
          <w:szCs w:val="24"/>
        </w:rPr>
        <w:t>yet to be formed</w:t>
      </w:r>
      <w:r w:rsidR="00A368DE" w:rsidRPr="002C75EF">
        <w:rPr>
          <w:rFonts w:ascii="Times New Roman" w:hAnsi="Times New Roman" w:cs="Times New Roman"/>
          <w:sz w:val="24"/>
          <w:szCs w:val="24"/>
        </w:rPr>
        <w:t xml:space="preserve"> single wholly owned </w:t>
      </w:r>
      <w:r w:rsidR="00737530" w:rsidRPr="002C75EF">
        <w:rPr>
          <w:rFonts w:ascii="Times New Roman" w:hAnsi="Times New Roman" w:cs="Times New Roman"/>
          <w:sz w:val="24"/>
          <w:szCs w:val="24"/>
        </w:rPr>
        <w:t>subsidiary company to be called the flagship</w:t>
      </w:r>
      <w:r w:rsidR="00E143F7">
        <w:rPr>
          <w:rFonts w:ascii="Times New Roman" w:hAnsi="Times New Roman" w:cs="Times New Roman"/>
          <w:sz w:val="24"/>
          <w:szCs w:val="24"/>
        </w:rPr>
        <w:t>,</w:t>
      </w:r>
      <w:r w:rsidR="00737530" w:rsidRPr="002C75EF">
        <w:rPr>
          <w:rFonts w:ascii="Times New Roman" w:hAnsi="Times New Roman" w:cs="Times New Roman"/>
          <w:sz w:val="24"/>
          <w:szCs w:val="24"/>
        </w:rPr>
        <w:t xml:space="preserve"> leaving the appellant as a non-operational holding company and allowing the Board more latitude to superintend over the all group operations more efficiently. </w:t>
      </w:r>
    </w:p>
    <w:p w:rsidR="00AB593F" w:rsidRPr="002C75EF" w:rsidRDefault="00AB593F" w:rsidP="004B164C">
      <w:pPr>
        <w:spacing w:after="0" w:line="360" w:lineRule="auto"/>
        <w:ind w:firstLine="720"/>
        <w:jc w:val="both"/>
        <w:rPr>
          <w:rFonts w:ascii="Times New Roman" w:hAnsi="Times New Roman" w:cs="Times New Roman"/>
          <w:sz w:val="24"/>
          <w:szCs w:val="24"/>
        </w:rPr>
      </w:pPr>
      <w:r w:rsidRPr="002C75EF">
        <w:rPr>
          <w:rFonts w:ascii="Times New Roman" w:hAnsi="Times New Roman" w:cs="Times New Roman"/>
          <w:sz w:val="24"/>
          <w:szCs w:val="24"/>
        </w:rPr>
        <w:t>At the EGM of</w:t>
      </w:r>
      <w:r w:rsidR="00581007" w:rsidRPr="002C75EF">
        <w:rPr>
          <w:rFonts w:ascii="Times New Roman" w:hAnsi="Times New Roman" w:cs="Times New Roman"/>
          <w:sz w:val="24"/>
          <w:szCs w:val="24"/>
        </w:rPr>
        <w:t xml:space="preserve"> 28 Februa</w:t>
      </w:r>
      <w:r w:rsidRPr="002C75EF">
        <w:rPr>
          <w:rFonts w:ascii="Times New Roman" w:hAnsi="Times New Roman" w:cs="Times New Roman"/>
          <w:sz w:val="24"/>
          <w:szCs w:val="24"/>
        </w:rPr>
        <w:t xml:space="preserve">ry 2005, the shareholders </w:t>
      </w:r>
      <w:r w:rsidR="00581007" w:rsidRPr="002C75EF">
        <w:rPr>
          <w:rFonts w:ascii="Times New Roman" w:hAnsi="Times New Roman" w:cs="Times New Roman"/>
          <w:sz w:val="24"/>
          <w:szCs w:val="24"/>
        </w:rPr>
        <w:t>unanimously</w:t>
      </w:r>
      <w:r w:rsidRPr="002C75EF">
        <w:rPr>
          <w:rFonts w:ascii="Times New Roman" w:hAnsi="Times New Roman" w:cs="Times New Roman"/>
          <w:sz w:val="24"/>
          <w:szCs w:val="24"/>
        </w:rPr>
        <w:t xml:space="preserve"> approved the disposal of the </w:t>
      </w:r>
      <w:r w:rsidR="00581007" w:rsidRPr="002C75EF">
        <w:rPr>
          <w:rFonts w:ascii="Times New Roman" w:hAnsi="Times New Roman" w:cs="Times New Roman"/>
          <w:sz w:val="24"/>
          <w:szCs w:val="24"/>
        </w:rPr>
        <w:t>appellant’</w:t>
      </w:r>
      <w:r w:rsidR="00F223A9" w:rsidRPr="002C75EF">
        <w:rPr>
          <w:rFonts w:ascii="Times New Roman" w:hAnsi="Times New Roman" w:cs="Times New Roman"/>
          <w:sz w:val="24"/>
          <w:szCs w:val="24"/>
        </w:rPr>
        <w:t>s</w:t>
      </w:r>
      <w:r w:rsidR="00FE4A64" w:rsidRPr="002C75EF">
        <w:rPr>
          <w:rFonts w:ascii="Times New Roman" w:hAnsi="Times New Roman" w:cs="Times New Roman"/>
          <w:sz w:val="24"/>
          <w:szCs w:val="24"/>
        </w:rPr>
        <w:t xml:space="preserve"> fixed assets </w:t>
      </w:r>
      <w:r w:rsidR="00F223A9" w:rsidRPr="002C75EF">
        <w:rPr>
          <w:rFonts w:ascii="Times New Roman" w:hAnsi="Times New Roman" w:cs="Times New Roman"/>
          <w:sz w:val="24"/>
          <w:szCs w:val="24"/>
        </w:rPr>
        <w:t xml:space="preserve">for </w:t>
      </w:r>
      <w:r w:rsidR="00FE4A64" w:rsidRPr="002C75EF">
        <w:rPr>
          <w:rFonts w:ascii="Times New Roman" w:hAnsi="Times New Roman" w:cs="Times New Roman"/>
          <w:sz w:val="24"/>
          <w:szCs w:val="24"/>
        </w:rPr>
        <w:t xml:space="preserve">ZW$ 35 643 437 113, and </w:t>
      </w:r>
      <w:r w:rsidR="00581007" w:rsidRPr="002C75EF">
        <w:rPr>
          <w:rFonts w:ascii="Times New Roman" w:hAnsi="Times New Roman" w:cs="Times New Roman"/>
          <w:sz w:val="24"/>
          <w:szCs w:val="24"/>
        </w:rPr>
        <w:t>current assets</w:t>
      </w:r>
      <w:r w:rsidR="00F223A9" w:rsidRPr="002C75EF">
        <w:rPr>
          <w:rFonts w:ascii="Times New Roman" w:hAnsi="Times New Roman" w:cs="Times New Roman"/>
          <w:sz w:val="24"/>
          <w:szCs w:val="24"/>
        </w:rPr>
        <w:t xml:space="preserve"> and liabilities as at 28 February 2005 at </w:t>
      </w:r>
      <w:r w:rsidRPr="002C75EF">
        <w:rPr>
          <w:rFonts w:ascii="Times New Roman" w:hAnsi="Times New Roman" w:cs="Times New Roman"/>
          <w:sz w:val="24"/>
          <w:szCs w:val="24"/>
        </w:rPr>
        <w:t>the net valuation of</w:t>
      </w:r>
      <w:r w:rsidR="00FE4A64" w:rsidRPr="002C75EF">
        <w:rPr>
          <w:rFonts w:ascii="Times New Roman" w:hAnsi="Times New Roman" w:cs="Times New Roman"/>
          <w:sz w:val="24"/>
          <w:szCs w:val="24"/>
        </w:rPr>
        <w:t xml:space="preserve"> the directors </w:t>
      </w:r>
      <w:r w:rsidRPr="002C75EF">
        <w:rPr>
          <w:rFonts w:ascii="Times New Roman" w:hAnsi="Times New Roman" w:cs="Times New Roman"/>
          <w:sz w:val="24"/>
          <w:szCs w:val="24"/>
        </w:rPr>
        <w:t xml:space="preserve">to the flagship subsidiary for </w:t>
      </w:r>
      <w:r w:rsidR="00FE4A64" w:rsidRPr="002C75EF">
        <w:rPr>
          <w:rFonts w:ascii="Times New Roman" w:hAnsi="Times New Roman" w:cs="Times New Roman"/>
          <w:sz w:val="24"/>
          <w:szCs w:val="24"/>
        </w:rPr>
        <w:t xml:space="preserve">19 900 </w:t>
      </w:r>
      <w:r w:rsidR="00FE4A64" w:rsidRPr="002C75EF">
        <w:rPr>
          <w:rFonts w:ascii="Times New Roman" w:hAnsi="Times New Roman" w:cs="Times New Roman"/>
          <w:sz w:val="24"/>
          <w:szCs w:val="24"/>
        </w:rPr>
        <w:lastRenderedPageBreak/>
        <w:t xml:space="preserve">ordinary one dollar shares </w:t>
      </w:r>
      <w:r w:rsidR="007B3583" w:rsidRPr="002C75EF">
        <w:rPr>
          <w:rFonts w:ascii="Times New Roman" w:hAnsi="Times New Roman" w:cs="Times New Roman"/>
          <w:sz w:val="24"/>
          <w:szCs w:val="24"/>
        </w:rPr>
        <w:t xml:space="preserve">in </w:t>
      </w:r>
      <w:r w:rsidRPr="002C75EF">
        <w:rPr>
          <w:rFonts w:ascii="Times New Roman" w:hAnsi="Times New Roman" w:cs="Times New Roman"/>
          <w:sz w:val="24"/>
          <w:szCs w:val="24"/>
        </w:rPr>
        <w:t>the</w:t>
      </w:r>
      <w:r w:rsidR="00D748B0" w:rsidRPr="002C75EF">
        <w:rPr>
          <w:rFonts w:ascii="Times New Roman" w:hAnsi="Times New Roman" w:cs="Times New Roman"/>
          <w:sz w:val="24"/>
          <w:szCs w:val="24"/>
        </w:rPr>
        <w:t xml:space="preserve"> flagship</w:t>
      </w:r>
      <w:r w:rsidR="00F223A9" w:rsidRPr="002C75EF">
        <w:rPr>
          <w:rFonts w:ascii="Times New Roman" w:hAnsi="Times New Roman" w:cs="Times New Roman"/>
          <w:sz w:val="24"/>
          <w:szCs w:val="24"/>
        </w:rPr>
        <w:t xml:space="preserve"> at a premium </w:t>
      </w:r>
      <w:r w:rsidR="00C52DD7" w:rsidRPr="002C75EF">
        <w:rPr>
          <w:rFonts w:ascii="Times New Roman" w:hAnsi="Times New Roman" w:cs="Times New Roman"/>
          <w:sz w:val="24"/>
          <w:szCs w:val="24"/>
        </w:rPr>
        <w:t xml:space="preserve">to be </w:t>
      </w:r>
      <w:r w:rsidR="00F223A9" w:rsidRPr="002C75EF">
        <w:rPr>
          <w:rFonts w:ascii="Times New Roman" w:hAnsi="Times New Roman" w:cs="Times New Roman"/>
          <w:sz w:val="24"/>
          <w:szCs w:val="24"/>
        </w:rPr>
        <w:t>set by the directors</w:t>
      </w:r>
      <w:r w:rsidR="007B3583" w:rsidRPr="002C75EF">
        <w:rPr>
          <w:rFonts w:ascii="Times New Roman" w:hAnsi="Times New Roman" w:cs="Times New Roman"/>
          <w:sz w:val="24"/>
          <w:szCs w:val="24"/>
        </w:rPr>
        <w:t xml:space="preserve">, with any </w:t>
      </w:r>
      <w:r w:rsidR="009A65A9" w:rsidRPr="002C75EF">
        <w:rPr>
          <w:rFonts w:ascii="Times New Roman" w:hAnsi="Times New Roman" w:cs="Times New Roman"/>
          <w:sz w:val="24"/>
          <w:szCs w:val="24"/>
        </w:rPr>
        <w:t xml:space="preserve">credit balance </w:t>
      </w:r>
      <w:r w:rsidRPr="002C75EF">
        <w:rPr>
          <w:rFonts w:ascii="Times New Roman" w:hAnsi="Times New Roman" w:cs="Times New Roman"/>
          <w:sz w:val="24"/>
          <w:szCs w:val="24"/>
        </w:rPr>
        <w:t xml:space="preserve">appropriated </w:t>
      </w:r>
      <w:r w:rsidR="00F223A9" w:rsidRPr="002C75EF">
        <w:rPr>
          <w:rFonts w:ascii="Times New Roman" w:hAnsi="Times New Roman" w:cs="Times New Roman"/>
          <w:sz w:val="24"/>
          <w:szCs w:val="24"/>
        </w:rPr>
        <w:t xml:space="preserve">to the appellant’s </w:t>
      </w:r>
      <w:r w:rsidRPr="002C75EF">
        <w:rPr>
          <w:rFonts w:ascii="Times New Roman" w:hAnsi="Times New Roman" w:cs="Times New Roman"/>
          <w:sz w:val="24"/>
          <w:szCs w:val="24"/>
        </w:rPr>
        <w:t xml:space="preserve">loan </w:t>
      </w:r>
      <w:r w:rsidR="00F223A9" w:rsidRPr="002C75EF">
        <w:rPr>
          <w:rFonts w:ascii="Times New Roman" w:hAnsi="Times New Roman" w:cs="Times New Roman"/>
          <w:sz w:val="24"/>
          <w:szCs w:val="24"/>
        </w:rPr>
        <w:t>account.</w:t>
      </w:r>
    </w:p>
    <w:p w:rsidR="009908FA" w:rsidRPr="002C75EF" w:rsidRDefault="00556F9C" w:rsidP="004B164C">
      <w:pPr>
        <w:spacing w:after="0" w:line="360" w:lineRule="auto"/>
        <w:ind w:firstLine="720"/>
        <w:jc w:val="both"/>
        <w:rPr>
          <w:rFonts w:ascii="Times New Roman" w:hAnsi="Times New Roman" w:cs="Times New Roman"/>
          <w:sz w:val="24"/>
          <w:szCs w:val="24"/>
        </w:rPr>
      </w:pPr>
      <w:r w:rsidRPr="002C75EF">
        <w:rPr>
          <w:rFonts w:ascii="Times New Roman" w:hAnsi="Times New Roman" w:cs="Times New Roman"/>
          <w:sz w:val="24"/>
          <w:szCs w:val="24"/>
        </w:rPr>
        <w:t xml:space="preserve">The investigations </w:t>
      </w:r>
      <w:r w:rsidR="00D73896" w:rsidRPr="002C75EF">
        <w:rPr>
          <w:rFonts w:ascii="Times New Roman" w:hAnsi="Times New Roman" w:cs="Times New Roman"/>
          <w:sz w:val="24"/>
          <w:szCs w:val="24"/>
        </w:rPr>
        <w:t xml:space="preserve">by the case manager </w:t>
      </w:r>
      <w:r w:rsidRPr="002C75EF">
        <w:rPr>
          <w:rFonts w:ascii="Times New Roman" w:hAnsi="Times New Roman" w:cs="Times New Roman"/>
          <w:sz w:val="24"/>
          <w:szCs w:val="24"/>
        </w:rPr>
        <w:t xml:space="preserve">revealed the following conduct of the appellant </w:t>
      </w:r>
      <w:r w:rsidR="00370590" w:rsidRPr="002C75EF">
        <w:rPr>
          <w:rFonts w:ascii="Times New Roman" w:hAnsi="Times New Roman" w:cs="Times New Roman"/>
          <w:sz w:val="24"/>
          <w:szCs w:val="24"/>
        </w:rPr>
        <w:t xml:space="preserve">subsequent to the </w:t>
      </w:r>
      <w:r w:rsidRPr="002C75EF">
        <w:rPr>
          <w:rFonts w:ascii="Times New Roman" w:hAnsi="Times New Roman" w:cs="Times New Roman"/>
          <w:sz w:val="24"/>
          <w:szCs w:val="24"/>
        </w:rPr>
        <w:t xml:space="preserve">resolution of 28 February 2005. </w:t>
      </w:r>
      <w:r w:rsidR="00D73896" w:rsidRPr="002C75EF">
        <w:rPr>
          <w:rFonts w:ascii="Times New Roman" w:hAnsi="Times New Roman" w:cs="Times New Roman"/>
          <w:sz w:val="24"/>
          <w:szCs w:val="24"/>
        </w:rPr>
        <w:t>In the financial statements for</w:t>
      </w:r>
      <w:r w:rsidR="00370590" w:rsidRPr="002C75EF">
        <w:rPr>
          <w:rFonts w:ascii="Times New Roman" w:hAnsi="Times New Roman" w:cs="Times New Roman"/>
          <w:sz w:val="24"/>
          <w:szCs w:val="24"/>
        </w:rPr>
        <w:t xml:space="preserve"> the financial ye</w:t>
      </w:r>
      <w:r w:rsidR="00D73896" w:rsidRPr="002C75EF">
        <w:rPr>
          <w:rFonts w:ascii="Times New Roman" w:hAnsi="Times New Roman" w:cs="Times New Roman"/>
          <w:sz w:val="24"/>
          <w:szCs w:val="24"/>
        </w:rPr>
        <w:t>ar ended 28 February 2006 to</w:t>
      </w:r>
      <w:r w:rsidR="00370590" w:rsidRPr="002C75EF">
        <w:rPr>
          <w:rFonts w:ascii="Times New Roman" w:hAnsi="Times New Roman" w:cs="Times New Roman"/>
          <w:sz w:val="24"/>
          <w:szCs w:val="24"/>
        </w:rPr>
        <w:t xml:space="preserve"> 28 February 2013, the appellant was treated as an investment company, whose sole income consisted of dividends receivable. </w:t>
      </w:r>
    </w:p>
    <w:p w:rsidR="004B164C" w:rsidRDefault="00370590" w:rsidP="004B164C">
      <w:pPr>
        <w:spacing w:after="0" w:line="360" w:lineRule="auto"/>
        <w:ind w:firstLine="720"/>
        <w:jc w:val="both"/>
        <w:rPr>
          <w:rFonts w:ascii="Times New Roman" w:hAnsi="Times New Roman" w:cs="Times New Roman"/>
          <w:sz w:val="24"/>
          <w:szCs w:val="24"/>
        </w:rPr>
      </w:pPr>
      <w:r w:rsidRPr="002C75EF">
        <w:rPr>
          <w:rFonts w:ascii="Times New Roman" w:hAnsi="Times New Roman" w:cs="Times New Roman"/>
          <w:sz w:val="24"/>
          <w:szCs w:val="24"/>
        </w:rPr>
        <w:t xml:space="preserve">On 1 April 2005, </w:t>
      </w:r>
      <w:r w:rsidR="00382169" w:rsidRPr="002C75EF">
        <w:rPr>
          <w:rFonts w:ascii="Times New Roman" w:hAnsi="Times New Roman" w:cs="Times New Roman"/>
          <w:sz w:val="24"/>
          <w:szCs w:val="24"/>
        </w:rPr>
        <w:t>the appellant, represented by JM, in the purported capacity of a director and secretary, assigned 5 trademarks to the flagship subsidiary for the princely sum of ZW$1.00</w:t>
      </w:r>
      <w:r w:rsidR="009908FA" w:rsidRPr="002C75EF">
        <w:rPr>
          <w:rFonts w:ascii="Times New Roman" w:hAnsi="Times New Roman" w:cs="Times New Roman"/>
          <w:sz w:val="24"/>
          <w:szCs w:val="24"/>
        </w:rPr>
        <w:t xml:space="preserve">, which in turn for a similar amount under the hand of JM </w:t>
      </w:r>
      <w:r w:rsidR="00382169" w:rsidRPr="002C75EF">
        <w:rPr>
          <w:rFonts w:ascii="Times New Roman" w:hAnsi="Times New Roman" w:cs="Times New Roman"/>
          <w:sz w:val="24"/>
          <w:szCs w:val="24"/>
        </w:rPr>
        <w:t>simultaneously tran</w:t>
      </w:r>
      <w:r w:rsidR="00233CF7" w:rsidRPr="002C75EF">
        <w:rPr>
          <w:rFonts w:ascii="Times New Roman" w:hAnsi="Times New Roman" w:cs="Times New Roman"/>
          <w:sz w:val="24"/>
          <w:szCs w:val="24"/>
        </w:rPr>
        <w:t>sferred them</w:t>
      </w:r>
      <w:r w:rsidR="00382169" w:rsidRPr="002C75EF">
        <w:rPr>
          <w:rFonts w:ascii="Times New Roman" w:hAnsi="Times New Roman" w:cs="Times New Roman"/>
          <w:sz w:val="24"/>
          <w:szCs w:val="24"/>
        </w:rPr>
        <w:t xml:space="preserve"> to SCI, the Botswana subsidiary</w:t>
      </w:r>
      <w:r w:rsidR="00B64859" w:rsidRPr="002C75EF">
        <w:rPr>
          <w:rFonts w:ascii="Times New Roman" w:hAnsi="Times New Roman" w:cs="Times New Roman"/>
          <w:sz w:val="24"/>
          <w:szCs w:val="24"/>
        </w:rPr>
        <w:t>, formed in 2000 to spearhead the appellant’s foray into Africa</w:t>
      </w:r>
      <w:r w:rsidR="00382169" w:rsidRPr="002C75EF">
        <w:rPr>
          <w:rFonts w:ascii="Times New Roman" w:hAnsi="Times New Roman" w:cs="Times New Roman"/>
          <w:sz w:val="24"/>
          <w:szCs w:val="24"/>
        </w:rPr>
        <w:t xml:space="preserve">. </w:t>
      </w:r>
      <w:r w:rsidR="00233CF7" w:rsidRPr="002C75EF">
        <w:rPr>
          <w:rFonts w:ascii="Times New Roman" w:hAnsi="Times New Roman" w:cs="Times New Roman"/>
          <w:sz w:val="24"/>
          <w:szCs w:val="24"/>
        </w:rPr>
        <w:t xml:space="preserve">The appellant </w:t>
      </w:r>
      <w:r w:rsidR="00556F9C" w:rsidRPr="002C75EF">
        <w:rPr>
          <w:rFonts w:ascii="Times New Roman" w:hAnsi="Times New Roman" w:cs="Times New Roman"/>
          <w:sz w:val="24"/>
          <w:szCs w:val="24"/>
        </w:rPr>
        <w:t xml:space="preserve">summarised the </w:t>
      </w:r>
      <w:r w:rsidR="009908FA" w:rsidRPr="002C75EF">
        <w:rPr>
          <w:rFonts w:ascii="Times New Roman" w:hAnsi="Times New Roman" w:cs="Times New Roman"/>
          <w:sz w:val="24"/>
          <w:szCs w:val="24"/>
        </w:rPr>
        <w:t xml:space="preserve">2005 </w:t>
      </w:r>
      <w:r w:rsidR="00556F9C" w:rsidRPr="002C75EF">
        <w:rPr>
          <w:rFonts w:ascii="Times New Roman" w:hAnsi="Times New Roman" w:cs="Times New Roman"/>
          <w:sz w:val="24"/>
          <w:szCs w:val="24"/>
        </w:rPr>
        <w:t>resolution in</w:t>
      </w:r>
      <w:r w:rsidR="00AF59E5" w:rsidRPr="002C75EF">
        <w:rPr>
          <w:rFonts w:ascii="Times New Roman" w:hAnsi="Times New Roman" w:cs="Times New Roman"/>
          <w:sz w:val="24"/>
          <w:szCs w:val="24"/>
        </w:rPr>
        <w:t xml:space="preserve"> note 8.2.1 to its 2006 financial statements and </w:t>
      </w:r>
      <w:r w:rsidR="00556F9C" w:rsidRPr="002C75EF">
        <w:rPr>
          <w:rFonts w:ascii="Times New Roman" w:hAnsi="Times New Roman" w:cs="Times New Roman"/>
          <w:sz w:val="24"/>
          <w:szCs w:val="24"/>
        </w:rPr>
        <w:t xml:space="preserve">produced </w:t>
      </w:r>
      <w:r w:rsidRPr="002C75EF">
        <w:rPr>
          <w:rFonts w:ascii="Times New Roman" w:hAnsi="Times New Roman" w:cs="Times New Roman"/>
          <w:sz w:val="24"/>
          <w:szCs w:val="24"/>
        </w:rPr>
        <w:t xml:space="preserve">consolidated </w:t>
      </w:r>
      <w:r w:rsidR="00233CF7" w:rsidRPr="002C75EF">
        <w:rPr>
          <w:rFonts w:ascii="Times New Roman" w:hAnsi="Times New Roman" w:cs="Times New Roman"/>
          <w:sz w:val="24"/>
          <w:szCs w:val="24"/>
        </w:rPr>
        <w:t>group accounts of itself</w:t>
      </w:r>
      <w:r w:rsidRPr="002C75EF">
        <w:rPr>
          <w:rFonts w:ascii="Times New Roman" w:hAnsi="Times New Roman" w:cs="Times New Roman"/>
          <w:sz w:val="24"/>
          <w:szCs w:val="24"/>
        </w:rPr>
        <w:t xml:space="preserve"> and all its subsidiaries, which did not re</w:t>
      </w:r>
      <w:r w:rsidR="00233CF7" w:rsidRPr="002C75EF">
        <w:rPr>
          <w:rFonts w:ascii="Times New Roman" w:hAnsi="Times New Roman" w:cs="Times New Roman"/>
          <w:sz w:val="24"/>
          <w:szCs w:val="24"/>
        </w:rPr>
        <w:t>late to</w:t>
      </w:r>
      <w:r w:rsidRPr="002C75EF">
        <w:rPr>
          <w:rFonts w:ascii="Times New Roman" w:hAnsi="Times New Roman" w:cs="Times New Roman"/>
          <w:sz w:val="24"/>
          <w:szCs w:val="24"/>
        </w:rPr>
        <w:t xml:space="preserve"> any identifiable </w:t>
      </w:r>
      <w:r w:rsidR="005B5EBD" w:rsidRPr="002C75EF">
        <w:rPr>
          <w:rFonts w:ascii="Times New Roman" w:hAnsi="Times New Roman" w:cs="Times New Roman"/>
          <w:sz w:val="24"/>
          <w:szCs w:val="24"/>
        </w:rPr>
        <w:t xml:space="preserve">juristic </w:t>
      </w:r>
      <w:r w:rsidRPr="002C75EF">
        <w:rPr>
          <w:rFonts w:ascii="Times New Roman" w:hAnsi="Times New Roman" w:cs="Times New Roman"/>
          <w:sz w:val="24"/>
          <w:szCs w:val="24"/>
        </w:rPr>
        <w:t xml:space="preserve">corporate entity. It further </w:t>
      </w:r>
      <w:r w:rsidR="00AF59E5" w:rsidRPr="002C75EF">
        <w:rPr>
          <w:rFonts w:ascii="Times New Roman" w:hAnsi="Times New Roman" w:cs="Times New Roman"/>
          <w:sz w:val="24"/>
          <w:szCs w:val="24"/>
        </w:rPr>
        <w:t xml:space="preserve">specially profiled and projected </w:t>
      </w:r>
      <w:r w:rsidR="0023506E" w:rsidRPr="002C75EF">
        <w:rPr>
          <w:rFonts w:ascii="Times New Roman" w:hAnsi="Times New Roman" w:cs="Times New Roman"/>
          <w:sz w:val="24"/>
          <w:szCs w:val="24"/>
        </w:rPr>
        <w:t>itself in</w:t>
      </w:r>
      <w:r w:rsidR="00AF59E5" w:rsidRPr="002C75EF">
        <w:rPr>
          <w:rFonts w:ascii="Times New Roman" w:hAnsi="Times New Roman" w:cs="Times New Roman"/>
          <w:sz w:val="24"/>
          <w:szCs w:val="24"/>
        </w:rPr>
        <w:t xml:space="preserve"> the 2007 and 2008 annual reports as the proprietor </w:t>
      </w:r>
      <w:r w:rsidR="0023506E" w:rsidRPr="002C75EF">
        <w:rPr>
          <w:rFonts w:ascii="Times New Roman" w:hAnsi="Times New Roman" w:cs="Times New Roman"/>
          <w:sz w:val="24"/>
          <w:szCs w:val="24"/>
        </w:rPr>
        <w:t xml:space="preserve">and marketer </w:t>
      </w:r>
      <w:r w:rsidR="00AF59E5" w:rsidRPr="002C75EF">
        <w:rPr>
          <w:rFonts w:ascii="Times New Roman" w:hAnsi="Times New Roman" w:cs="Times New Roman"/>
          <w:sz w:val="24"/>
          <w:szCs w:val="24"/>
        </w:rPr>
        <w:t xml:space="preserve">of </w:t>
      </w:r>
      <w:r w:rsidR="0023506E" w:rsidRPr="002C75EF">
        <w:rPr>
          <w:rFonts w:ascii="Times New Roman" w:hAnsi="Times New Roman" w:cs="Times New Roman"/>
          <w:sz w:val="24"/>
          <w:szCs w:val="24"/>
        </w:rPr>
        <w:t xml:space="preserve">most of the seed varieties, </w:t>
      </w:r>
      <w:r w:rsidR="009908FA" w:rsidRPr="002C75EF">
        <w:rPr>
          <w:rFonts w:ascii="Times New Roman" w:hAnsi="Times New Roman" w:cs="Times New Roman"/>
          <w:sz w:val="24"/>
          <w:szCs w:val="24"/>
        </w:rPr>
        <w:t xml:space="preserve">and </w:t>
      </w:r>
      <w:r w:rsidR="0023506E" w:rsidRPr="002C75EF">
        <w:rPr>
          <w:rFonts w:ascii="Times New Roman" w:hAnsi="Times New Roman" w:cs="Times New Roman"/>
          <w:sz w:val="24"/>
          <w:szCs w:val="24"/>
        </w:rPr>
        <w:t>th</w:t>
      </w:r>
      <w:r w:rsidR="00233CF7" w:rsidRPr="002C75EF">
        <w:rPr>
          <w:rFonts w:ascii="Times New Roman" w:hAnsi="Times New Roman" w:cs="Times New Roman"/>
          <w:sz w:val="24"/>
          <w:szCs w:val="24"/>
        </w:rPr>
        <w:t>e research stations where they we</w:t>
      </w:r>
      <w:r w:rsidR="0023506E" w:rsidRPr="002C75EF">
        <w:rPr>
          <w:rFonts w:ascii="Times New Roman" w:hAnsi="Times New Roman" w:cs="Times New Roman"/>
          <w:sz w:val="24"/>
          <w:szCs w:val="24"/>
        </w:rPr>
        <w:t xml:space="preserve">re researched, developed and bred. </w:t>
      </w:r>
      <w:r w:rsidR="006755D5" w:rsidRPr="002C75EF">
        <w:rPr>
          <w:rFonts w:ascii="Times New Roman" w:hAnsi="Times New Roman" w:cs="Times New Roman"/>
          <w:sz w:val="24"/>
          <w:szCs w:val="24"/>
        </w:rPr>
        <w:t>I</w:t>
      </w:r>
      <w:r w:rsidRPr="002C75EF">
        <w:rPr>
          <w:rFonts w:ascii="Times New Roman" w:hAnsi="Times New Roman" w:cs="Times New Roman"/>
          <w:sz w:val="24"/>
          <w:szCs w:val="24"/>
        </w:rPr>
        <w:t>t also identified itsel</w:t>
      </w:r>
      <w:r w:rsidR="006755D5" w:rsidRPr="002C75EF">
        <w:rPr>
          <w:rFonts w:ascii="Times New Roman" w:hAnsi="Times New Roman" w:cs="Times New Roman"/>
          <w:sz w:val="24"/>
          <w:szCs w:val="24"/>
        </w:rPr>
        <w:t xml:space="preserve">f </w:t>
      </w:r>
      <w:r w:rsidR="009571C8" w:rsidRPr="002C75EF">
        <w:rPr>
          <w:rFonts w:ascii="Times New Roman" w:hAnsi="Times New Roman" w:cs="Times New Roman"/>
          <w:sz w:val="24"/>
          <w:szCs w:val="24"/>
        </w:rPr>
        <w:t xml:space="preserve">by its </w:t>
      </w:r>
      <w:r w:rsidR="006755D5" w:rsidRPr="002C75EF">
        <w:rPr>
          <w:rFonts w:ascii="Times New Roman" w:hAnsi="Times New Roman" w:cs="Times New Roman"/>
          <w:sz w:val="24"/>
          <w:szCs w:val="24"/>
        </w:rPr>
        <w:t xml:space="preserve">highly </w:t>
      </w:r>
      <w:r w:rsidR="009571C8" w:rsidRPr="002C75EF">
        <w:rPr>
          <w:rFonts w:ascii="Times New Roman" w:hAnsi="Times New Roman" w:cs="Times New Roman"/>
          <w:sz w:val="24"/>
          <w:szCs w:val="24"/>
        </w:rPr>
        <w:t>popularized acronym SDC</w:t>
      </w:r>
      <w:r w:rsidR="006755D5" w:rsidRPr="002C75EF">
        <w:rPr>
          <w:rFonts w:ascii="Times New Roman" w:hAnsi="Times New Roman" w:cs="Times New Roman"/>
          <w:sz w:val="24"/>
          <w:szCs w:val="24"/>
        </w:rPr>
        <w:t>.</w:t>
      </w:r>
      <w:r w:rsidR="00AF59E5" w:rsidRPr="002C75EF">
        <w:rPr>
          <w:rFonts w:ascii="Times New Roman" w:hAnsi="Times New Roman" w:cs="Times New Roman"/>
          <w:sz w:val="24"/>
          <w:szCs w:val="24"/>
        </w:rPr>
        <w:t xml:space="preserve">  </w:t>
      </w:r>
    </w:p>
    <w:p w:rsidR="00030A04" w:rsidRPr="002C75EF" w:rsidRDefault="005C7B3F" w:rsidP="004B164C">
      <w:pPr>
        <w:spacing w:after="0" w:line="360" w:lineRule="auto"/>
        <w:ind w:firstLine="720"/>
        <w:jc w:val="both"/>
        <w:rPr>
          <w:rFonts w:ascii="Times New Roman" w:hAnsi="Times New Roman" w:cs="Times New Roman"/>
          <w:sz w:val="24"/>
          <w:szCs w:val="24"/>
        </w:rPr>
      </w:pPr>
      <w:r w:rsidRPr="002C75EF">
        <w:rPr>
          <w:rFonts w:ascii="Times New Roman" w:hAnsi="Times New Roman" w:cs="Times New Roman"/>
          <w:sz w:val="24"/>
          <w:szCs w:val="24"/>
        </w:rPr>
        <w:t>In addition, the appellant engaged senior management members</w:t>
      </w:r>
      <w:r w:rsidR="007E5ED6" w:rsidRPr="002C75EF">
        <w:rPr>
          <w:rFonts w:ascii="Times New Roman" w:hAnsi="Times New Roman" w:cs="Times New Roman"/>
          <w:sz w:val="24"/>
          <w:szCs w:val="24"/>
        </w:rPr>
        <w:t xml:space="preserve"> in various posts between </w:t>
      </w:r>
      <w:r w:rsidR="00BD00B8" w:rsidRPr="002C75EF">
        <w:rPr>
          <w:rFonts w:ascii="Times New Roman" w:hAnsi="Times New Roman" w:cs="Times New Roman"/>
          <w:sz w:val="24"/>
          <w:szCs w:val="24"/>
        </w:rPr>
        <w:t>1 September 2006</w:t>
      </w:r>
      <w:r w:rsidR="007E5ED6" w:rsidRPr="002C75EF">
        <w:rPr>
          <w:rFonts w:ascii="Times New Roman" w:hAnsi="Times New Roman" w:cs="Times New Roman"/>
          <w:sz w:val="24"/>
          <w:szCs w:val="24"/>
        </w:rPr>
        <w:t xml:space="preserve"> and </w:t>
      </w:r>
      <w:r w:rsidR="00BD00B8" w:rsidRPr="002C75EF">
        <w:rPr>
          <w:rFonts w:ascii="Times New Roman" w:hAnsi="Times New Roman" w:cs="Times New Roman"/>
          <w:sz w:val="24"/>
          <w:szCs w:val="24"/>
        </w:rPr>
        <w:t>8 July 2012</w:t>
      </w:r>
      <w:r w:rsidR="00F57A1F" w:rsidRPr="002C75EF">
        <w:rPr>
          <w:rFonts w:ascii="Times New Roman" w:hAnsi="Times New Roman" w:cs="Times New Roman"/>
          <w:sz w:val="24"/>
          <w:szCs w:val="24"/>
        </w:rPr>
        <w:t xml:space="preserve"> under the hand of either the GCEO or GFD for and on behalf of the appellant.</w:t>
      </w:r>
      <w:r w:rsidR="005B5EBD" w:rsidRPr="002C75EF">
        <w:rPr>
          <w:rFonts w:ascii="Times New Roman" w:hAnsi="Times New Roman" w:cs="Times New Roman"/>
          <w:sz w:val="24"/>
          <w:szCs w:val="24"/>
        </w:rPr>
        <w:t xml:space="preserve"> These were the scientist</w:t>
      </w:r>
      <w:r w:rsidR="002828EA" w:rsidRPr="002C75EF">
        <w:rPr>
          <w:rFonts w:ascii="Times New Roman" w:hAnsi="Times New Roman" w:cs="Times New Roman"/>
          <w:sz w:val="24"/>
          <w:szCs w:val="24"/>
        </w:rPr>
        <w:t xml:space="preserve"> on 1 September 2006, the </w:t>
      </w:r>
      <w:r w:rsidR="004F10FB" w:rsidRPr="002C75EF">
        <w:rPr>
          <w:rFonts w:ascii="Times New Roman" w:hAnsi="Times New Roman" w:cs="Times New Roman"/>
          <w:sz w:val="24"/>
          <w:szCs w:val="24"/>
        </w:rPr>
        <w:t>GFD</w:t>
      </w:r>
      <w:r w:rsidR="00F57A1F" w:rsidRPr="002C75EF">
        <w:rPr>
          <w:rFonts w:ascii="Times New Roman" w:hAnsi="Times New Roman" w:cs="Times New Roman"/>
          <w:sz w:val="24"/>
          <w:szCs w:val="24"/>
        </w:rPr>
        <w:t xml:space="preserve"> on 19 December 2006,</w:t>
      </w:r>
      <w:r w:rsidR="004F10FB" w:rsidRPr="002C75EF">
        <w:rPr>
          <w:rFonts w:ascii="Times New Roman" w:hAnsi="Times New Roman" w:cs="Times New Roman"/>
          <w:sz w:val="24"/>
          <w:szCs w:val="24"/>
        </w:rPr>
        <w:t xml:space="preserve"> the G</w:t>
      </w:r>
      <w:r w:rsidR="002828EA" w:rsidRPr="002C75EF">
        <w:rPr>
          <w:rFonts w:ascii="Times New Roman" w:hAnsi="Times New Roman" w:cs="Times New Roman"/>
          <w:sz w:val="24"/>
          <w:szCs w:val="24"/>
        </w:rPr>
        <w:t>CEO on 4 January 2010</w:t>
      </w:r>
      <w:r w:rsidR="00F57A1F" w:rsidRPr="002C75EF">
        <w:rPr>
          <w:rFonts w:ascii="Times New Roman" w:hAnsi="Times New Roman" w:cs="Times New Roman"/>
          <w:sz w:val="24"/>
          <w:szCs w:val="24"/>
        </w:rPr>
        <w:t xml:space="preserve">, </w:t>
      </w:r>
      <w:r w:rsidR="002828EA" w:rsidRPr="002C75EF">
        <w:rPr>
          <w:rFonts w:ascii="Times New Roman" w:hAnsi="Times New Roman" w:cs="Times New Roman"/>
          <w:sz w:val="24"/>
          <w:szCs w:val="24"/>
        </w:rPr>
        <w:t xml:space="preserve">the </w:t>
      </w:r>
      <w:r w:rsidR="00BD00B8" w:rsidRPr="002C75EF">
        <w:rPr>
          <w:rFonts w:ascii="Times New Roman" w:hAnsi="Times New Roman" w:cs="Times New Roman"/>
          <w:sz w:val="24"/>
          <w:szCs w:val="24"/>
        </w:rPr>
        <w:t xml:space="preserve">group </w:t>
      </w:r>
      <w:r w:rsidR="000D206E" w:rsidRPr="002C75EF">
        <w:rPr>
          <w:rFonts w:ascii="Times New Roman" w:hAnsi="Times New Roman" w:cs="Times New Roman"/>
          <w:sz w:val="24"/>
          <w:szCs w:val="24"/>
        </w:rPr>
        <w:t xml:space="preserve">accounting manager </w:t>
      </w:r>
      <w:r w:rsidR="00F57A1F" w:rsidRPr="002C75EF">
        <w:rPr>
          <w:rFonts w:ascii="Times New Roman" w:hAnsi="Times New Roman" w:cs="Times New Roman"/>
          <w:sz w:val="24"/>
          <w:szCs w:val="24"/>
        </w:rPr>
        <w:t xml:space="preserve">on 15 March 2010, </w:t>
      </w:r>
      <w:r w:rsidR="00BD00B8" w:rsidRPr="002C75EF">
        <w:rPr>
          <w:rFonts w:ascii="Times New Roman" w:hAnsi="Times New Roman" w:cs="Times New Roman"/>
          <w:sz w:val="24"/>
          <w:szCs w:val="24"/>
        </w:rPr>
        <w:t>the group technical servic</w:t>
      </w:r>
      <w:r w:rsidR="00F57A1F" w:rsidRPr="002C75EF">
        <w:rPr>
          <w:rFonts w:ascii="Times New Roman" w:hAnsi="Times New Roman" w:cs="Times New Roman"/>
          <w:sz w:val="24"/>
          <w:szCs w:val="24"/>
        </w:rPr>
        <w:t xml:space="preserve">es executive on 23 August 2010, the group marketing manager on 22 October 2010, the </w:t>
      </w:r>
      <w:r w:rsidR="000D206E" w:rsidRPr="002C75EF">
        <w:rPr>
          <w:rFonts w:ascii="Times New Roman" w:hAnsi="Times New Roman" w:cs="Times New Roman"/>
          <w:sz w:val="24"/>
          <w:szCs w:val="24"/>
        </w:rPr>
        <w:t>group public relations manager on 6 July 2011, who reported to t</w:t>
      </w:r>
      <w:r w:rsidR="00F57A1F" w:rsidRPr="002C75EF">
        <w:rPr>
          <w:rFonts w:ascii="Times New Roman" w:hAnsi="Times New Roman" w:cs="Times New Roman"/>
          <w:sz w:val="24"/>
          <w:szCs w:val="24"/>
        </w:rPr>
        <w:t>he MD of the flagship and G</w:t>
      </w:r>
      <w:r w:rsidR="000D206E" w:rsidRPr="002C75EF">
        <w:rPr>
          <w:rFonts w:ascii="Times New Roman" w:hAnsi="Times New Roman" w:cs="Times New Roman"/>
          <w:sz w:val="24"/>
          <w:szCs w:val="24"/>
        </w:rPr>
        <w:t xml:space="preserve">CEO of the appellant, </w:t>
      </w:r>
      <w:r w:rsidR="00F57A1F" w:rsidRPr="002C75EF">
        <w:rPr>
          <w:rFonts w:ascii="Times New Roman" w:hAnsi="Times New Roman" w:cs="Times New Roman"/>
          <w:sz w:val="24"/>
          <w:szCs w:val="24"/>
        </w:rPr>
        <w:t>the personal assistant to G</w:t>
      </w:r>
      <w:r w:rsidR="000D206E" w:rsidRPr="002C75EF">
        <w:rPr>
          <w:rFonts w:ascii="Times New Roman" w:hAnsi="Times New Roman" w:cs="Times New Roman"/>
          <w:sz w:val="24"/>
          <w:szCs w:val="24"/>
        </w:rPr>
        <w:t>C</w:t>
      </w:r>
      <w:r w:rsidR="00F57A1F" w:rsidRPr="002C75EF">
        <w:rPr>
          <w:rFonts w:ascii="Times New Roman" w:hAnsi="Times New Roman" w:cs="Times New Roman"/>
          <w:sz w:val="24"/>
          <w:szCs w:val="24"/>
        </w:rPr>
        <w:t>EO and G</w:t>
      </w:r>
      <w:r w:rsidR="000D206E" w:rsidRPr="002C75EF">
        <w:rPr>
          <w:rFonts w:ascii="Times New Roman" w:hAnsi="Times New Roman" w:cs="Times New Roman"/>
          <w:sz w:val="24"/>
          <w:szCs w:val="24"/>
        </w:rPr>
        <w:t xml:space="preserve">FD on </w:t>
      </w:r>
      <w:r w:rsidR="00F57A1F" w:rsidRPr="002C75EF">
        <w:rPr>
          <w:rFonts w:ascii="Times New Roman" w:hAnsi="Times New Roman" w:cs="Times New Roman"/>
          <w:sz w:val="24"/>
          <w:szCs w:val="24"/>
        </w:rPr>
        <w:t>18 February 2011</w:t>
      </w:r>
      <w:r w:rsidR="000D206E" w:rsidRPr="002C75EF">
        <w:rPr>
          <w:rFonts w:ascii="Times New Roman" w:hAnsi="Times New Roman" w:cs="Times New Roman"/>
          <w:sz w:val="24"/>
          <w:szCs w:val="24"/>
        </w:rPr>
        <w:t>,</w:t>
      </w:r>
      <w:r w:rsidR="00BD00B8" w:rsidRPr="002C75EF">
        <w:rPr>
          <w:rFonts w:ascii="Times New Roman" w:hAnsi="Times New Roman" w:cs="Times New Roman"/>
          <w:sz w:val="24"/>
          <w:szCs w:val="24"/>
        </w:rPr>
        <w:t xml:space="preserve"> </w:t>
      </w:r>
      <w:r w:rsidR="00030A04" w:rsidRPr="002C75EF">
        <w:rPr>
          <w:rFonts w:ascii="Times New Roman" w:hAnsi="Times New Roman" w:cs="Times New Roman"/>
          <w:sz w:val="24"/>
          <w:szCs w:val="24"/>
        </w:rPr>
        <w:t xml:space="preserve">the </w:t>
      </w:r>
      <w:r w:rsidR="00BD00B8" w:rsidRPr="002C75EF">
        <w:rPr>
          <w:rFonts w:ascii="Times New Roman" w:hAnsi="Times New Roman" w:cs="Times New Roman"/>
          <w:sz w:val="24"/>
          <w:szCs w:val="24"/>
        </w:rPr>
        <w:t>group business developme</w:t>
      </w:r>
      <w:r w:rsidR="00030A04" w:rsidRPr="002C75EF">
        <w:rPr>
          <w:rFonts w:ascii="Times New Roman" w:hAnsi="Times New Roman" w:cs="Times New Roman"/>
          <w:sz w:val="24"/>
          <w:szCs w:val="24"/>
        </w:rPr>
        <w:t xml:space="preserve">nt executive on 15 December 2011, </w:t>
      </w:r>
      <w:r w:rsidR="002828EA" w:rsidRPr="002C75EF">
        <w:rPr>
          <w:rFonts w:ascii="Times New Roman" w:hAnsi="Times New Roman" w:cs="Times New Roman"/>
          <w:sz w:val="24"/>
          <w:szCs w:val="24"/>
        </w:rPr>
        <w:t xml:space="preserve">and </w:t>
      </w:r>
      <w:r w:rsidR="00BD00B8" w:rsidRPr="002C75EF">
        <w:rPr>
          <w:rFonts w:ascii="Times New Roman" w:hAnsi="Times New Roman" w:cs="Times New Roman"/>
          <w:sz w:val="24"/>
          <w:szCs w:val="24"/>
        </w:rPr>
        <w:t>group treasurer</w:t>
      </w:r>
      <w:r w:rsidR="00E73310" w:rsidRPr="002C75EF">
        <w:rPr>
          <w:rFonts w:ascii="Times New Roman" w:hAnsi="Times New Roman" w:cs="Times New Roman"/>
          <w:sz w:val="24"/>
          <w:szCs w:val="24"/>
        </w:rPr>
        <w:t>, SR,</w:t>
      </w:r>
      <w:r w:rsidR="00030A04" w:rsidRPr="002C75EF">
        <w:rPr>
          <w:rFonts w:ascii="Times New Roman" w:hAnsi="Times New Roman" w:cs="Times New Roman"/>
          <w:sz w:val="24"/>
          <w:szCs w:val="24"/>
        </w:rPr>
        <w:t xml:space="preserve"> on 8 July 2012</w:t>
      </w:r>
      <w:r w:rsidR="002828EA" w:rsidRPr="002C75EF">
        <w:rPr>
          <w:rFonts w:ascii="Times New Roman" w:hAnsi="Times New Roman" w:cs="Times New Roman"/>
          <w:sz w:val="24"/>
          <w:szCs w:val="24"/>
        </w:rPr>
        <w:t>.</w:t>
      </w:r>
      <w:r w:rsidR="008364F2" w:rsidRPr="002C75EF">
        <w:rPr>
          <w:rFonts w:ascii="Times New Roman" w:hAnsi="Times New Roman" w:cs="Times New Roman"/>
          <w:sz w:val="24"/>
          <w:szCs w:val="24"/>
        </w:rPr>
        <w:t xml:space="preserve"> </w:t>
      </w:r>
      <w:r w:rsidR="002828EA" w:rsidRPr="002C75EF">
        <w:rPr>
          <w:rFonts w:ascii="Times New Roman" w:hAnsi="Times New Roman" w:cs="Times New Roman"/>
          <w:sz w:val="24"/>
          <w:szCs w:val="24"/>
        </w:rPr>
        <w:t xml:space="preserve">Other than the PA and </w:t>
      </w:r>
      <w:r w:rsidR="005B5EBD" w:rsidRPr="002C75EF">
        <w:rPr>
          <w:rFonts w:ascii="Times New Roman" w:hAnsi="Times New Roman" w:cs="Times New Roman"/>
          <w:sz w:val="24"/>
          <w:szCs w:val="24"/>
        </w:rPr>
        <w:t xml:space="preserve">group public relations manager, </w:t>
      </w:r>
      <w:r w:rsidR="002828EA" w:rsidRPr="002C75EF">
        <w:rPr>
          <w:rFonts w:ascii="Times New Roman" w:hAnsi="Times New Roman" w:cs="Times New Roman"/>
          <w:sz w:val="24"/>
          <w:szCs w:val="24"/>
        </w:rPr>
        <w:t>GPR</w:t>
      </w:r>
      <w:r w:rsidR="00030A04" w:rsidRPr="002C75EF">
        <w:rPr>
          <w:rFonts w:ascii="Times New Roman" w:hAnsi="Times New Roman" w:cs="Times New Roman"/>
          <w:sz w:val="24"/>
          <w:szCs w:val="24"/>
        </w:rPr>
        <w:t>M</w:t>
      </w:r>
      <w:r w:rsidR="008364F2" w:rsidRPr="002C75EF">
        <w:rPr>
          <w:rFonts w:ascii="Times New Roman" w:hAnsi="Times New Roman" w:cs="Times New Roman"/>
          <w:sz w:val="24"/>
          <w:szCs w:val="24"/>
        </w:rPr>
        <w:t>, all the other appointees were eligible to participate in the Group share option scheme.</w:t>
      </w:r>
      <w:r w:rsidR="00BD00B8" w:rsidRPr="002C75EF">
        <w:rPr>
          <w:rFonts w:ascii="Times New Roman" w:hAnsi="Times New Roman" w:cs="Times New Roman"/>
          <w:sz w:val="24"/>
          <w:szCs w:val="24"/>
        </w:rPr>
        <w:t xml:space="preserve"> </w:t>
      </w:r>
      <w:r w:rsidR="008364F2" w:rsidRPr="002C75EF">
        <w:rPr>
          <w:rFonts w:ascii="Times New Roman" w:hAnsi="Times New Roman" w:cs="Times New Roman"/>
          <w:sz w:val="24"/>
          <w:szCs w:val="24"/>
        </w:rPr>
        <w:t>Some of the letters bore the list of the dire</w:t>
      </w:r>
      <w:r w:rsidR="0012573E" w:rsidRPr="002C75EF">
        <w:rPr>
          <w:rFonts w:ascii="Times New Roman" w:hAnsi="Times New Roman" w:cs="Times New Roman"/>
          <w:sz w:val="24"/>
          <w:szCs w:val="24"/>
        </w:rPr>
        <w:t>ctors of the flagship</w:t>
      </w:r>
      <w:r w:rsidR="008364F2" w:rsidRPr="002C75EF">
        <w:rPr>
          <w:rFonts w:ascii="Times New Roman" w:hAnsi="Times New Roman" w:cs="Times New Roman"/>
          <w:sz w:val="24"/>
          <w:szCs w:val="24"/>
        </w:rPr>
        <w:t xml:space="preserve"> while other</w:t>
      </w:r>
      <w:r w:rsidR="0012573E" w:rsidRPr="002C75EF">
        <w:rPr>
          <w:rFonts w:ascii="Times New Roman" w:hAnsi="Times New Roman" w:cs="Times New Roman"/>
          <w:sz w:val="24"/>
          <w:szCs w:val="24"/>
        </w:rPr>
        <w:t>s</w:t>
      </w:r>
      <w:r w:rsidR="008364F2" w:rsidRPr="002C75EF">
        <w:rPr>
          <w:rFonts w:ascii="Times New Roman" w:hAnsi="Times New Roman" w:cs="Times New Roman"/>
          <w:sz w:val="24"/>
          <w:szCs w:val="24"/>
        </w:rPr>
        <w:t xml:space="preserve"> </w:t>
      </w:r>
      <w:r w:rsidR="009773D5" w:rsidRPr="002C75EF">
        <w:rPr>
          <w:rFonts w:ascii="Times New Roman" w:hAnsi="Times New Roman" w:cs="Times New Roman"/>
          <w:sz w:val="24"/>
          <w:szCs w:val="24"/>
        </w:rPr>
        <w:t>carried th</w:t>
      </w:r>
      <w:r w:rsidR="0012573E" w:rsidRPr="002C75EF">
        <w:rPr>
          <w:rFonts w:ascii="Times New Roman" w:hAnsi="Times New Roman" w:cs="Times New Roman"/>
          <w:sz w:val="24"/>
          <w:szCs w:val="24"/>
        </w:rPr>
        <w:t xml:space="preserve">e names of the directors of the appellant. </w:t>
      </w:r>
    </w:p>
    <w:p w:rsidR="00796EF7" w:rsidRPr="002C75EF" w:rsidRDefault="0012573E" w:rsidP="004B164C">
      <w:pPr>
        <w:spacing w:after="0" w:line="360" w:lineRule="auto"/>
        <w:ind w:firstLine="720"/>
        <w:jc w:val="both"/>
        <w:rPr>
          <w:rFonts w:ascii="Times New Roman" w:hAnsi="Times New Roman" w:cs="Times New Roman"/>
          <w:sz w:val="24"/>
          <w:szCs w:val="24"/>
        </w:rPr>
      </w:pPr>
      <w:r w:rsidRPr="002C75EF">
        <w:rPr>
          <w:rFonts w:ascii="Times New Roman" w:hAnsi="Times New Roman" w:cs="Times New Roman"/>
          <w:sz w:val="24"/>
          <w:szCs w:val="24"/>
        </w:rPr>
        <w:t xml:space="preserve">The job descriptions and key result areas of all these group employees covered all the subsidiaries and </w:t>
      </w:r>
      <w:r w:rsidR="00030A04" w:rsidRPr="002C75EF">
        <w:rPr>
          <w:rFonts w:ascii="Times New Roman" w:hAnsi="Times New Roman" w:cs="Times New Roman"/>
          <w:sz w:val="24"/>
          <w:szCs w:val="24"/>
        </w:rPr>
        <w:t>were the basis upon which management fees were paid to their putative</w:t>
      </w:r>
      <w:r w:rsidRPr="002C75EF">
        <w:rPr>
          <w:rFonts w:ascii="Times New Roman" w:hAnsi="Times New Roman" w:cs="Times New Roman"/>
          <w:sz w:val="24"/>
          <w:szCs w:val="24"/>
        </w:rPr>
        <w:t xml:space="preserve"> employer</w:t>
      </w:r>
      <w:r w:rsidR="000D4381">
        <w:rPr>
          <w:rFonts w:ascii="Times New Roman" w:hAnsi="Times New Roman" w:cs="Times New Roman"/>
          <w:sz w:val="24"/>
          <w:szCs w:val="24"/>
        </w:rPr>
        <w:t>, the flagship</w:t>
      </w:r>
      <w:r w:rsidRPr="002C75EF">
        <w:rPr>
          <w:rFonts w:ascii="Times New Roman" w:hAnsi="Times New Roman" w:cs="Times New Roman"/>
          <w:sz w:val="24"/>
          <w:szCs w:val="24"/>
        </w:rPr>
        <w:t>.</w:t>
      </w:r>
      <w:r w:rsidR="00030A04" w:rsidRPr="002C75EF">
        <w:rPr>
          <w:rFonts w:ascii="Times New Roman" w:eastAsia="Calibri" w:hAnsi="Times New Roman" w:cs="Times New Roman"/>
          <w:color w:val="000000"/>
          <w:sz w:val="24"/>
          <w:szCs w:val="24"/>
        </w:rPr>
        <w:t xml:space="preserve"> </w:t>
      </w:r>
      <w:r w:rsidR="009773D5" w:rsidRPr="002C75EF">
        <w:rPr>
          <w:rFonts w:ascii="Times New Roman" w:hAnsi="Times New Roman" w:cs="Times New Roman"/>
          <w:sz w:val="24"/>
          <w:szCs w:val="24"/>
        </w:rPr>
        <w:t xml:space="preserve">The mandatory statutory PAYE remittances and cost by code reports disclosed that all the senior </w:t>
      </w:r>
      <w:r w:rsidR="000767A3" w:rsidRPr="002C75EF">
        <w:rPr>
          <w:rFonts w:ascii="Times New Roman" w:hAnsi="Times New Roman" w:cs="Times New Roman"/>
          <w:sz w:val="24"/>
          <w:szCs w:val="24"/>
        </w:rPr>
        <w:t>managers’ salaries</w:t>
      </w:r>
      <w:r w:rsidR="009773D5" w:rsidRPr="002C75EF">
        <w:rPr>
          <w:rFonts w:ascii="Times New Roman" w:hAnsi="Times New Roman" w:cs="Times New Roman"/>
          <w:sz w:val="24"/>
          <w:szCs w:val="24"/>
        </w:rPr>
        <w:t xml:space="preserve"> wer</w:t>
      </w:r>
      <w:r w:rsidR="00542D60" w:rsidRPr="002C75EF">
        <w:rPr>
          <w:rFonts w:ascii="Times New Roman" w:hAnsi="Times New Roman" w:cs="Times New Roman"/>
          <w:sz w:val="24"/>
          <w:szCs w:val="24"/>
        </w:rPr>
        <w:t>e met by the flagship</w:t>
      </w:r>
      <w:r w:rsidR="009773D5" w:rsidRPr="002C75EF">
        <w:rPr>
          <w:rFonts w:ascii="Times New Roman" w:hAnsi="Times New Roman" w:cs="Times New Roman"/>
          <w:sz w:val="24"/>
          <w:szCs w:val="24"/>
        </w:rPr>
        <w:t xml:space="preserve"> and not the appellant. </w:t>
      </w:r>
      <w:r w:rsidR="00596E78" w:rsidRPr="002C75EF">
        <w:rPr>
          <w:rFonts w:ascii="Times New Roman" w:hAnsi="Times New Roman" w:cs="Times New Roman"/>
          <w:sz w:val="24"/>
          <w:szCs w:val="24"/>
        </w:rPr>
        <w:t xml:space="preserve">The PAYE remittances for the months of November and December 2009 and January 2012 </w:t>
      </w:r>
      <w:r w:rsidR="00596E78" w:rsidRPr="002C75EF">
        <w:rPr>
          <w:rFonts w:ascii="Times New Roman" w:hAnsi="Times New Roman" w:cs="Times New Roman"/>
          <w:sz w:val="24"/>
          <w:szCs w:val="24"/>
        </w:rPr>
        <w:lastRenderedPageBreak/>
        <w:t xml:space="preserve">and cost by code reports for 21 senior managers of July 2006, October 2007, December 2008 and February 2009, identified the taxpayer as the appellant but reflected the business partner and PAYE numbers and date stamp of the flagship.  </w:t>
      </w:r>
    </w:p>
    <w:p w:rsidR="009C1C21" w:rsidRPr="002C75EF" w:rsidRDefault="009773D5" w:rsidP="004B164C">
      <w:pPr>
        <w:spacing w:after="0" w:line="360" w:lineRule="auto"/>
        <w:ind w:firstLine="720"/>
        <w:jc w:val="both"/>
        <w:rPr>
          <w:rFonts w:ascii="Times New Roman" w:hAnsi="Times New Roman" w:cs="Times New Roman"/>
          <w:sz w:val="24"/>
          <w:szCs w:val="24"/>
        </w:rPr>
      </w:pPr>
      <w:r w:rsidRPr="002C75EF">
        <w:rPr>
          <w:rFonts w:ascii="Times New Roman" w:hAnsi="Times New Roman" w:cs="Times New Roman"/>
          <w:sz w:val="24"/>
          <w:szCs w:val="24"/>
        </w:rPr>
        <w:t>It was common cause that these senior managers rendered management services to all the subsidiaries for which management fees were</w:t>
      </w:r>
      <w:r w:rsidR="00542D60" w:rsidRPr="002C75EF">
        <w:rPr>
          <w:rFonts w:ascii="Times New Roman" w:hAnsi="Times New Roman" w:cs="Times New Roman"/>
          <w:sz w:val="24"/>
          <w:szCs w:val="24"/>
        </w:rPr>
        <w:t xml:space="preserve"> paid to the flagship</w:t>
      </w:r>
      <w:r w:rsidR="00EE4734" w:rsidRPr="002C75EF">
        <w:rPr>
          <w:rFonts w:ascii="Times New Roman" w:hAnsi="Times New Roman" w:cs="Times New Roman"/>
          <w:sz w:val="24"/>
          <w:szCs w:val="24"/>
        </w:rPr>
        <w:t xml:space="preserve"> at cost</w:t>
      </w:r>
      <w:r w:rsidRPr="002C75EF">
        <w:rPr>
          <w:rFonts w:ascii="Times New Roman" w:hAnsi="Times New Roman" w:cs="Times New Roman"/>
          <w:sz w:val="24"/>
          <w:szCs w:val="24"/>
        </w:rPr>
        <w:t>.</w:t>
      </w:r>
      <w:r w:rsidR="00E125E2" w:rsidRPr="002C75EF">
        <w:rPr>
          <w:rFonts w:ascii="Times New Roman" w:hAnsi="Times New Roman" w:cs="Times New Roman"/>
          <w:sz w:val="24"/>
          <w:szCs w:val="24"/>
        </w:rPr>
        <w:t xml:space="preserve"> The services related to </w:t>
      </w:r>
      <w:r w:rsidR="009C1C21" w:rsidRPr="002C75EF">
        <w:rPr>
          <w:rFonts w:ascii="Times New Roman" w:hAnsi="Times New Roman" w:cs="Times New Roman"/>
          <w:sz w:val="24"/>
          <w:szCs w:val="24"/>
        </w:rPr>
        <w:t xml:space="preserve">specialised services in </w:t>
      </w:r>
      <w:r w:rsidR="00E125E2" w:rsidRPr="002C75EF">
        <w:rPr>
          <w:rFonts w:ascii="Times New Roman" w:hAnsi="Times New Roman" w:cs="Times New Roman"/>
          <w:sz w:val="24"/>
          <w:szCs w:val="24"/>
        </w:rPr>
        <w:t>strategic</w:t>
      </w:r>
      <w:r w:rsidR="009C1C21" w:rsidRPr="002C75EF">
        <w:rPr>
          <w:rFonts w:ascii="Times New Roman" w:hAnsi="Times New Roman" w:cs="Times New Roman"/>
          <w:sz w:val="24"/>
          <w:szCs w:val="24"/>
        </w:rPr>
        <w:t xml:space="preserve">, technical, production, agronomy, </w:t>
      </w:r>
      <w:r w:rsidR="00A55CCC" w:rsidRPr="002C75EF">
        <w:rPr>
          <w:rFonts w:ascii="Times New Roman" w:hAnsi="Times New Roman" w:cs="Times New Roman"/>
          <w:sz w:val="24"/>
          <w:szCs w:val="24"/>
        </w:rPr>
        <w:t xml:space="preserve">research, </w:t>
      </w:r>
      <w:r w:rsidR="009C1C21" w:rsidRPr="002C75EF">
        <w:rPr>
          <w:rFonts w:ascii="Times New Roman" w:hAnsi="Times New Roman" w:cs="Times New Roman"/>
          <w:sz w:val="24"/>
          <w:szCs w:val="24"/>
        </w:rPr>
        <w:t>finance, internal audit and marketing and included</w:t>
      </w:r>
      <w:r w:rsidR="00E125E2" w:rsidRPr="002C75EF">
        <w:rPr>
          <w:rFonts w:ascii="Times New Roman" w:hAnsi="Times New Roman" w:cs="Times New Roman"/>
          <w:sz w:val="24"/>
          <w:szCs w:val="24"/>
        </w:rPr>
        <w:t xml:space="preserve"> approval of foreign currency purchases, salary increments of middle managers, approval of purchases and disposals of assets, discipline of all employees, preparation and implementation of the group human resources policy and loan guarantees and allocation o</w:t>
      </w:r>
      <w:r w:rsidR="009C1C21" w:rsidRPr="002C75EF">
        <w:rPr>
          <w:rFonts w:ascii="Times New Roman" w:hAnsi="Times New Roman" w:cs="Times New Roman"/>
          <w:sz w:val="24"/>
          <w:szCs w:val="24"/>
        </w:rPr>
        <w:t xml:space="preserve">f funds to all the subsidiaries. The fees were based on turnover of each subsidiary and not on a charge out rate for the service rendered. </w:t>
      </w:r>
    </w:p>
    <w:p w:rsidR="009773D5" w:rsidRPr="002C75EF" w:rsidRDefault="009773D5" w:rsidP="004B164C">
      <w:pPr>
        <w:spacing w:after="0" w:line="360" w:lineRule="auto"/>
        <w:ind w:firstLine="720"/>
        <w:jc w:val="both"/>
        <w:rPr>
          <w:rFonts w:ascii="Times New Roman" w:hAnsi="Times New Roman" w:cs="Times New Roman"/>
          <w:sz w:val="24"/>
          <w:szCs w:val="24"/>
        </w:rPr>
      </w:pPr>
      <w:r w:rsidRPr="002C75EF">
        <w:rPr>
          <w:rFonts w:ascii="Times New Roman" w:hAnsi="Times New Roman" w:cs="Times New Roman"/>
          <w:sz w:val="24"/>
          <w:szCs w:val="24"/>
        </w:rPr>
        <w:t>It was also common cause that the foreign subsidiaries paid research and marketing development fees to SCI.</w:t>
      </w:r>
      <w:r w:rsidR="00E125E2" w:rsidRPr="002C75EF">
        <w:rPr>
          <w:rFonts w:ascii="Times New Roman" w:hAnsi="Times New Roman" w:cs="Times New Roman"/>
          <w:sz w:val="24"/>
          <w:szCs w:val="24"/>
        </w:rPr>
        <w:t xml:space="preserve"> I</w:t>
      </w:r>
      <w:r w:rsidR="00542D60" w:rsidRPr="002C75EF">
        <w:rPr>
          <w:rFonts w:ascii="Times New Roman" w:hAnsi="Times New Roman" w:cs="Times New Roman"/>
          <w:sz w:val="24"/>
          <w:szCs w:val="24"/>
        </w:rPr>
        <w:t xml:space="preserve">t was further common cause that </w:t>
      </w:r>
      <w:r w:rsidR="0059668A" w:rsidRPr="002C75EF">
        <w:rPr>
          <w:rFonts w:ascii="Times New Roman" w:hAnsi="Times New Roman" w:cs="Times New Roman"/>
          <w:sz w:val="24"/>
          <w:szCs w:val="24"/>
        </w:rPr>
        <w:t>the 5 trademarks</w:t>
      </w:r>
      <w:r w:rsidR="00E125E2" w:rsidRPr="002C75EF">
        <w:rPr>
          <w:rFonts w:ascii="Times New Roman" w:hAnsi="Times New Roman" w:cs="Times New Roman"/>
          <w:sz w:val="24"/>
          <w:szCs w:val="24"/>
        </w:rPr>
        <w:t xml:space="preserve">, </w:t>
      </w:r>
      <w:r w:rsidR="0014233E" w:rsidRPr="002C75EF">
        <w:rPr>
          <w:rFonts w:ascii="Times New Roman" w:hAnsi="Times New Roman" w:cs="Times New Roman"/>
          <w:sz w:val="24"/>
          <w:szCs w:val="24"/>
        </w:rPr>
        <w:t xml:space="preserve">which are the subject of this appeal on royalties, </w:t>
      </w:r>
      <w:r w:rsidR="00542D60" w:rsidRPr="002C75EF">
        <w:rPr>
          <w:rFonts w:ascii="Times New Roman" w:hAnsi="Times New Roman" w:cs="Times New Roman"/>
          <w:sz w:val="24"/>
          <w:szCs w:val="24"/>
        </w:rPr>
        <w:t xml:space="preserve">were registered </w:t>
      </w:r>
      <w:r w:rsidR="0059668A" w:rsidRPr="002C75EF">
        <w:rPr>
          <w:rFonts w:ascii="Times New Roman" w:hAnsi="Times New Roman" w:cs="Times New Roman"/>
          <w:sz w:val="24"/>
          <w:szCs w:val="24"/>
        </w:rPr>
        <w:t>in the</w:t>
      </w:r>
      <w:r w:rsidR="003D739E" w:rsidRPr="002C75EF">
        <w:rPr>
          <w:rFonts w:ascii="Times New Roman" w:hAnsi="Times New Roman" w:cs="Times New Roman"/>
          <w:sz w:val="24"/>
          <w:szCs w:val="24"/>
        </w:rPr>
        <w:t xml:space="preserve"> name of the appellant with</w:t>
      </w:r>
      <w:r w:rsidR="0059668A" w:rsidRPr="002C75EF">
        <w:rPr>
          <w:rFonts w:ascii="Times New Roman" w:hAnsi="Times New Roman" w:cs="Times New Roman"/>
          <w:sz w:val="24"/>
          <w:szCs w:val="24"/>
        </w:rPr>
        <w:t xml:space="preserve"> the Zimbabwe Trademarks Office on 2 October 2000</w:t>
      </w:r>
      <w:r w:rsidR="0014233E" w:rsidRPr="002C75EF">
        <w:rPr>
          <w:rFonts w:ascii="Times New Roman" w:hAnsi="Times New Roman" w:cs="Times New Roman"/>
          <w:sz w:val="24"/>
          <w:szCs w:val="24"/>
        </w:rPr>
        <w:t>,</w:t>
      </w:r>
      <w:r w:rsidR="0059668A" w:rsidRPr="002C75EF">
        <w:rPr>
          <w:rFonts w:ascii="Times New Roman" w:hAnsi="Times New Roman" w:cs="Times New Roman"/>
          <w:sz w:val="24"/>
          <w:szCs w:val="24"/>
        </w:rPr>
        <w:t xml:space="preserve"> and ARIPO on 12 J</w:t>
      </w:r>
      <w:r w:rsidR="0014233E" w:rsidRPr="002C75EF">
        <w:rPr>
          <w:rFonts w:ascii="Times New Roman" w:hAnsi="Times New Roman" w:cs="Times New Roman"/>
          <w:sz w:val="24"/>
          <w:szCs w:val="24"/>
        </w:rPr>
        <w:t>anuary 2004,</w:t>
      </w:r>
      <w:r w:rsidR="00EB0D6D" w:rsidRPr="002C75EF">
        <w:rPr>
          <w:rFonts w:ascii="Times New Roman" w:hAnsi="Times New Roman" w:cs="Times New Roman"/>
          <w:sz w:val="24"/>
          <w:szCs w:val="24"/>
        </w:rPr>
        <w:t xml:space="preserve"> and continued to be so registered during the period under investigation</w:t>
      </w:r>
      <w:r w:rsidR="00AC290A" w:rsidRPr="002C75EF">
        <w:rPr>
          <w:rStyle w:val="FootnoteReference"/>
          <w:rFonts w:ascii="Times New Roman" w:hAnsi="Times New Roman" w:cs="Times New Roman"/>
          <w:sz w:val="24"/>
          <w:szCs w:val="24"/>
        </w:rPr>
        <w:footnoteReference w:id="2"/>
      </w:r>
      <w:r w:rsidR="00EB0D6D" w:rsidRPr="002C75EF">
        <w:rPr>
          <w:rFonts w:ascii="Times New Roman" w:hAnsi="Times New Roman" w:cs="Times New Roman"/>
          <w:sz w:val="24"/>
          <w:szCs w:val="24"/>
        </w:rPr>
        <w:t>.</w:t>
      </w:r>
      <w:r w:rsidR="0059668A" w:rsidRPr="002C75EF">
        <w:rPr>
          <w:rFonts w:ascii="Times New Roman" w:hAnsi="Times New Roman" w:cs="Times New Roman"/>
          <w:sz w:val="24"/>
          <w:szCs w:val="24"/>
        </w:rPr>
        <w:t xml:space="preserve"> </w:t>
      </w:r>
      <w:r w:rsidR="00EE43D0" w:rsidRPr="002C75EF">
        <w:rPr>
          <w:rFonts w:ascii="Times New Roman" w:hAnsi="Times New Roman" w:cs="Times New Roman"/>
          <w:sz w:val="24"/>
          <w:szCs w:val="24"/>
        </w:rPr>
        <w:t xml:space="preserve">One of these is a general trademark with the trade name </w:t>
      </w:r>
      <w:r w:rsidR="00EB0D6D" w:rsidRPr="002C75EF">
        <w:rPr>
          <w:rFonts w:ascii="Times New Roman" w:hAnsi="Times New Roman" w:cs="Times New Roman"/>
          <w:sz w:val="24"/>
          <w:szCs w:val="24"/>
        </w:rPr>
        <w:t xml:space="preserve">and distinctive icon </w:t>
      </w:r>
      <w:r w:rsidR="00EE43D0" w:rsidRPr="002C75EF">
        <w:rPr>
          <w:rFonts w:ascii="Times New Roman" w:hAnsi="Times New Roman" w:cs="Times New Roman"/>
          <w:sz w:val="24"/>
          <w:szCs w:val="24"/>
        </w:rPr>
        <w:t>of the ap</w:t>
      </w:r>
      <w:r w:rsidR="0025369D" w:rsidRPr="002C75EF">
        <w:rPr>
          <w:rFonts w:ascii="Times New Roman" w:hAnsi="Times New Roman" w:cs="Times New Roman"/>
          <w:sz w:val="24"/>
          <w:szCs w:val="24"/>
        </w:rPr>
        <w:t xml:space="preserve">pellant while the others have unique marks </w:t>
      </w:r>
      <w:r w:rsidR="00BB0BD2" w:rsidRPr="002C75EF">
        <w:rPr>
          <w:rFonts w:ascii="Times New Roman" w:hAnsi="Times New Roman" w:cs="Times New Roman"/>
          <w:sz w:val="24"/>
          <w:szCs w:val="24"/>
        </w:rPr>
        <w:t xml:space="preserve">with an animal device </w:t>
      </w:r>
      <w:r w:rsidR="00EB0D6D" w:rsidRPr="002C75EF">
        <w:rPr>
          <w:rFonts w:ascii="Times New Roman" w:hAnsi="Times New Roman" w:cs="Times New Roman"/>
          <w:sz w:val="24"/>
          <w:szCs w:val="24"/>
        </w:rPr>
        <w:t xml:space="preserve">and a product variety number </w:t>
      </w:r>
      <w:r w:rsidR="0025369D" w:rsidRPr="002C75EF">
        <w:rPr>
          <w:rFonts w:ascii="Times New Roman" w:hAnsi="Times New Roman" w:cs="Times New Roman"/>
          <w:sz w:val="24"/>
          <w:szCs w:val="24"/>
        </w:rPr>
        <w:t xml:space="preserve">indicating </w:t>
      </w:r>
      <w:r w:rsidR="00BB0BD2" w:rsidRPr="002C75EF">
        <w:rPr>
          <w:rFonts w:ascii="Times New Roman" w:hAnsi="Times New Roman" w:cs="Times New Roman"/>
          <w:sz w:val="24"/>
          <w:szCs w:val="24"/>
        </w:rPr>
        <w:t xml:space="preserve">early, </w:t>
      </w:r>
      <w:r w:rsidR="00D65A88" w:rsidRPr="002C75EF">
        <w:rPr>
          <w:rFonts w:ascii="Times New Roman" w:hAnsi="Times New Roman" w:cs="Times New Roman"/>
          <w:sz w:val="24"/>
          <w:szCs w:val="24"/>
        </w:rPr>
        <w:t xml:space="preserve">medium and long </w:t>
      </w:r>
      <w:r w:rsidR="0025369D" w:rsidRPr="002C75EF">
        <w:rPr>
          <w:rFonts w:ascii="Times New Roman" w:hAnsi="Times New Roman" w:cs="Times New Roman"/>
          <w:sz w:val="24"/>
          <w:szCs w:val="24"/>
        </w:rPr>
        <w:t xml:space="preserve">maturity levels </w:t>
      </w:r>
      <w:r w:rsidR="00D65A88" w:rsidRPr="002C75EF">
        <w:rPr>
          <w:rFonts w:ascii="Times New Roman" w:hAnsi="Times New Roman" w:cs="Times New Roman"/>
          <w:sz w:val="24"/>
          <w:szCs w:val="24"/>
        </w:rPr>
        <w:t xml:space="preserve">and colour </w:t>
      </w:r>
      <w:r w:rsidR="0025369D" w:rsidRPr="002C75EF">
        <w:rPr>
          <w:rFonts w:ascii="Times New Roman" w:hAnsi="Times New Roman" w:cs="Times New Roman"/>
          <w:sz w:val="24"/>
          <w:szCs w:val="24"/>
        </w:rPr>
        <w:t>of the seed product</w:t>
      </w:r>
      <w:r w:rsidR="00D65A88" w:rsidRPr="002C75EF">
        <w:rPr>
          <w:rFonts w:ascii="Times New Roman" w:hAnsi="Times New Roman" w:cs="Times New Roman"/>
          <w:sz w:val="24"/>
          <w:szCs w:val="24"/>
        </w:rPr>
        <w:t>.</w:t>
      </w:r>
      <w:r w:rsidR="00C240B9" w:rsidRPr="002C75EF">
        <w:rPr>
          <w:rFonts w:ascii="Times New Roman" w:hAnsi="Times New Roman" w:cs="Times New Roman"/>
          <w:sz w:val="24"/>
          <w:szCs w:val="24"/>
        </w:rPr>
        <w:t xml:space="preserve"> </w:t>
      </w:r>
    </w:p>
    <w:p w:rsidR="000143D2" w:rsidRPr="002C75EF" w:rsidRDefault="000143D2" w:rsidP="004B164C">
      <w:pPr>
        <w:spacing w:after="0" w:line="360" w:lineRule="auto"/>
        <w:ind w:firstLine="720"/>
        <w:jc w:val="both"/>
        <w:rPr>
          <w:rFonts w:ascii="Times New Roman" w:hAnsi="Times New Roman" w:cs="Times New Roman"/>
          <w:sz w:val="24"/>
          <w:szCs w:val="24"/>
        </w:rPr>
      </w:pPr>
      <w:r w:rsidRPr="002C75EF">
        <w:rPr>
          <w:rFonts w:ascii="Times New Roman" w:hAnsi="Times New Roman" w:cs="Times New Roman"/>
          <w:sz w:val="24"/>
          <w:szCs w:val="24"/>
        </w:rPr>
        <w:t xml:space="preserve">On 1 April 2008, SCI executed two separate Research and Marketing </w:t>
      </w:r>
      <w:r w:rsidR="00003057" w:rsidRPr="002C75EF">
        <w:rPr>
          <w:rFonts w:ascii="Times New Roman" w:hAnsi="Times New Roman" w:cs="Times New Roman"/>
          <w:sz w:val="24"/>
          <w:szCs w:val="24"/>
        </w:rPr>
        <w:t>Development Agreements</w:t>
      </w:r>
      <w:r w:rsidRPr="002C75EF">
        <w:rPr>
          <w:rFonts w:ascii="Times New Roman" w:hAnsi="Times New Roman" w:cs="Times New Roman"/>
          <w:sz w:val="24"/>
          <w:szCs w:val="24"/>
        </w:rPr>
        <w:t xml:space="preserve"> with the Malawi and Zambian subsidiaries, respectively. </w:t>
      </w:r>
    </w:p>
    <w:p w:rsidR="00B5075F" w:rsidRPr="002C75EF" w:rsidRDefault="000767A3" w:rsidP="004B164C">
      <w:pPr>
        <w:spacing w:after="0" w:line="360" w:lineRule="auto"/>
        <w:ind w:firstLine="720"/>
        <w:jc w:val="both"/>
        <w:rPr>
          <w:rFonts w:ascii="Times New Roman" w:hAnsi="Times New Roman" w:cs="Times New Roman"/>
          <w:sz w:val="24"/>
          <w:szCs w:val="24"/>
        </w:rPr>
      </w:pPr>
      <w:r w:rsidRPr="002C75EF">
        <w:rPr>
          <w:rFonts w:ascii="Times New Roman" w:hAnsi="Times New Roman" w:cs="Times New Roman"/>
          <w:sz w:val="24"/>
          <w:szCs w:val="24"/>
        </w:rPr>
        <w:t>The inve</w:t>
      </w:r>
      <w:r w:rsidR="00C240B9" w:rsidRPr="002C75EF">
        <w:rPr>
          <w:rFonts w:ascii="Times New Roman" w:hAnsi="Times New Roman" w:cs="Times New Roman"/>
          <w:sz w:val="24"/>
          <w:szCs w:val="24"/>
        </w:rPr>
        <w:t>stigations also revealed that JM</w:t>
      </w:r>
      <w:r w:rsidRPr="002C75EF">
        <w:rPr>
          <w:rFonts w:ascii="Times New Roman" w:hAnsi="Times New Roman" w:cs="Times New Roman"/>
          <w:sz w:val="24"/>
          <w:szCs w:val="24"/>
        </w:rPr>
        <w:t xml:space="preserve"> had dispatched </w:t>
      </w:r>
      <w:r w:rsidR="00401ED7" w:rsidRPr="002C75EF">
        <w:rPr>
          <w:rFonts w:ascii="Times New Roman" w:hAnsi="Times New Roman" w:cs="Times New Roman"/>
          <w:sz w:val="24"/>
          <w:szCs w:val="24"/>
        </w:rPr>
        <w:t>a treasure trove of</w:t>
      </w:r>
      <w:r w:rsidRPr="002C75EF">
        <w:rPr>
          <w:rFonts w:ascii="Times New Roman" w:hAnsi="Times New Roman" w:cs="Times New Roman"/>
          <w:sz w:val="24"/>
          <w:szCs w:val="24"/>
        </w:rPr>
        <w:t xml:space="preserve"> e-mails</w:t>
      </w:r>
      <w:r w:rsidR="00F750D7" w:rsidRPr="002C75EF">
        <w:rPr>
          <w:rFonts w:ascii="Times New Roman" w:hAnsi="Times New Roman" w:cs="Times New Roman"/>
          <w:sz w:val="24"/>
          <w:szCs w:val="24"/>
        </w:rPr>
        <w:t>, during the investigations</w:t>
      </w:r>
      <w:r w:rsidR="00FA27E5" w:rsidRPr="002C75EF">
        <w:rPr>
          <w:rFonts w:ascii="Times New Roman" w:hAnsi="Times New Roman" w:cs="Times New Roman"/>
          <w:sz w:val="24"/>
          <w:szCs w:val="24"/>
        </w:rPr>
        <w:t xml:space="preserve"> </w:t>
      </w:r>
      <w:r w:rsidR="00A8673C" w:rsidRPr="002C75EF">
        <w:rPr>
          <w:rFonts w:ascii="Times New Roman" w:hAnsi="Times New Roman" w:cs="Times New Roman"/>
          <w:sz w:val="24"/>
          <w:szCs w:val="24"/>
        </w:rPr>
        <w:t xml:space="preserve">on </w:t>
      </w:r>
      <w:r w:rsidR="007801A8" w:rsidRPr="002C75EF">
        <w:rPr>
          <w:rFonts w:ascii="Times New Roman" w:hAnsi="Times New Roman" w:cs="Times New Roman"/>
          <w:sz w:val="24"/>
          <w:szCs w:val="24"/>
        </w:rPr>
        <w:t>15 and 17 July 2013,</w:t>
      </w:r>
      <w:r w:rsidR="003D739E" w:rsidRPr="002C75EF">
        <w:rPr>
          <w:rFonts w:ascii="Times New Roman" w:hAnsi="Times New Roman" w:cs="Times New Roman"/>
          <w:sz w:val="24"/>
          <w:szCs w:val="24"/>
        </w:rPr>
        <w:t xml:space="preserve"> 27 January</w:t>
      </w:r>
      <w:r w:rsidR="007801A8" w:rsidRPr="002C75EF">
        <w:rPr>
          <w:rFonts w:ascii="Times New Roman" w:hAnsi="Times New Roman" w:cs="Times New Roman"/>
          <w:sz w:val="24"/>
          <w:szCs w:val="24"/>
        </w:rPr>
        <w:t xml:space="preserve"> and 31 March</w:t>
      </w:r>
      <w:r w:rsidR="003D739E" w:rsidRPr="002C75EF">
        <w:rPr>
          <w:rFonts w:ascii="Times New Roman" w:hAnsi="Times New Roman" w:cs="Times New Roman"/>
          <w:sz w:val="24"/>
          <w:szCs w:val="24"/>
        </w:rPr>
        <w:t xml:space="preserve"> 2014 </w:t>
      </w:r>
      <w:r w:rsidRPr="002C75EF">
        <w:rPr>
          <w:rFonts w:ascii="Times New Roman" w:hAnsi="Times New Roman" w:cs="Times New Roman"/>
          <w:sz w:val="24"/>
          <w:szCs w:val="24"/>
        </w:rPr>
        <w:t>to the managing directors and finance man</w:t>
      </w:r>
      <w:r w:rsidR="00C240B9" w:rsidRPr="002C75EF">
        <w:rPr>
          <w:rFonts w:ascii="Times New Roman" w:hAnsi="Times New Roman" w:cs="Times New Roman"/>
          <w:sz w:val="24"/>
          <w:szCs w:val="24"/>
        </w:rPr>
        <w:t>agers of the various subsidiaries</w:t>
      </w:r>
      <w:r w:rsidR="000A22A9" w:rsidRPr="002C75EF">
        <w:rPr>
          <w:rFonts w:ascii="Times New Roman" w:hAnsi="Times New Roman" w:cs="Times New Roman"/>
          <w:sz w:val="24"/>
          <w:szCs w:val="24"/>
        </w:rPr>
        <w:t xml:space="preserve"> </w:t>
      </w:r>
      <w:r w:rsidRPr="002C75EF">
        <w:rPr>
          <w:rFonts w:ascii="Times New Roman" w:hAnsi="Times New Roman" w:cs="Times New Roman"/>
          <w:sz w:val="24"/>
          <w:szCs w:val="24"/>
        </w:rPr>
        <w:t xml:space="preserve">inciting them to </w:t>
      </w:r>
      <w:r w:rsidR="007801A8" w:rsidRPr="002C75EF">
        <w:rPr>
          <w:rFonts w:ascii="Times New Roman" w:hAnsi="Times New Roman" w:cs="Times New Roman"/>
          <w:sz w:val="24"/>
          <w:szCs w:val="24"/>
        </w:rPr>
        <w:t xml:space="preserve">bury and </w:t>
      </w:r>
      <w:r w:rsidRPr="002C75EF">
        <w:rPr>
          <w:rFonts w:ascii="Times New Roman" w:hAnsi="Times New Roman" w:cs="Times New Roman"/>
          <w:sz w:val="24"/>
          <w:szCs w:val="24"/>
        </w:rPr>
        <w:t>withhold information from the respondent</w:t>
      </w:r>
      <w:r w:rsidR="00C240B9" w:rsidRPr="002C75EF">
        <w:rPr>
          <w:rStyle w:val="FootnoteReference"/>
          <w:rFonts w:ascii="Times New Roman" w:hAnsi="Times New Roman" w:cs="Times New Roman"/>
          <w:sz w:val="24"/>
          <w:szCs w:val="24"/>
        </w:rPr>
        <w:footnoteReference w:id="3"/>
      </w:r>
      <w:r w:rsidR="009B63B5" w:rsidRPr="002C75EF">
        <w:rPr>
          <w:rFonts w:ascii="Times New Roman" w:hAnsi="Times New Roman" w:cs="Times New Roman"/>
          <w:sz w:val="24"/>
          <w:szCs w:val="24"/>
        </w:rPr>
        <w:t>.</w:t>
      </w:r>
      <w:r w:rsidR="001C4F07" w:rsidRPr="002C75EF">
        <w:rPr>
          <w:rFonts w:ascii="Times New Roman" w:hAnsi="Times New Roman" w:cs="Times New Roman"/>
          <w:sz w:val="24"/>
          <w:szCs w:val="24"/>
        </w:rPr>
        <w:t xml:space="preserve"> </w:t>
      </w:r>
      <w:r w:rsidR="00F750D7" w:rsidRPr="002C75EF">
        <w:rPr>
          <w:rFonts w:ascii="Times New Roman" w:hAnsi="Times New Roman" w:cs="Times New Roman"/>
          <w:sz w:val="24"/>
          <w:szCs w:val="24"/>
        </w:rPr>
        <w:t>By e-mail of 26 June 2013, he</w:t>
      </w:r>
      <w:r w:rsidR="001C4F07" w:rsidRPr="002C75EF">
        <w:rPr>
          <w:rFonts w:ascii="Times New Roman" w:hAnsi="Times New Roman" w:cs="Times New Roman"/>
          <w:sz w:val="24"/>
          <w:szCs w:val="24"/>
        </w:rPr>
        <w:t xml:space="preserve"> instigated the </w:t>
      </w:r>
      <w:r w:rsidR="001C4F07" w:rsidRPr="002C75EF">
        <w:rPr>
          <w:rFonts w:ascii="Times New Roman" w:hAnsi="Times New Roman" w:cs="Times New Roman"/>
          <w:i/>
          <w:sz w:val="24"/>
          <w:szCs w:val="24"/>
        </w:rPr>
        <w:t xml:space="preserve">ex post facto </w:t>
      </w:r>
      <w:r w:rsidR="001C4F07" w:rsidRPr="002C75EF">
        <w:rPr>
          <w:rFonts w:ascii="Times New Roman" w:hAnsi="Times New Roman" w:cs="Times New Roman"/>
          <w:sz w:val="24"/>
          <w:szCs w:val="24"/>
        </w:rPr>
        <w:t xml:space="preserve">replacement of the first two pages of the SCI-Malawi agreement, purportedly to provide the Botswana taxman with the correct </w:t>
      </w:r>
      <w:r w:rsidR="00A8673C" w:rsidRPr="002C75EF">
        <w:rPr>
          <w:rFonts w:ascii="Times New Roman" w:hAnsi="Times New Roman" w:cs="Times New Roman"/>
          <w:sz w:val="24"/>
          <w:szCs w:val="24"/>
        </w:rPr>
        <w:t xml:space="preserve">documents </w:t>
      </w:r>
      <w:r w:rsidR="001C4F07" w:rsidRPr="002C75EF">
        <w:rPr>
          <w:rFonts w:ascii="Times New Roman" w:hAnsi="Times New Roman" w:cs="Times New Roman"/>
          <w:sz w:val="24"/>
          <w:szCs w:val="24"/>
        </w:rPr>
        <w:t>that were in tandem with the Malawi Exchange Control requirements</w:t>
      </w:r>
      <w:r w:rsidR="00F750D7" w:rsidRPr="002C75EF">
        <w:rPr>
          <w:rFonts w:ascii="Times New Roman" w:hAnsi="Times New Roman" w:cs="Times New Roman"/>
          <w:sz w:val="24"/>
          <w:szCs w:val="24"/>
        </w:rPr>
        <w:t xml:space="preserve">. </w:t>
      </w:r>
      <w:r w:rsidR="001C4F07" w:rsidRPr="002C75EF">
        <w:rPr>
          <w:rFonts w:ascii="Times New Roman" w:hAnsi="Times New Roman" w:cs="Times New Roman"/>
          <w:sz w:val="24"/>
          <w:szCs w:val="24"/>
        </w:rPr>
        <w:t xml:space="preserve"> </w:t>
      </w:r>
      <w:r w:rsidR="00B547CD" w:rsidRPr="002C75EF">
        <w:rPr>
          <w:rFonts w:ascii="Times New Roman" w:hAnsi="Times New Roman" w:cs="Times New Roman"/>
          <w:sz w:val="24"/>
          <w:szCs w:val="24"/>
        </w:rPr>
        <w:t>By e-mail of 5 August 2013</w:t>
      </w:r>
      <w:r w:rsidR="00700044" w:rsidRPr="002C75EF">
        <w:rPr>
          <w:rFonts w:ascii="Times New Roman" w:hAnsi="Times New Roman" w:cs="Times New Roman"/>
          <w:sz w:val="24"/>
          <w:szCs w:val="24"/>
        </w:rPr>
        <w:t xml:space="preserve"> </w:t>
      </w:r>
      <w:r w:rsidR="00A8673C" w:rsidRPr="002C75EF">
        <w:rPr>
          <w:rFonts w:ascii="Times New Roman" w:hAnsi="Times New Roman" w:cs="Times New Roman"/>
          <w:sz w:val="24"/>
          <w:szCs w:val="24"/>
        </w:rPr>
        <w:t xml:space="preserve">JM </w:t>
      </w:r>
      <w:r w:rsidR="00753D44">
        <w:rPr>
          <w:rFonts w:ascii="Times New Roman" w:hAnsi="Times New Roman" w:cs="Times New Roman"/>
          <w:sz w:val="24"/>
          <w:szCs w:val="24"/>
        </w:rPr>
        <w:t>procured</w:t>
      </w:r>
      <w:r w:rsidR="00B547CD" w:rsidRPr="002C75EF">
        <w:rPr>
          <w:rFonts w:ascii="Times New Roman" w:hAnsi="Times New Roman" w:cs="Times New Roman"/>
          <w:sz w:val="24"/>
          <w:szCs w:val="24"/>
        </w:rPr>
        <w:t xml:space="preserve"> an employee of the tax consultant </w:t>
      </w:r>
      <w:r w:rsidR="00753D44">
        <w:rPr>
          <w:rFonts w:ascii="Times New Roman" w:hAnsi="Times New Roman" w:cs="Times New Roman"/>
          <w:sz w:val="24"/>
          <w:szCs w:val="24"/>
        </w:rPr>
        <w:t>from</w:t>
      </w:r>
      <w:r w:rsidR="00D57AE0" w:rsidRPr="002C75EF">
        <w:rPr>
          <w:rFonts w:ascii="Times New Roman" w:hAnsi="Times New Roman" w:cs="Times New Roman"/>
          <w:sz w:val="24"/>
          <w:szCs w:val="24"/>
        </w:rPr>
        <w:t xml:space="preserve"> </w:t>
      </w:r>
      <w:r w:rsidR="00CC483E">
        <w:rPr>
          <w:rFonts w:ascii="Times New Roman" w:hAnsi="Times New Roman" w:cs="Times New Roman"/>
          <w:sz w:val="24"/>
          <w:szCs w:val="24"/>
        </w:rPr>
        <w:t>providing unsolicited</w:t>
      </w:r>
      <w:r w:rsidR="00D57AE0" w:rsidRPr="002C75EF">
        <w:rPr>
          <w:rFonts w:ascii="Times New Roman" w:hAnsi="Times New Roman" w:cs="Times New Roman"/>
          <w:sz w:val="24"/>
          <w:szCs w:val="24"/>
        </w:rPr>
        <w:t xml:space="preserve"> information to the case manager. </w:t>
      </w:r>
      <w:r w:rsidR="003739A4" w:rsidRPr="002C75EF">
        <w:rPr>
          <w:rFonts w:ascii="Times New Roman" w:hAnsi="Times New Roman" w:cs="Times New Roman"/>
          <w:sz w:val="24"/>
          <w:szCs w:val="24"/>
        </w:rPr>
        <w:t xml:space="preserve">On 10 January 2014, </w:t>
      </w:r>
      <w:r w:rsidR="00A8673C" w:rsidRPr="002C75EF">
        <w:rPr>
          <w:rFonts w:ascii="Times New Roman" w:hAnsi="Times New Roman" w:cs="Times New Roman"/>
          <w:sz w:val="24"/>
          <w:szCs w:val="24"/>
        </w:rPr>
        <w:t>h</w:t>
      </w:r>
      <w:r w:rsidR="003739A4" w:rsidRPr="002C75EF">
        <w:rPr>
          <w:rFonts w:ascii="Times New Roman" w:hAnsi="Times New Roman" w:cs="Times New Roman"/>
          <w:sz w:val="24"/>
          <w:szCs w:val="24"/>
        </w:rPr>
        <w:t xml:space="preserve">e requested the flagship’s finance director Mrs N to issue the 2005 share certificates </w:t>
      </w:r>
      <w:r w:rsidR="003739A4" w:rsidRPr="002C75EF">
        <w:rPr>
          <w:rFonts w:ascii="Times New Roman" w:hAnsi="Times New Roman" w:cs="Times New Roman"/>
          <w:sz w:val="24"/>
          <w:szCs w:val="24"/>
        </w:rPr>
        <w:lastRenderedPageBreak/>
        <w:t xml:space="preserve">due to the appellant. On 24 and 27 January 2014 </w:t>
      </w:r>
      <w:r w:rsidR="00812F64" w:rsidRPr="002C75EF">
        <w:rPr>
          <w:rFonts w:ascii="Times New Roman" w:hAnsi="Times New Roman" w:cs="Times New Roman"/>
          <w:sz w:val="24"/>
          <w:szCs w:val="24"/>
        </w:rPr>
        <w:t xml:space="preserve">and 17 February 2014, JM disclosed an entrenched pattern of using the Zambian subsidiary to redirect </w:t>
      </w:r>
      <w:r w:rsidR="00A8673C" w:rsidRPr="002C75EF">
        <w:rPr>
          <w:rFonts w:ascii="Times New Roman" w:hAnsi="Times New Roman" w:cs="Times New Roman"/>
          <w:sz w:val="24"/>
          <w:szCs w:val="24"/>
        </w:rPr>
        <w:t xml:space="preserve">royalty </w:t>
      </w:r>
      <w:r w:rsidR="00812F64" w:rsidRPr="002C75EF">
        <w:rPr>
          <w:rFonts w:ascii="Times New Roman" w:hAnsi="Times New Roman" w:cs="Times New Roman"/>
          <w:sz w:val="24"/>
          <w:szCs w:val="24"/>
        </w:rPr>
        <w:t>income due to the flagship from the Tanzanian subsidiary. H</w:t>
      </w:r>
      <w:r w:rsidR="003739A4" w:rsidRPr="002C75EF">
        <w:rPr>
          <w:rFonts w:ascii="Times New Roman" w:hAnsi="Times New Roman" w:cs="Times New Roman"/>
          <w:sz w:val="24"/>
          <w:szCs w:val="24"/>
        </w:rPr>
        <w:t>e directed the Tanzanian country manager E</w:t>
      </w:r>
      <w:r w:rsidR="00584357" w:rsidRPr="002C75EF">
        <w:rPr>
          <w:rFonts w:ascii="Times New Roman" w:hAnsi="Times New Roman" w:cs="Times New Roman"/>
          <w:sz w:val="24"/>
          <w:szCs w:val="24"/>
        </w:rPr>
        <w:t xml:space="preserve"> to</w:t>
      </w:r>
      <w:r w:rsidR="00A67FBD" w:rsidRPr="002C75EF">
        <w:rPr>
          <w:rFonts w:ascii="Times New Roman" w:hAnsi="Times New Roman" w:cs="Times New Roman"/>
          <w:sz w:val="24"/>
          <w:szCs w:val="24"/>
        </w:rPr>
        <w:t xml:space="preserve"> redirect</w:t>
      </w:r>
      <w:r w:rsidR="00584357" w:rsidRPr="002C75EF">
        <w:rPr>
          <w:rFonts w:ascii="Times New Roman" w:hAnsi="Times New Roman" w:cs="Times New Roman"/>
          <w:sz w:val="24"/>
          <w:szCs w:val="24"/>
        </w:rPr>
        <w:t xml:space="preserve"> the </w:t>
      </w:r>
      <w:r w:rsidR="00A67FBD" w:rsidRPr="002C75EF">
        <w:rPr>
          <w:rFonts w:ascii="Times New Roman" w:hAnsi="Times New Roman" w:cs="Times New Roman"/>
          <w:sz w:val="24"/>
          <w:szCs w:val="24"/>
        </w:rPr>
        <w:t xml:space="preserve">payment due to the </w:t>
      </w:r>
      <w:r w:rsidR="00584357" w:rsidRPr="002C75EF">
        <w:rPr>
          <w:rFonts w:ascii="Times New Roman" w:hAnsi="Times New Roman" w:cs="Times New Roman"/>
          <w:sz w:val="24"/>
          <w:szCs w:val="24"/>
        </w:rPr>
        <w:t xml:space="preserve">flagship </w:t>
      </w:r>
      <w:r w:rsidR="00A67FBD" w:rsidRPr="002C75EF">
        <w:rPr>
          <w:rFonts w:ascii="Times New Roman" w:hAnsi="Times New Roman" w:cs="Times New Roman"/>
          <w:sz w:val="24"/>
          <w:szCs w:val="24"/>
        </w:rPr>
        <w:t>from the Tanzanian subsidiary to the Zambian subsidiary</w:t>
      </w:r>
      <w:r w:rsidR="00812F64" w:rsidRPr="002C75EF">
        <w:rPr>
          <w:rFonts w:ascii="Times New Roman" w:hAnsi="Times New Roman" w:cs="Times New Roman"/>
          <w:sz w:val="24"/>
          <w:szCs w:val="24"/>
        </w:rPr>
        <w:t xml:space="preserve"> and the latter </w:t>
      </w:r>
      <w:r w:rsidR="00D57AE0" w:rsidRPr="002C75EF">
        <w:rPr>
          <w:rFonts w:ascii="Times New Roman" w:hAnsi="Times New Roman" w:cs="Times New Roman"/>
          <w:sz w:val="24"/>
          <w:szCs w:val="24"/>
        </w:rPr>
        <w:t xml:space="preserve">to overcharge Tanzania by US$26 500 per tonne for the 20 metric tonnes of parent seed sold to the latter. </w:t>
      </w:r>
      <w:r w:rsidR="00A67FBD" w:rsidRPr="002C75EF">
        <w:rPr>
          <w:rFonts w:ascii="Times New Roman" w:hAnsi="Times New Roman" w:cs="Times New Roman"/>
          <w:sz w:val="24"/>
          <w:szCs w:val="24"/>
        </w:rPr>
        <w:t xml:space="preserve">The </w:t>
      </w:r>
      <w:r w:rsidR="00D57AE0" w:rsidRPr="002C75EF">
        <w:rPr>
          <w:rFonts w:ascii="Times New Roman" w:hAnsi="Times New Roman" w:cs="Times New Roman"/>
          <w:sz w:val="24"/>
          <w:szCs w:val="24"/>
        </w:rPr>
        <w:t xml:space="preserve">sworn purpose being </w:t>
      </w:r>
      <w:r w:rsidR="000F43AA" w:rsidRPr="002C75EF">
        <w:rPr>
          <w:rFonts w:ascii="Times New Roman" w:hAnsi="Times New Roman" w:cs="Times New Roman"/>
          <w:sz w:val="24"/>
          <w:szCs w:val="24"/>
        </w:rPr>
        <w:t xml:space="preserve">to </w:t>
      </w:r>
      <w:r w:rsidR="00D57AE0" w:rsidRPr="002C75EF">
        <w:rPr>
          <w:rFonts w:ascii="Times New Roman" w:hAnsi="Times New Roman" w:cs="Times New Roman"/>
          <w:sz w:val="24"/>
          <w:szCs w:val="24"/>
        </w:rPr>
        <w:t>“</w:t>
      </w:r>
      <w:r w:rsidR="000F43AA" w:rsidRPr="002C75EF">
        <w:rPr>
          <w:rFonts w:ascii="Times New Roman" w:hAnsi="Times New Roman" w:cs="Times New Roman"/>
          <w:sz w:val="24"/>
          <w:szCs w:val="24"/>
        </w:rPr>
        <w:t>bury reversal of research costs credited</w:t>
      </w:r>
      <w:r w:rsidR="00F423CD" w:rsidRPr="002C75EF">
        <w:rPr>
          <w:rFonts w:ascii="Times New Roman" w:hAnsi="Times New Roman" w:cs="Times New Roman"/>
          <w:sz w:val="24"/>
          <w:szCs w:val="24"/>
        </w:rPr>
        <w:t>”</w:t>
      </w:r>
      <w:r w:rsidR="000F43AA" w:rsidRPr="002C75EF">
        <w:rPr>
          <w:rFonts w:ascii="Times New Roman" w:hAnsi="Times New Roman" w:cs="Times New Roman"/>
          <w:sz w:val="24"/>
          <w:szCs w:val="24"/>
        </w:rPr>
        <w:t xml:space="preserve"> to Zambia </w:t>
      </w:r>
      <w:r w:rsidR="00F423CD" w:rsidRPr="002C75EF">
        <w:rPr>
          <w:rFonts w:ascii="Times New Roman" w:hAnsi="Times New Roman" w:cs="Times New Roman"/>
          <w:sz w:val="24"/>
          <w:szCs w:val="24"/>
        </w:rPr>
        <w:t xml:space="preserve">in either overheads or costs of sales </w:t>
      </w:r>
      <w:r w:rsidR="000F43AA" w:rsidRPr="002C75EF">
        <w:rPr>
          <w:rFonts w:ascii="Times New Roman" w:hAnsi="Times New Roman" w:cs="Times New Roman"/>
          <w:sz w:val="24"/>
          <w:szCs w:val="24"/>
        </w:rPr>
        <w:t>and “</w:t>
      </w:r>
      <w:r w:rsidR="00D57AE0" w:rsidRPr="002C75EF">
        <w:rPr>
          <w:rFonts w:ascii="Times New Roman" w:hAnsi="Times New Roman" w:cs="Times New Roman"/>
          <w:sz w:val="24"/>
          <w:szCs w:val="24"/>
        </w:rPr>
        <w:t>minimize the taxes that arise from paying direct royalties to Zimbabwe”.</w:t>
      </w:r>
      <w:r w:rsidR="00BF3F4F" w:rsidRPr="002C75EF">
        <w:rPr>
          <w:rFonts w:ascii="Times New Roman" w:hAnsi="Times New Roman" w:cs="Times New Roman"/>
          <w:sz w:val="24"/>
          <w:szCs w:val="24"/>
        </w:rPr>
        <w:t xml:space="preserve"> </w:t>
      </w:r>
      <w:r w:rsidR="0072012C" w:rsidRPr="002C75EF">
        <w:rPr>
          <w:rFonts w:ascii="Times New Roman" w:hAnsi="Times New Roman" w:cs="Times New Roman"/>
          <w:sz w:val="24"/>
          <w:szCs w:val="24"/>
        </w:rPr>
        <w:t xml:space="preserve">The flagship finance executive was instructed, on 14 February 2014, to include recoveries in other income and not under apportionments and debit research costs due to the flagship to confound the Zimbabwe case manager. </w:t>
      </w:r>
      <w:r w:rsidR="00BF3F4F" w:rsidRPr="002C75EF">
        <w:rPr>
          <w:rFonts w:ascii="Times New Roman" w:hAnsi="Times New Roman" w:cs="Times New Roman"/>
          <w:sz w:val="24"/>
          <w:szCs w:val="24"/>
        </w:rPr>
        <w:t xml:space="preserve">It would also minimize the withholding tax due to the Tanzanian </w:t>
      </w:r>
      <w:r w:rsidR="00D57AE0" w:rsidRPr="002C75EF">
        <w:rPr>
          <w:rFonts w:ascii="Times New Roman" w:hAnsi="Times New Roman" w:cs="Times New Roman"/>
          <w:sz w:val="24"/>
          <w:szCs w:val="24"/>
        </w:rPr>
        <w:t xml:space="preserve">revenue authority </w:t>
      </w:r>
      <w:r w:rsidR="00BF3F4F" w:rsidRPr="002C75EF">
        <w:rPr>
          <w:rFonts w:ascii="Times New Roman" w:hAnsi="Times New Roman" w:cs="Times New Roman"/>
          <w:sz w:val="24"/>
          <w:szCs w:val="24"/>
        </w:rPr>
        <w:t xml:space="preserve">and create fictitious withholding tax for the Zambian revenue authority from the </w:t>
      </w:r>
      <w:r w:rsidR="00D51EC4" w:rsidRPr="002C75EF">
        <w:rPr>
          <w:rFonts w:ascii="Times New Roman" w:hAnsi="Times New Roman" w:cs="Times New Roman"/>
          <w:sz w:val="24"/>
          <w:szCs w:val="24"/>
        </w:rPr>
        <w:t>sale originating from Zimbabwe.</w:t>
      </w:r>
      <w:r w:rsidR="00B97EE4" w:rsidRPr="002C75EF">
        <w:rPr>
          <w:rFonts w:ascii="Times New Roman" w:hAnsi="Times New Roman" w:cs="Times New Roman"/>
          <w:sz w:val="24"/>
          <w:szCs w:val="24"/>
        </w:rPr>
        <w:t xml:space="preserve"> Some of the e-mails showed that germplasm was being dispatched </w:t>
      </w:r>
      <w:r w:rsidR="00A8673C" w:rsidRPr="002C75EF">
        <w:rPr>
          <w:rFonts w:ascii="Times New Roman" w:hAnsi="Times New Roman" w:cs="Times New Roman"/>
          <w:sz w:val="24"/>
          <w:szCs w:val="24"/>
        </w:rPr>
        <w:t>to the other subsidiaries</w:t>
      </w:r>
      <w:r w:rsidR="00B97EE4" w:rsidRPr="002C75EF">
        <w:rPr>
          <w:rFonts w:ascii="Times New Roman" w:hAnsi="Times New Roman" w:cs="Times New Roman"/>
          <w:sz w:val="24"/>
          <w:szCs w:val="24"/>
        </w:rPr>
        <w:t xml:space="preserve"> from Zimbabwe for testing</w:t>
      </w:r>
      <w:r w:rsidR="00A8673C" w:rsidRPr="002C75EF">
        <w:rPr>
          <w:rFonts w:ascii="Times New Roman" w:hAnsi="Times New Roman" w:cs="Times New Roman"/>
          <w:sz w:val="24"/>
          <w:szCs w:val="24"/>
        </w:rPr>
        <w:t>, trials, de</w:t>
      </w:r>
      <w:r w:rsidR="00027E33" w:rsidRPr="002C75EF">
        <w:rPr>
          <w:rFonts w:ascii="Times New Roman" w:hAnsi="Times New Roman" w:cs="Times New Roman"/>
          <w:sz w:val="24"/>
          <w:szCs w:val="24"/>
        </w:rPr>
        <w:t>velopment of ecological</w:t>
      </w:r>
      <w:r w:rsidR="001F5A8B" w:rsidRPr="002C75EF">
        <w:rPr>
          <w:rFonts w:ascii="Times New Roman" w:hAnsi="Times New Roman" w:cs="Times New Roman"/>
          <w:sz w:val="24"/>
          <w:szCs w:val="24"/>
        </w:rPr>
        <w:t>ly</w:t>
      </w:r>
      <w:r w:rsidR="00027E33" w:rsidRPr="002C75EF">
        <w:rPr>
          <w:rFonts w:ascii="Times New Roman" w:hAnsi="Times New Roman" w:cs="Times New Roman"/>
          <w:sz w:val="24"/>
          <w:szCs w:val="24"/>
        </w:rPr>
        <w:t xml:space="preserve"> adaptable</w:t>
      </w:r>
      <w:r w:rsidR="00A8673C" w:rsidRPr="002C75EF">
        <w:rPr>
          <w:rFonts w:ascii="Times New Roman" w:hAnsi="Times New Roman" w:cs="Times New Roman"/>
          <w:sz w:val="24"/>
          <w:szCs w:val="24"/>
        </w:rPr>
        <w:t xml:space="preserve"> seed, </w:t>
      </w:r>
      <w:r w:rsidR="00BE7E8C" w:rsidRPr="002C75EF">
        <w:rPr>
          <w:rFonts w:ascii="Times New Roman" w:hAnsi="Times New Roman" w:cs="Times New Roman"/>
          <w:sz w:val="24"/>
          <w:szCs w:val="24"/>
        </w:rPr>
        <w:t>and registration</w:t>
      </w:r>
      <w:r w:rsidR="00A8673C" w:rsidRPr="002C75EF">
        <w:rPr>
          <w:rFonts w:ascii="Times New Roman" w:hAnsi="Times New Roman" w:cs="Times New Roman"/>
          <w:sz w:val="24"/>
          <w:szCs w:val="24"/>
        </w:rPr>
        <w:t xml:space="preserve"> of </w:t>
      </w:r>
      <w:r w:rsidR="001F5A8B" w:rsidRPr="002C75EF">
        <w:rPr>
          <w:rFonts w:ascii="Times New Roman" w:hAnsi="Times New Roman" w:cs="Times New Roman"/>
          <w:sz w:val="24"/>
          <w:szCs w:val="24"/>
        </w:rPr>
        <w:t xml:space="preserve">plant breeder rights, </w:t>
      </w:r>
      <w:r w:rsidR="00A8673C" w:rsidRPr="002C75EF">
        <w:rPr>
          <w:rFonts w:ascii="Times New Roman" w:hAnsi="Times New Roman" w:cs="Times New Roman"/>
          <w:sz w:val="24"/>
          <w:szCs w:val="24"/>
        </w:rPr>
        <w:t>PBRs</w:t>
      </w:r>
      <w:r w:rsidR="001F5A8B" w:rsidRPr="002C75EF">
        <w:rPr>
          <w:rFonts w:ascii="Times New Roman" w:hAnsi="Times New Roman" w:cs="Times New Roman"/>
          <w:sz w:val="24"/>
          <w:szCs w:val="24"/>
        </w:rPr>
        <w:t>,</w:t>
      </w:r>
      <w:r w:rsidR="00A8673C" w:rsidRPr="002C75EF">
        <w:rPr>
          <w:rFonts w:ascii="Times New Roman" w:hAnsi="Times New Roman" w:cs="Times New Roman"/>
          <w:sz w:val="24"/>
          <w:szCs w:val="24"/>
        </w:rPr>
        <w:t xml:space="preserve"> and marketing of the developed hybrid seed.</w:t>
      </w:r>
      <w:r w:rsidR="00B97EE4" w:rsidRPr="002C75EF">
        <w:rPr>
          <w:rFonts w:ascii="Times New Roman" w:hAnsi="Times New Roman" w:cs="Times New Roman"/>
          <w:sz w:val="24"/>
          <w:szCs w:val="24"/>
        </w:rPr>
        <w:t xml:space="preserve">  </w:t>
      </w:r>
    </w:p>
    <w:p w:rsidR="00507802" w:rsidRPr="002C75EF" w:rsidRDefault="00A756B6" w:rsidP="004B164C">
      <w:pPr>
        <w:spacing w:after="0" w:line="360" w:lineRule="auto"/>
        <w:ind w:firstLine="720"/>
        <w:jc w:val="both"/>
        <w:rPr>
          <w:rFonts w:ascii="Times New Roman" w:eastAsia="Calibri" w:hAnsi="Times New Roman" w:cs="Times New Roman"/>
          <w:color w:val="000000"/>
          <w:sz w:val="24"/>
          <w:szCs w:val="24"/>
        </w:rPr>
      </w:pPr>
      <w:r w:rsidRPr="002C75EF">
        <w:rPr>
          <w:rFonts w:ascii="Times New Roman" w:hAnsi="Times New Roman" w:cs="Times New Roman"/>
          <w:sz w:val="24"/>
          <w:szCs w:val="24"/>
        </w:rPr>
        <w:t xml:space="preserve">At no time </w:t>
      </w:r>
      <w:r w:rsidR="00314D8F" w:rsidRPr="002C75EF">
        <w:rPr>
          <w:rFonts w:ascii="Times New Roman" w:hAnsi="Times New Roman" w:cs="Times New Roman"/>
          <w:sz w:val="24"/>
          <w:szCs w:val="24"/>
        </w:rPr>
        <w:t xml:space="preserve">during the investigations </w:t>
      </w:r>
      <w:r w:rsidRPr="002C75EF">
        <w:rPr>
          <w:rFonts w:ascii="Times New Roman" w:hAnsi="Times New Roman" w:cs="Times New Roman"/>
          <w:sz w:val="24"/>
          <w:szCs w:val="24"/>
        </w:rPr>
        <w:t>did the appellant ever dispute that the technical and research fees payable under the Research and Marketing Development Agreements were royalties. In fact, in the tax consultant’s letter of 6 November 2012, the appellant equated technical fees to royalties. It proceeded to confirm this position in the letter of 25 June 2013</w:t>
      </w:r>
      <w:r w:rsidR="003D391F" w:rsidRPr="002C75EF">
        <w:rPr>
          <w:rFonts w:ascii="Times New Roman" w:hAnsi="Times New Roman" w:cs="Times New Roman"/>
          <w:sz w:val="24"/>
          <w:szCs w:val="24"/>
        </w:rPr>
        <w:t xml:space="preserve">. </w:t>
      </w:r>
      <w:r w:rsidR="00485399">
        <w:rPr>
          <w:rFonts w:ascii="Times New Roman" w:hAnsi="Times New Roman" w:cs="Times New Roman"/>
          <w:sz w:val="24"/>
          <w:szCs w:val="24"/>
        </w:rPr>
        <w:t>JM</w:t>
      </w:r>
      <w:r w:rsidR="00507802" w:rsidRPr="002C75EF">
        <w:rPr>
          <w:rFonts w:ascii="Times New Roman" w:hAnsi="Times New Roman" w:cs="Times New Roman"/>
          <w:sz w:val="24"/>
          <w:szCs w:val="24"/>
        </w:rPr>
        <w:t xml:space="preserve"> conceded that the general trademark in issue appeared on every maize seed variety sold by all the subsidiaries while two of the distinct trademarks were sold in Kenya, Malawi, Tanzania, Zambia and Z</w:t>
      </w:r>
      <w:r w:rsidR="00027E33" w:rsidRPr="002C75EF">
        <w:rPr>
          <w:rFonts w:ascii="Times New Roman" w:hAnsi="Times New Roman" w:cs="Times New Roman"/>
          <w:sz w:val="24"/>
          <w:szCs w:val="24"/>
        </w:rPr>
        <w:t>imbabwe</w:t>
      </w:r>
      <w:r w:rsidR="00507802" w:rsidRPr="002C75EF">
        <w:rPr>
          <w:rFonts w:ascii="Times New Roman" w:hAnsi="Times New Roman" w:cs="Times New Roman"/>
          <w:sz w:val="24"/>
          <w:szCs w:val="24"/>
        </w:rPr>
        <w:t>. According to the tax consultant’s letter to the respondent of 18 January 2012, the early maturity distinct trademarked product was approved for sale in Zambia</w:t>
      </w:r>
      <w:r w:rsidR="00507802" w:rsidRPr="002C75EF">
        <w:rPr>
          <w:rFonts w:ascii="Times New Roman" w:eastAsia="Calibri" w:hAnsi="Times New Roman" w:cs="Times New Roman"/>
          <w:b/>
          <w:color w:val="000000"/>
          <w:sz w:val="24"/>
          <w:szCs w:val="24"/>
        </w:rPr>
        <w:t xml:space="preserve">. </w:t>
      </w:r>
      <w:r w:rsidR="00507802" w:rsidRPr="002C75EF">
        <w:rPr>
          <w:rFonts w:ascii="Times New Roman" w:eastAsia="Calibri" w:hAnsi="Times New Roman" w:cs="Times New Roman"/>
          <w:color w:val="000000"/>
          <w:sz w:val="24"/>
          <w:szCs w:val="24"/>
        </w:rPr>
        <w:t xml:space="preserve">In the objection letter </w:t>
      </w:r>
      <w:r w:rsidR="00027E33" w:rsidRPr="002C75EF">
        <w:rPr>
          <w:rFonts w:ascii="Times New Roman" w:eastAsia="Calibri" w:hAnsi="Times New Roman" w:cs="Times New Roman"/>
          <w:color w:val="000000"/>
          <w:sz w:val="24"/>
          <w:szCs w:val="24"/>
        </w:rPr>
        <w:t xml:space="preserve">the appellant </w:t>
      </w:r>
      <w:r w:rsidR="00507802" w:rsidRPr="002C75EF">
        <w:rPr>
          <w:rFonts w:ascii="Times New Roman" w:eastAsia="Calibri" w:hAnsi="Times New Roman" w:cs="Times New Roman"/>
          <w:color w:val="000000"/>
          <w:sz w:val="24"/>
          <w:szCs w:val="24"/>
        </w:rPr>
        <w:t>conceded that the two medium maturity trademarked products were predominantly sold “by the Group” in Zimbabwe and Malawi</w:t>
      </w:r>
      <w:r w:rsidR="00027E33" w:rsidRPr="002C75EF">
        <w:rPr>
          <w:rFonts w:ascii="Times New Roman" w:eastAsia="Calibri" w:hAnsi="Times New Roman" w:cs="Times New Roman"/>
          <w:color w:val="000000"/>
          <w:sz w:val="24"/>
          <w:szCs w:val="24"/>
        </w:rPr>
        <w:t>.</w:t>
      </w:r>
    </w:p>
    <w:p w:rsidR="003003FB" w:rsidRPr="002C75EF" w:rsidRDefault="003003FB" w:rsidP="004B164C">
      <w:pPr>
        <w:spacing w:after="0" w:line="360" w:lineRule="auto"/>
        <w:ind w:firstLine="720"/>
        <w:jc w:val="both"/>
        <w:rPr>
          <w:rFonts w:ascii="Times New Roman" w:hAnsi="Times New Roman" w:cs="Times New Roman"/>
          <w:sz w:val="24"/>
          <w:szCs w:val="24"/>
        </w:rPr>
      </w:pPr>
      <w:r w:rsidRPr="002C75EF">
        <w:rPr>
          <w:rFonts w:ascii="Times New Roman" w:eastAsia="Calibri" w:hAnsi="Times New Roman" w:cs="Times New Roman"/>
          <w:color w:val="000000"/>
          <w:sz w:val="24"/>
          <w:szCs w:val="24"/>
        </w:rPr>
        <w:t xml:space="preserve">The without prejudice letters of </w:t>
      </w:r>
      <w:r w:rsidRPr="002C75EF">
        <w:rPr>
          <w:rFonts w:ascii="Times New Roman" w:hAnsi="Times New Roman" w:cs="Times New Roman"/>
          <w:sz w:val="24"/>
          <w:szCs w:val="24"/>
        </w:rPr>
        <w:t xml:space="preserve">case of </w:t>
      </w:r>
      <w:r w:rsidR="00E32601" w:rsidRPr="002C75EF">
        <w:rPr>
          <w:rFonts w:ascii="Times New Roman" w:hAnsi="Times New Roman" w:cs="Times New Roman"/>
          <w:sz w:val="24"/>
          <w:szCs w:val="24"/>
        </w:rPr>
        <w:t>28 May, 1 and 11 June and 19 August 2013</w:t>
      </w:r>
      <w:r w:rsidRPr="002C75EF">
        <w:rPr>
          <w:rFonts w:ascii="Times New Roman" w:hAnsi="Times New Roman" w:cs="Times New Roman"/>
          <w:sz w:val="24"/>
          <w:szCs w:val="24"/>
        </w:rPr>
        <w:t xml:space="preserve"> and 27 February and 10 March 2014</w:t>
      </w:r>
      <w:r w:rsidR="00E32601" w:rsidRPr="002C75EF">
        <w:rPr>
          <w:rFonts w:ascii="Times New Roman" w:hAnsi="Times New Roman" w:cs="Times New Roman"/>
          <w:sz w:val="24"/>
          <w:szCs w:val="24"/>
        </w:rPr>
        <w:t xml:space="preserve"> did not exclude liability but merely the taxable percentage. The efficacy of the </w:t>
      </w:r>
      <w:r w:rsidR="003B3FE5">
        <w:rPr>
          <w:rFonts w:ascii="Times New Roman" w:hAnsi="Times New Roman" w:cs="Times New Roman"/>
          <w:sz w:val="24"/>
          <w:szCs w:val="24"/>
        </w:rPr>
        <w:t>“</w:t>
      </w:r>
      <w:r w:rsidR="00E32601" w:rsidRPr="002C75EF">
        <w:rPr>
          <w:rFonts w:ascii="Times New Roman" w:hAnsi="Times New Roman" w:cs="Times New Roman"/>
          <w:sz w:val="24"/>
          <w:szCs w:val="24"/>
        </w:rPr>
        <w:t>without prejudice</w:t>
      </w:r>
      <w:r w:rsidR="003B3FE5">
        <w:rPr>
          <w:rFonts w:ascii="Times New Roman" w:hAnsi="Times New Roman" w:cs="Times New Roman"/>
          <w:sz w:val="24"/>
          <w:szCs w:val="24"/>
        </w:rPr>
        <w:t>”</w:t>
      </w:r>
      <w:r w:rsidR="00E32601" w:rsidRPr="002C75EF">
        <w:rPr>
          <w:rFonts w:ascii="Times New Roman" w:hAnsi="Times New Roman" w:cs="Times New Roman"/>
          <w:sz w:val="24"/>
          <w:szCs w:val="24"/>
        </w:rPr>
        <w:t xml:space="preserve"> principle appears to me to be tenuous in tax related matters in view of the strong sentiments propounded by </w:t>
      </w:r>
      <w:r w:rsidR="00334502" w:rsidRPr="00334502">
        <w:rPr>
          <w:rFonts w:ascii="Times New Roman" w:hAnsi="Times New Roman" w:cs="Times New Roman"/>
          <w:smallCaps/>
          <w:sz w:val="24"/>
          <w:szCs w:val="24"/>
        </w:rPr>
        <w:t>malaba</w:t>
      </w:r>
      <w:r w:rsidR="00E32601" w:rsidRPr="002C75EF">
        <w:rPr>
          <w:rFonts w:ascii="Times New Roman" w:hAnsi="Times New Roman" w:cs="Times New Roman"/>
          <w:sz w:val="24"/>
          <w:szCs w:val="24"/>
        </w:rPr>
        <w:t xml:space="preserve"> JA</w:t>
      </w:r>
      <w:r w:rsidR="00027E33" w:rsidRPr="002C75EF">
        <w:rPr>
          <w:rFonts w:ascii="Times New Roman" w:hAnsi="Times New Roman" w:cs="Times New Roman"/>
          <w:sz w:val="24"/>
          <w:szCs w:val="24"/>
        </w:rPr>
        <w:t>,</w:t>
      </w:r>
      <w:r w:rsidR="00E32601" w:rsidRPr="002C75EF">
        <w:rPr>
          <w:rFonts w:ascii="Times New Roman" w:hAnsi="Times New Roman" w:cs="Times New Roman"/>
          <w:sz w:val="24"/>
          <w:szCs w:val="24"/>
        </w:rPr>
        <w:t xml:space="preserve"> as he then was</w:t>
      </w:r>
      <w:r w:rsidR="009D5C73" w:rsidRPr="002C75EF">
        <w:rPr>
          <w:rFonts w:ascii="Times New Roman" w:hAnsi="Times New Roman" w:cs="Times New Roman"/>
          <w:sz w:val="24"/>
          <w:szCs w:val="24"/>
        </w:rPr>
        <w:t>,</w:t>
      </w:r>
      <w:r w:rsidR="00E32601" w:rsidRPr="002C75EF">
        <w:rPr>
          <w:rFonts w:ascii="Times New Roman" w:hAnsi="Times New Roman" w:cs="Times New Roman"/>
          <w:sz w:val="24"/>
          <w:szCs w:val="24"/>
        </w:rPr>
        <w:t xml:space="preserve"> in the </w:t>
      </w:r>
      <w:r w:rsidR="009D5C73" w:rsidRPr="002C75EF">
        <w:rPr>
          <w:rFonts w:ascii="Times New Roman" w:hAnsi="Times New Roman" w:cs="Times New Roman"/>
          <w:i/>
          <w:sz w:val="24"/>
          <w:szCs w:val="24"/>
        </w:rPr>
        <w:t xml:space="preserve">Commissioner of Taxes </w:t>
      </w:r>
      <w:r w:rsidR="009D5C73" w:rsidRPr="00334502">
        <w:rPr>
          <w:rFonts w:ascii="Times New Roman" w:hAnsi="Times New Roman" w:cs="Times New Roman"/>
          <w:sz w:val="24"/>
          <w:szCs w:val="24"/>
        </w:rPr>
        <w:t>v</w:t>
      </w:r>
      <w:r w:rsidR="009D5C73" w:rsidRPr="002C75EF">
        <w:rPr>
          <w:rFonts w:ascii="Times New Roman" w:hAnsi="Times New Roman" w:cs="Times New Roman"/>
          <w:i/>
          <w:sz w:val="24"/>
          <w:szCs w:val="24"/>
        </w:rPr>
        <w:t xml:space="preserve"> Astra Holdings (Pvt) Ltd </w:t>
      </w:r>
      <w:r w:rsidR="009D5C73" w:rsidRPr="002C75EF">
        <w:rPr>
          <w:rFonts w:ascii="Times New Roman" w:hAnsi="Times New Roman" w:cs="Times New Roman"/>
          <w:sz w:val="24"/>
          <w:szCs w:val="24"/>
        </w:rPr>
        <w:t>2003 (1) ZLR 417 (S) at</w:t>
      </w:r>
      <w:r w:rsidR="009D5C73" w:rsidRPr="002C75EF">
        <w:rPr>
          <w:rFonts w:ascii="Times New Roman" w:hAnsi="Times New Roman" w:cs="Times New Roman"/>
          <w:i/>
          <w:sz w:val="24"/>
          <w:szCs w:val="24"/>
        </w:rPr>
        <w:t xml:space="preserve"> </w:t>
      </w:r>
      <w:r w:rsidR="009D5C73" w:rsidRPr="002C75EF">
        <w:rPr>
          <w:rFonts w:ascii="Times New Roman" w:hAnsi="Times New Roman" w:cs="Times New Roman"/>
          <w:sz w:val="24"/>
          <w:szCs w:val="24"/>
        </w:rPr>
        <w:t xml:space="preserve">428B </w:t>
      </w:r>
      <w:r w:rsidR="00E32601" w:rsidRPr="002C75EF">
        <w:rPr>
          <w:rFonts w:ascii="Times New Roman" w:hAnsi="Times New Roman" w:cs="Times New Roman"/>
          <w:sz w:val="24"/>
          <w:szCs w:val="24"/>
        </w:rPr>
        <w:t xml:space="preserve">that the duty of the Commissioner is to tax and not untax an eligible taxpayer. </w:t>
      </w:r>
      <w:r w:rsidR="00F2444E" w:rsidRPr="002C75EF">
        <w:rPr>
          <w:rFonts w:ascii="Times New Roman" w:hAnsi="Times New Roman" w:cs="Times New Roman"/>
          <w:sz w:val="24"/>
          <w:szCs w:val="24"/>
        </w:rPr>
        <w:t>Again</w:t>
      </w:r>
      <w:r w:rsidR="0083240A">
        <w:rPr>
          <w:rFonts w:ascii="Times New Roman" w:hAnsi="Times New Roman" w:cs="Times New Roman"/>
          <w:sz w:val="24"/>
          <w:szCs w:val="24"/>
        </w:rPr>
        <w:t>,</w:t>
      </w:r>
      <w:r w:rsidR="00F2444E" w:rsidRPr="002C75EF">
        <w:rPr>
          <w:rFonts w:ascii="Times New Roman" w:hAnsi="Times New Roman" w:cs="Times New Roman"/>
          <w:sz w:val="24"/>
          <w:szCs w:val="24"/>
        </w:rPr>
        <w:t xml:space="preserve"> in the minutes between the parties of 22 July 2012, the appellant conceded that the fees were royalties. </w:t>
      </w:r>
    </w:p>
    <w:p w:rsidR="0081042E" w:rsidRPr="002C75EF" w:rsidRDefault="0081042E" w:rsidP="004B164C">
      <w:pPr>
        <w:spacing w:after="0" w:line="360" w:lineRule="auto"/>
        <w:ind w:firstLine="540"/>
        <w:jc w:val="both"/>
        <w:rPr>
          <w:rFonts w:ascii="Times New Roman" w:hAnsi="Times New Roman" w:cs="Times New Roman"/>
          <w:sz w:val="24"/>
          <w:szCs w:val="24"/>
        </w:rPr>
      </w:pPr>
      <w:r w:rsidRPr="002C75EF">
        <w:rPr>
          <w:rFonts w:ascii="Times New Roman" w:hAnsi="Times New Roman" w:cs="Times New Roman"/>
          <w:sz w:val="24"/>
          <w:szCs w:val="24"/>
        </w:rPr>
        <w:t>The respondent imputed management fees to the a</w:t>
      </w:r>
      <w:r w:rsidR="008C7082" w:rsidRPr="002C75EF">
        <w:rPr>
          <w:rFonts w:ascii="Times New Roman" w:hAnsi="Times New Roman" w:cs="Times New Roman"/>
          <w:sz w:val="24"/>
          <w:szCs w:val="24"/>
        </w:rPr>
        <w:t>ppellant on the basis that:</w:t>
      </w:r>
    </w:p>
    <w:p w:rsidR="008C7082" w:rsidRPr="002C75EF" w:rsidRDefault="008C7082" w:rsidP="00334502">
      <w:pPr>
        <w:pStyle w:val="ListParagraph"/>
        <w:numPr>
          <w:ilvl w:val="0"/>
          <w:numId w:val="30"/>
        </w:numPr>
        <w:spacing w:after="0" w:line="360" w:lineRule="auto"/>
        <w:jc w:val="both"/>
        <w:rPr>
          <w:rFonts w:ascii="Times New Roman" w:hAnsi="Times New Roman" w:cs="Times New Roman"/>
          <w:sz w:val="24"/>
          <w:szCs w:val="24"/>
        </w:rPr>
      </w:pPr>
      <w:r w:rsidRPr="002C75EF">
        <w:rPr>
          <w:rFonts w:ascii="Times New Roman" w:hAnsi="Times New Roman" w:cs="Times New Roman"/>
          <w:sz w:val="24"/>
          <w:szCs w:val="24"/>
        </w:rPr>
        <w:lastRenderedPageBreak/>
        <w:t>The ZSE listing rules require employees to have certain experience;</w:t>
      </w:r>
    </w:p>
    <w:p w:rsidR="008C7082" w:rsidRPr="002C75EF" w:rsidRDefault="008C7082" w:rsidP="00334502">
      <w:pPr>
        <w:pStyle w:val="ListParagraph"/>
        <w:numPr>
          <w:ilvl w:val="0"/>
          <w:numId w:val="30"/>
        </w:numPr>
        <w:spacing w:after="0" w:line="360" w:lineRule="auto"/>
        <w:jc w:val="both"/>
        <w:rPr>
          <w:rFonts w:ascii="Times New Roman" w:hAnsi="Times New Roman" w:cs="Times New Roman"/>
          <w:sz w:val="24"/>
          <w:szCs w:val="24"/>
        </w:rPr>
      </w:pPr>
      <w:r w:rsidRPr="002C75EF">
        <w:rPr>
          <w:rFonts w:ascii="Times New Roman" w:hAnsi="Times New Roman" w:cs="Times New Roman"/>
          <w:sz w:val="24"/>
          <w:szCs w:val="24"/>
        </w:rPr>
        <w:t>The GCEO and GFD were executive directors of the appellant;</w:t>
      </w:r>
    </w:p>
    <w:p w:rsidR="008C7082" w:rsidRDefault="008C7082" w:rsidP="00334502">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The annual financial statements indicated that the appellant was operational;</w:t>
      </w:r>
    </w:p>
    <w:p w:rsidR="008C7082" w:rsidRDefault="008C7082" w:rsidP="00334502">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appellant employe</w:t>
      </w:r>
      <w:r w:rsidR="0020542C">
        <w:rPr>
          <w:rFonts w:ascii="Times New Roman" w:hAnsi="Times New Roman" w:cs="Times New Roman"/>
          <w:sz w:val="24"/>
          <w:szCs w:val="24"/>
        </w:rPr>
        <w:t>d group employees</w:t>
      </w:r>
      <w:r>
        <w:rPr>
          <w:rFonts w:ascii="Times New Roman" w:hAnsi="Times New Roman" w:cs="Times New Roman"/>
          <w:sz w:val="24"/>
          <w:szCs w:val="24"/>
        </w:rPr>
        <w:t>, who had extant contracts with it;</w:t>
      </w:r>
    </w:p>
    <w:p w:rsidR="008C7082" w:rsidRDefault="008C7082" w:rsidP="00334502">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It had a physical head office from which it rendered administrative, technical, financial and commercial management services through the group employe</w:t>
      </w:r>
      <w:r w:rsidR="00F63FAE">
        <w:rPr>
          <w:rFonts w:ascii="Times New Roman" w:hAnsi="Times New Roman" w:cs="Times New Roman"/>
          <w:sz w:val="24"/>
          <w:szCs w:val="24"/>
        </w:rPr>
        <w:t>es</w:t>
      </w:r>
      <w:r>
        <w:rPr>
          <w:rFonts w:ascii="Times New Roman" w:hAnsi="Times New Roman" w:cs="Times New Roman"/>
          <w:sz w:val="24"/>
          <w:szCs w:val="24"/>
        </w:rPr>
        <w:t xml:space="preserve"> </w:t>
      </w:r>
      <w:r w:rsidR="00F63FAE">
        <w:rPr>
          <w:rFonts w:ascii="Times New Roman" w:hAnsi="Times New Roman" w:cs="Times New Roman"/>
          <w:sz w:val="24"/>
          <w:szCs w:val="24"/>
        </w:rPr>
        <w:t>to its</w:t>
      </w:r>
      <w:r>
        <w:rPr>
          <w:rFonts w:ascii="Times New Roman" w:hAnsi="Times New Roman" w:cs="Times New Roman"/>
          <w:sz w:val="24"/>
          <w:szCs w:val="24"/>
        </w:rPr>
        <w:t xml:space="preserve"> subsidiaries</w:t>
      </w:r>
      <w:r w:rsidR="0020542C">
        <w:rPr>
          <w:rFonts w:ascii="Times New Roman" w:hAnsi="Times New Roman" w:cs="Times New Roman"/>
          <w:sz w:val="24"/>
          <w:szCs w:val="24"/>
        </w:rPr>
        <w:t>, which</w:t>
      </w:r>
      <w:r w:rsidR="00F63FAE">
        <w:rPr>
          <w:rFonts w:ascii="Times New Roman" w:hAnsi="Times New Roman" w:cs="Times New Roman"/>
          <w:sz w:val="24"/>
          <w:szCs w:val="24"/>
        </w:rPr>
        <w:t xml:space="preserve"> negated the assertion that it was an investment holding company holding shares with no employees and other business activities.</w:t>
      </w:r>
    </w:p>
    <w:p w:rsidR="00A768A6" w:rsidRPr="00F63FAE" w:rsidRDefault="00F63FAE" w:rsidP="005B2229">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In the absence of any comparables from the appellant, the </w:t>
      </w:r>
      <w:r w:rsidR="00EC7BB6">
        <w:rPr>
          <w:rFonts w:ascii="Times New Roman" w:eastAsia="Calibri" w:hAnsi="Times New Roman" w:cs="Times New Roman"/>
          <w:color w:val="000000"/>
          <w:sz w:val="24"/>
          <w:szCs w:val="24"/>
        </w:rPr>
        <w:t>respondent imputed manageme</w:t>
      </w:r>
      <w:r w:rsidR="001A407C">
        <w:rPr>
          <w:rFonts w:ascii="Times New Roman" w:eastAsia="Calibri" w:hAnsi="Times New Roman" w:cs="Times New Roman"/>
          <w:color w:val="000000"/>
          <w:sz w:val="24"/>
          <w:szCs w:val="24"/>
        </w:rPr>
        <w:t>nt fees to the appellant of US$</w:t>
      </w:r>
      <w:r w:rsidR="00EC7BB6" w:rsidRPr="00EC7BB6">
        <w:rPr>
          <w:rFonts w:ascii="Times New Roman" w:eastAsia="Calibri" w:hAnsi="Times New Roman" w:cs="Times New Roman"/>
          <w:color w:val="000000"/>
          <w:sz w:val="24"/>
          <w:szCs w:val="24"/>
        </w:rPr>
        <w:t>832,155.00</w:t>
      </w:r>
      <w:r w:rsidR="00EC7BB6">
        <w:rPr>
          <w:rFonts w:ascii="Times New Roman" w:eastAsia="Calibri" w:hAnsi="Times New Roman" w:cs="Times New Roman"/>
          <w:color w:val="000000"/>
          <w:sz w:val="24"/>
          <w:szCs w:val="24"/>
        </w:rPr>
        <w:t xml:space="preserve"> for 2009, US$</w:t>
      </w:r>
      <w:r w:rsidR="00EC7BB6" w:rsidRPr="00EC7BB6">
        <w:rPr>
          <w:rFonts w:ascii="Times New Roman" w:eastAsia="Calibri" w:hAnsi="Times New Roman" w:cs="Times New Roman"/>
          <w:color w:val="000000"/>
          <w:sz w:val="24"/>
          <w:szCs w:val="24"/>
        </w:rPr>
        <w:t>1,882,819.55</w:t>
      </w:r>
      <w:r w:rsidR="00EC7BB6">
        <w:rPr>
          <w:rFonts w:ascii="Times New Roman" w:eastAsia="Calibri" w:hAnsi="Times New Roman" w:cs="Times New Roman"/>
          <w:color w:val="000000"/>
          <w:sz w:val="24"/>
          <w:szCs w:val="24"/>
        </w:rPr>
        <w:t xml:space="preserve"> for 2010; US$ </w:t>
      </w:r>
      <w:r w:rsidR="00EC7BB6" w:rsidRPr="00EC7BB6">
        <w:rPr>
          <w:rFonts w:ascii="Times New Roman" w:eastAsia="Calibri" w:hAnsi="Times New Roman" w:cs="Times New Roman"/>
          <w:color w:val="000000"/>
          <w:sz w:val="24"/>
          <w:szCs w:val="24"/>
        </w:rPr>
        <w:t>2,967,647.50</w:t>
      </w:r>
      <w:r w:rsidR="00EC7BB6">
        <w:rPr>
          <w:rFonts w:ascii="Times New Roman" w:eastAsia="Calibri" w:hAnsi="Times New Roman" w:cs="Times New Roman"/>
          <w:color w:val="000000"/>
          <w:sz w:val="24"/>
          <w:szCs w:val="24"/>
        </w:rPr>
        <w:t xml:space="preserve"> for 2011</w:t>
      </w:r>
      <w:r w:rsidR="00EC7BB6" w:rsidRPr="00EC7BB6">
        <w:rPr>
          <w:rFonts w:ascii="Times New Roman" w:eastAsia="Calibri" w:hAnsi="Times New Roman" w:cs="Times New Roman"/>
          <w:color w:val="000000"/>
          <w:sz w:val="24"/>
          <w:szCs w:val="24"/>
        </w:rPr>
        <w:t xml:space="preserve"> and </w:t>
      </w:r>
      <w:r w:rsidR="00EC7BB6">
        <w:rPr>
          <w:rFonts w:ascii="Times New Roman" w:eastAsia="Calibri" w:hAnsi="Times New Roman" w:cs="Times New Roman"/>
          <w:color w:val="000000"/>
          <w:sz w:val="24"/>
          <w:szCs w:val="24"/>
        </w:rPr>
        <w:t>US$</w:t>
      </w:r>
      <w:r w:rsidR="00EC7BB6" w:rsidRPr="00EC7BB6">
        <w:rPr>
          <w:rFonts w:ascii="Times New Roman" w:eastAsia="Calibri" w:hAnsi="Times New Roman" w:cs="Times New Roman"/>
          <w:color w:val="000000"/>
          <w:sz w:val="24"/>
          <w:szCs w:val="24"/>
        </w:rPr>
        <w:t>2,680,158.75</w:t>
      </w:r>
      <w:r w:rsidR="00EC7BB6">
        <w:rPr>
          <w:rFonts w:ascii="Times New Roman" w:eastAsia="Calibri" w:hAnsi="Times New Roman" w:cs="Times New Roman"/>
          <w:color w:val="000000"/>
          <w:sz w:val="24"/>
          <w:szCs w:val="24"/>
        </w:rPr>
        <w:t xml:space="preserve"> for 2012 tax year.</w:t>
      </w:r>
      <w:r w:rsidR="0033045B">
        <w:rPr>
          <w:rFonts w:ascii="Times New Roman" w:eastAsia="Calibri" w:hAnsi="Times New Roman" w:cs="Times New Roman"/>
          <w:color w:val="000000"/>
          <w:sz w:val="24"/>
          <w:szCs w:val="24"/>
        </w:rPr>
        <w:t xml:space="preserve"> </w:t>
      </w:r>
      <w:r w:rsidR="00A768A6">
        <w:rPr>
          <w:rFonts w:ascii="Times New Roman" w:eastAsia="Calibri" w:hAnsi="Times New Roman" w:cs="Times New Roman"/>
          <w:color w:val="000000"/>
          <w:sz w:val="24"/>
          <w:szCs w:val="24"/>
        </w:rPr>
        <w:t>These amounts constituted a transfer price of cost plus 25%, translated as a gross profit percentage of 20%. The “cost” was derived from the general head office expenses disclosed in the audited financial statements of the f</w:t>
      </w:r>
      <w:r w:rsidR="001A407C">
        <w:rPr>
          <w:rFonts w:ascii="Times New Roman" w:eastAsia="Calibri" w:hAnsi="Times New Roman" w:cs="Times New Roman"/>
          <w:color w:val="000000"/>
          <w:sz w:val="24"/>
          <w:szCs w:val="24"/>
        </w:rPr>
        <w:t>lagship. These were marked-up by</w:t>
      </w:r>
      <w:r w:rsidR="00A768A6">
        <w:rPr>
          <w:rFonts w:ascii="Times New Roman" w:eastAsia="Calibri" w:hAnsi="Times New Roman" w:cs="Times New Roman"/>
          <w:color w:val="000000"/>
          <w:sz w:val="24"/>
          <w:szCs w:val="24"/>
        </w:rPr>
        <w:t xml:space="preserve"> 25% and then allowed as a deduction, thus effectively taxing only the mark-up on the deemed expense.</w:t>
      </w:r>
    </w:p>
    <w:p w:rsidR="00EC7BB6" w:rsidRPr="00EC7BB6" w:rsidRDefault="00EC7BB6" w:rsidP="005B2229">
      <w:pPr>
        <w:spacing w:after="0" w:line="360" w:lineRule="auto"/>
        <w:ind w:firstLine="540"/>
        <w:jc w:val="both"/>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She also attributed royalties for the use of the 5 trademarks to the appellant of US$</w:t>
      </w:r>
      <w:r w:rsidRPr="00EC7BB6">
        <w:rPr>
          <w:rFonts w:ascii="Times New Roman" w:eastAsia="Calibri" w:hAnsi="Times New Roman" w:cs="Times New Roman"/>
          <w:color w:val="000000"/>
          <w:sz w:val="24"/>
          <w:szCs w:val="24"/>
        </w:rPr>
        <w:t xml:space="preserve">1,998,824.55; </w:t>
      </w:r>
      <w:r>
        <w:rPr>
          <w:rFonts w:ascii="Times New Roman" w:eastAsia="Calibri" w:hAnsi="Times New Roman" w:cs="Times New Roman"/>
          <w:color w:val="000000"/>
          <w:sz w:val="24"/>
          <w:szCs w:val="24"/>
        </w:rPr>
        <w:t xml:space="preserve">US$ 2,215,841.00; US$ </w:t>
      </w:r>
      <w:r w:rsidRPr="00EC7BB6">
        <w:rPr>
          <w:rFonts w:ascii="Times New Roman" w:eastAsia="Calibri" w:hAnsi="Times New Roman" w:cs="Times New Roman"/>
          <w:color w:val="000000"/>
          <w:sz w:val="24"/>
          <w:szCs w:val="24"/>
        </w:rPr>
        <w:t>2,700,651.05</w:t>
      </w:r>
      <w:r>
        <w:rPr>
          <w:rFonts w:ascii="Times New Roman" w:eastAsia="Calibri" w:hAnsi="Times New Roman" w:cs="Times New Roman"/>
          <w:color w:val="000000"/>
          <w:sz w:val="24"/>
          <w:szCs w:val="24"/>
        </w:rPr>
        <w:t xml:space="preserve"> and US</w:t>
      </w:r>
      <w:r w:rsidRPr="00EC7BB6">
        <w:rPr>
          <w:rFonts w:ascii="Times New Roman" w:eastAsia="Calibri" w:hAnsi="Times New Roman" w:cs="Times New Roman"/>
          <w:color w:val="000000"/>
          <w:sz w:val="24"/>
          <w:szCs w:val="24"/>
        </w:rPr>
        <w:t>$2,505,374.04</w:t>
      </w:r>
      <w:r>
        <w:rPr>
          <w:rFonts w:ascii="Times New Roman" w:eastAsia="Calibri" w:hAnsi="Times New Roman" w:cs="Times New Roman"/>
          <w:color w:val="000000"/>
          <w:sz w:val="24"/>
          <w:szCs w:val="24"/>
        </w:rPr>
        <w:t>, for each respective tax year</w:t>
      </w:r>
      <w:r w:rsidRPr="00EC7BB6">
        <w:rPr>
          <w:rFonts w:ascii="Times New Roman" w:eastAsia="Calibri" w:hAnsi="Times New Roman" w:cs="Times New Roman"/>
          <w:color w:val="000000"/>
          <w:sz w:val="24"/>
          <w:szCs w:val="24"/>
        </w:rPr>
        <w:t>.</w:t>
      </w:r>
    </w:p>
    <w:p w:rsidR="007131F8" w:rsidRDefault="00872339" w:rsidP="005B2229">
      <w:pPr>
        <w:spacing w:line="360" w:lineRule="auto"/>
        <w:jc w:val="both"/>
        <w:rPr>
          <w:rFonts w:ascii="Calibri" w:eastAsia="Calibri" w:hAnsi="Calibri" w:cs="Calibri"/>
          <w:color w:val="000000"/>
        </w:rPr>
      </w:pPr>
      <w:r w:rsidRPr="00364725">
        <w:rPr>
          <w:rFonts w:ascii="Times New Roman" w:hAnsi="Times New Roman" w:cs="Times New Roman"/>
          <w:i/>
          <w:sz w:val="24"/>
          <w:szCs w:val="24"/>
        </w:rPr>
        <w:t>The testimony of JM</w:t>
      </w:r>
    </w:p>
    <w:p w:rsidR="000A4DED" w:rsidRDefault="00C9450F" w:rsidP="000622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JM joined the appellant before the reorganisation after which he </w:t>
      </w:r>
      <w:r w:rsidR="00170B76">
        <w:rPr>
          <w:rFonts w:ascii="Times New Roman" w:hAnsi="Times New Roman" w:cs="Times New Roman"/>
          <w:sz w:val="24"/>
          <w:szCs w:val="24"/>
        </w:rPr>
        <w:t xml:space="preserve">was appointed the </w:t>
      </w:r>
      <w:r>
        <w:rPr>
          <w:rFonts w:ascii="Times New Roman" w:hAnsi="Times New Roman" w:cs="Times New Roman"/>
          <w:sz w:val="24"/>
          <w:szCs w:val="24"/>
        </w:rPr>
        <w:t>financial di</w:t>
      </w:r>
      <w:r w:rsidR="00170B76">
        <w:rPr>
          <w:rFonts w:ascii="Times New Roman" w:hAnsi="Times New Roman" w:cs="Times New Roman"/>
          <w:sz w:val="24"/>
          <w:szCs w:val="24"/>
        </w:rPr>
        <w:t>rector of the flagship on</w:t>
      </w:r>
      <w:r w:rsidR="00701D6F">
        <w:rPr>
          <w:rFonts w:ascii="Times New Roman" w:hAnsi="Times New Roman" w:cs="Times New Roman"/>
          <w:sz w:val="24"/>
          <w:szCs w:val="24"/>
        </w:rPr>
        <w:t xml:space="preserve"> </w:t>
      </w:r>
      <w:r w:rsidR="00EA7485">
        <w:rPr>
          <w:rFonts w:ascii="Times New Roman" w:hAnsi="Times New Roman" w:cs="Times New Roman"/>
          <w:sz w:val="24"/>
          <w:szCs w:val="24"/>
        </w:rPr>
        <w:t>19</w:t>
      </w:r>
      <w:r w:rsidR="00A81C7B">
        <w:rPr>
          <w:rFonts w:ascii="Times New Roman" w:hAnsi="Times New Roman" w:cs="Times New Roman"/>
          <w:sz w:val="24"/>
          <w:szCs w:val="24"/>
        </w:rPr>
        <w:t xml:space="preserve"> December</w:t>
      </w:r>
      <w:r w:rsidR="00EA7485">
        <w:rPr>
          <w:rFonts w:ascii="Times New Roman" w:hAnsi="Times New Roman" w:cs="Times New Roman"/>
          <w:sz w:val="24"/>
          <w:szCs w:val="24"/>
        </w:rPr>
        <w:t xml:space="preserve"> 2006 </w:t>
      </w:r>
      <w:r>
        <w:rPr>
          <w:rFonts w:ascii="Times New Roman" w:hAnsi="Times New Roman" w:cs="Times New Roman"/>
          <w:sz w:val="24"/>
          <w:szCs w:val="24"/>
        </w:rPr>
        <w:t>and the GFD, company</w:t>
      </w:r>
      <w:r w:rsidR="00170B76">
        <w:rPr>
          <w:rFonts w:ascii="Times New Roman" w:hAnsi="Times New Roman" w:cs="Times New Roman"/>
          <w:sz w:val="24"/>
          <w:szCs w:val="24"/>
        </w:rPr>
        <w:t xml:space="preserve"> secretary and public officer of</w:t>
      </w:r>
      <w:r>
        <w:rPr>
          <w:rFonts w:ascii="Times New Roman" w:hAnsi="Times New Roman" w:cs="Times New Roman"/>
          <w:sz w:val="24"/>
          <w:szCs w:val="24"/>
        </w:rPr>
        <w:t xml:space="preserve"> the appellant from</w:t>
      </w:r>
      <w:r w:rsidR="00EA7485">
        <w:rPr>
          <w:rFonts w:ascii="Times New Roman" w:hAnsi="Times New Roman" w:cs="Times New Roman"/>
          <w:sz w:val="24"/>
          <w:szCs w:val="24"/>
        </w:rPr>
        <w:t xml:space="preserve"> 1 January 2007</w:t>
      </w:r>
      <w:r w:rsidR="008F1D55">
        <w:rPr>
          <w:rFonts w:ascii="Times New Roman" w:hAnsi="Times New Roman" w:cs="Times New Roman"/>
          <w:sz w:val="24"/>
          <w:szCs w:val="24"/>
        </w:rPr>
        <w:t>. He</w:t>
      </w:r>
      <w:r w:rsidR="00661B9F">
        <w:rPr>
          <w:rFonts w:ascii="Times New Roman" w:hAnsi="Times New Roman" w:cs="Times New Roman"/>
          <w:sz w:val="24"/>
          <w:szCs w:val="24"/>
        </w:rPr>
        <w:t xml:space="preserve"> </w:t>
      </w:r>
      <w:r w:rsidR="003C38A2">
        <w:rPr>
          <w:rFonts w:ascii="Times New Roman" w:hAnsi="Times New Roman" w:cs="Times New Roman"/>
          <w:sz w:val="24"/>
          <w:szCs w:val="24"/>
        </w:rPr>
        <w:t xml:space="preserve">served </w:t>
      </w:r>
      <w:r w:rsidR="00661B9F">
        <w:rPr>
          <w:rFonts w:ascii="Times New Roman" w:hAnsi="Times New Roman" w:cs="Times New Roman"/>
          <w:sz w:val="24"/>
          <w:szCs w:val="24"/>
        </w:rPr>
        <w:t>as</w:t>
      </w:r>
      <w:r w:rsidR="00701D6F">
        <w:rPr>
          <w:rFonts w:ascii="Times New Roman" w:hAnsi="Times New Roman" w:cs="Times New Roman"/>
          <w:sz w:val="24"/>
          <w:szCs w:val="24"/>
        </w:rPr>
        <w:t xml:space="preserve"> the Group Treasurer until</w:t>
      </w:r>
      <w:r w:rsidR="00E73310">
        <w:rPr>
          <w:rFonts w:ascii="Times New Roman" w:hAnsi="Times New Roman" w:cs="Times New Roman"/>
          <w:sz w:val="24"/>
          <w:szCs w:val="24"/>
        </w:rPr>
        <w:t xml:space="preserve"> 1 September 2012</w:t>
      </w:r>
      <w:r w:rsidR="00661B9F">
        <w:rPr>
          <w:rFonts w:ascii="Times New Roman" w:hAnsi="Times New Roman" w:cs="Times New Roman"/>
          <w:sz w:val="24"/>
          <w:szCs w:val="24"/>
        </w:rPr>
        <w:t>.</w:t>
      </w:r>
      <w:r w:rsidR="007F19C6">
        <w:rPr>
          <w:rFonts w:ascii="Times New Roman" w:hAnsi="Times New Roman" w:cs="Times New Roman"/>
          <w:sz w:val="24"/>
          <w:szCs w:val="24"/>
        </w:rPr>
        <w:t xml:space="preserve"> </w:t>
      </w:r>
      <w:r w:rsidR="00170B76">
        <w:rPr>
          <w:rFonts w:ascii="Times New Roman" w:hAnsi="Times New Roman" w:cs="Times New Roman"/>
          <w:sz w:val="24"/>
          <w:szCs w:val="24"/>
        </w:rPr>
        <w:t xml:space="preserve">He was also a member of each subsidiary’s </w:t>
      </w:r>
      <w:r w:rsidR="00701D6F">
        <w:rPr>
          <w:rFonts w:ascii="Times New Roman" w:hAnsi="Times New Roman" w:cs="Times New Roman"/>
          <w:sz w:val="24"/>
          <w:szCs w:val="24"/>
        </w:rPr>
        <w:t>board of directors</w:t>
      </w:r>
      <w:r w:rsidR="00170B76">
        <w:rPr>
          <w:rFonts w:ascii="Times New Roman" w:hAnsi="Times New Roman" w:cs="Times New Roman"/>
          <w:sz w:val="24"/>
          <w:szCs w:val="24"/>
        </w:rPr>
        <w:t>.</w:t>
      </w:r>
    </w:p>
    <w:p w:rsidR="008F1D55" w:rsidRDefault="008F1D55" w:rsidP="000622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pith of his testimony was that the appellant transferred its head office functions and all operations lock, stock and barrel to the flagship on 1 April 2005, from which date it became an investment holding company. It ceased to have employees, other than the GCEO and GFD, on that date. It further cast the responsib</w:t>
      </w:r>
      <w:r w:rsidR="00170B76">
        <w:rPr>
          <w:rFonts w:ascii="Times New Roman" w:hAnsi="Times New Roman" w:cs="Times New Roman"/>
          <w:sz w:val="24"/>
          <w:szCs w:val="24"/>
        </w:rPr>
        <w:t>ility of managing the</w:t>
      </w:r>
      <w:r>
        <w:rPr>
          <w:rFonts w:ascii="Times New Roman" w:hAnsi="Times New Roman" w:cs="Times New Roman"/>
          <w:sz w:val="24"/>
          <w:szCs w:val="24"/>
        </w:rPr>
        <w:t xml:space="preserve"> subsidiaries on the flagship</w:t>
      </w:r>
      <w:r w:rsidR="009D2080">
        <w:rPr>
          <w:rFonts w:ascii="Times New Roman" w:hAnsi="Times New Roman" w:cs="Times New Roman"/>
          <w:sz w:val="24"/>
          <w:szCs w:val="24"/>
        </w:rPr>
        <w:t xml:space="preserve">, which employed group employees who provided management services at cost from which management fees were payable.  </w:t>
      </w:r>
      <w:r>
        <w:rPr>
          <w:rFonts w:ascii="Times New Roman" w:hAnsi="Times New Roman" w:cs="Times New Roman"/>
          <w:sz w:val="24"/>
          <w:szCs w:val="24"/>
        </w:rPr>
        <w:t xml:space="preserve"> </w:t>
      </w:r>
    </w:p>
    <w:p w:rsidR="00DF7727" w:rsidRDefault="008F1D55" w:rsidP="00B55D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 A</w:t>
      </w:r>
      <w:r w:rsidR="009D2080">
        <w:rPr>
          <w:rFonts w:ascii="Times New Roman" w:hAnsi="Times New Roman" w:cs="Times New Roman"/>
          <w:sz w:val="24"/>
          <w:szCs w:val="24"/>
        </w:rPr>
        <w:t>pril 2005, the appellant</w:t>
      </w:r>
      <w:r>
        <w:rPr>
          <w:rFonts w:ascii="Times New Roman" w:hAnsi="Times New Roman" w:cs="Times New Roman"/>
          <w:sz w:val="24"/>
          <w:szCs w:val="24"/>
        </w:rPr>
        <w:t xml:space="preserve"> </w:t>
      </w:r>
      <w:r w:rsidR="009D2080">
        <w:rPr>
          <w:rFonts w:ascii="Times New Roman" w:hAnsi="Times New Roman" w:cs="Times New Roman"/>
          <w:sz w:val="24"/>
          <w:szCs w:val="24"/>
        </w:rPr>
        <w:t>transferred 5 trademarks to the flagship which in turn simultaneously t</w:t>
      </w:r>
      <w:r w:rsidR="00170B76">
        <w:rPr>
          <w:rFonts w:ascii="Times New Roman" w:hAnsi="Times New Roman" w:cs="Times New Roman"/>
          <w:sz w:val="24"/>
          <w:szCs w:val="24"/>
        </w:rPr>
        <w:t>ransferred them to the Botswana</w:t>
      </w:r>
      <w:r w:rsidR="009D2080">
        <w:rPr>
          <w:rFonts w:ascii="Times New Roman" w:hAnsi="Times New Roman" w:cs="Times New Roman"/>
          <w:sz w:val="24"/>
          <w:szCs w:val="24"/>
        </w:rPr>
        <w:t xml:space="preserve"> subsidiary. The effect of the transfer was that the seed varieties pertaining to these trademarks constituted the genetic material that was used </w:t>
      </w:r>
      <w:r w:rsidR="009D2080">
        <w:rPr>
          <w:rFonts w:ascii="Times New Roman" w:hAnsi="Times New Roman" w:cs="Times New Roman"/>
          <w:sz w:val="24"/>
          <w:szCs w:val="24"/>
        </w:rPr>
        <w:lastRenderedPageBreak/>
        <w:t>to breed ecologically adaptable in country seed varieties from which each subsidiary derived and owned in</w:t>
      </w:r>
      <w:r w:rsidR="00467303">
        <w:rPr>
          <w:rFonts w:ascii="Times New Roman" w:hAnsi="Times New Roman" w:cs="Times New Roman"/>
          <w:sz w:val="24"/>
          <w:szCs w:val="24"/>
        </w:rPr>
        <w:t xml:space="preserve"> country</w:t>
      </w:r>
      <w:r w:rsidR="00D268F5">
        <w:rPr>
          <w:rFonts w:ascii="Times New Roman" w:hAnsi="Times New Roman" w:cs="Times New Roman"/>
          <w:sz w:val="24"/>
          <w:szCs w:val="24"/>
        </w:rPr>
        <w:t xml:space="preserve"> </w:t>
      </w:r>
      <w:r w:rsidR="00467303">
        <w:rPr>
          <w:rFonts w:ascii="Times New Roman" w:hAnsi="Times New Roman" w:cs="Times New Roman"/>
          <w:sz w:val="24"/>
          <w:szCs w:val="24"/>
        </w:rPr>
        <w:t>PBRs</w:t>
      </w:r>
      <w:r w:rsidR="009D2080">
        <w:rPr>
          <w:rFonts w:ascii="Times New Roman" w:hAnsi="Times New Roman" w:cs="Times New Roman"/>
          <w:sz w:val="24"/>
          <w:szCs w:val="24"/>
        </w:rPr>
        <w:t xml:space="preserve">. </w:t>
      </w:r>
    </w:p>
    <w:p w:rsidR="00C23644" w:rsidRDefault="00DF7727" w:rsidP="00B55D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produced exhibits 4A and 4B, the audited consolidated income statements for the financial year ended 31 March 2010, to prove that the appellant only earned dividend income from the subsidiaries and not any other income from the sale of maize, management fees or royalties. </w:t>
      </w:r>
      <w:r w:rsidR="001F79C3">
        <w:rPr>
          <w:rFonts w:ascii="Times New Roman" w:hAnsi="Times New Roman" w:cs="Times New Roman"/>
          <w:sz w:val="24"/>
          <w:szCs w:val="24"/>
        </w:rPr>
        <w:t>He ascribed the technical fees paid by the in country subsidiaries to SCI</w:t>
      </w:r>
      <w:r w:rsidR="00761FAF">
        <w:rPr>
          <w:rFonts w:ascii="Times New Roman" w:hAnsi="Times New Roman" w:cs="Times New Roman"/>
          <w:sz w:val="24"/>
          <w:szCs w:val="24"/>
        </w:rPr>
        <w:t>,</w:t>
      </w:r>
      <w:r w:rsidR="001F79C3">
        <w:rPr>
          <w:rFonts w:ascii="Times New Roman" w:hAnsi="Times New Roman" w:cs="Times New Roman"/>
          <w:sz w:val="24"/>
          <w:szCs w:val="24"/>
        </w:rPr>
        <w:t xml:space="preserve"> to the funding for research and marketing activities conducted by SCI in the breeding, testing, trials and registration of PBR</w:t>
      </w:r>
      <w:r w:rsidR="00F65581">
        <w:rPr>
          <w:rFonts w:ascii="Times New Roman" w:hAnsi="Times New Roman" w:cs="Times New Roman"/>
          <w:sz w:val="24"/>
          <w:szCs w:val="24"/>
        </w:rPr>
        <w:t>s during the incubation</w:t>
      </w:r>
      <w:r w:rsidR="001F79C3">
        <w:rPr>
          <w:rFonts w:ascii="Times New Roman" w:hAnsi="Times New Roman" w:cs="Times New Roman"/>
          <w:sz w:val="24"/>
          <w:szCs w:val="24"/>
        </w:rPr>
        <w:t xml:space="preserve"> years of each subsidiary</w:t>
      </w:r>
      <w:r w:rsidR="007118B2">
        <w:rPr>
          <w:rFonts w:ascii="Times New Roman" w:hAnsi="Times New Roman" w:cs="Times New Roman"/>
          <w:sz w:val="24"/>
          <w:szCs w:val="24"/>
        </w:rPr>
        <w:t>, which were underscored in the Research and Marketing Development Agreements executed with these subsidiaries</w:t>
      </w:r>
      <w:r w:rsidR="001F79C3">
        <w:rPr>
          <w:rFonts w:ascii="Times New Roman" w:hAnsi="Times New Roman" w:cs="Times New Roman"/>
          <w:sz w:val="24"/>
          <w:szCs w:val="24"/>
        </w:rPr>
        <w:t xml:space="preserve">. </w:t>
      </w:r>
      <w:r w:rsidR="00F65581">
        <w:rPr>
          <w:rFonts w:ascii="Times New Roman" w:hAnsi="Times New Roman" w:cs="Times New Roman"/>
          <w:sz w:val="24"/>
          <w:szCs w:val="24"/>
        </w:rPr>
        <w:t xml:space="preserve">The incubation costs for which royalties were paid were highlighted in exh 6A and 6B. </w:t>
      </w:r>
      <w:r w:rsidR="00AF00F0">
        <w:rPr>
          <w:rFonts w:ascii="Times New Roman" w:hAnsi="Times New Roman" w:cs="Times New Roman"/>
          <w:sz w:val="24"/>
          <w:szCs w:val="24"/>
        </w:rPr>
        <w:t xml:space="preserve">To his knowledge and experience, trademarks </w:t>
      </w:r>
      <w:r w:rsidR="00AF00F0" w:rsidRPr="00AF00F0">
        <w:rPr>
          <w:rFonts w:ascii="Times New Roman" w:hAnsi="Times New Roman" w:cs="Times New Roman"/>
          <w:i/>
          <w:sz w:val="24"/>
          <w:szCs w:val="24"/>
        </w:rPr>
        <w:t>per se</w:t>
      </w:r>
      <w:r w:rsidR="00AF00F0">
        <w:rPr>
          <w:rFonts w:ascii="Times New Roman" w:hAnsi="Times New Roman" w:cs="Times New Roman"/>
          <w:sz w:val="24"/>
          <w:szCs w:val="24"/>
        </w:rPr>
        <w:t xml:space="preserve"> were valueless</w:t>
      </w:r>
      <w:r w:rsidR="00C23644">
        <w:rPr>
          <w:rFonts w:ascii="Times New Roman" w:hAnsi="Times New Roman" w:cs="Times New Roman"/>
          <w:sz w:val="24"/>
          <w:szCs w:val="24"/>
        </w:rPr>
        <w:t xml:space="preserve"> to the owner</w:t>
      </w:r>
      <w:r w:rsidR="00AF00F0">
        <w:rPr>
          <w:rFonts w:ascii="Times New Roman" w:hAnsi="Times New Roman" w:cs="Times New Roman"/>
          <w:sz w:val="24"/>
          <w:szCs w:val="24"/>
        </w:rPr>
        <w:t xml:space="preserve">. Their value was derived from </w:t>
      </w:r>
      <w:r w:rsidR="0015119D">
        <w:rPr>
          <w:rFonts w:ascii="Times New Roman" w:hAnsi="Times New Roman" w:cs="Times New Roman"/>
          <w:sz w:val="24"/>
          <w:szCs w:val="24"/>
        </w:rPr>
        <w:t xml:space="preserve">rigorous </w:t>
      </w:r>
      <w:r w:rsidR="00C13DB9">
        <w:rPr>
          <w:rFonts w:ascii="Times New Roman" w:hAnsi="Times New Roman" w:cs="Times New Roman"/>
          <w:sz w:val="24"/>
          <w:szCs w:val="24"/>
        </w:rPr>
        <w:t>research and development, trial, testing, field demonstration and marketing in the host countries for a minimum of 3 to 4 years before registration, not as maize seed varieties but as plant breeder rights</w:t>
      </w:r>
      <w:r w:rsidR="00F52FEC">
        <w:rPr>
          <w:rFonts w:ascii="Times New Roman" w:hAnsi="Times New Roman" w:cs="Times New Roman"/>
          <w:sz w:val="24"/>
          <w:szCs w:val="24"/>
        </w:rPr>
        <w:t xml:space="preserve"> by</w:t>
      </w:r>
      <w:r w:rsidR="00C23644">
        <w:rPr>
          <w:rFonts w:ascii="Times New Roman" w:hAnsi="Times New Roman" w:cs="Times New Roman"/>
          <w:sz w:val="24"/>
          <w:szCs w:val="24"/>
        </w:rPr>
        <w:t xml:space="preserve"> either the owners or users or both. In those instances, like the present, wh</w:t>
      </w:r>
      <w:r w:rsidR="00C13DB9">
        <w:rPr>
          <w:rFonts w:ascii="Times New Roman" w:hAnsi="Times New Roman" w:cs="Times New Roman"/>
          <w:sz w:val="24"/>
          <w:szCs w:val="24"/>
        </w:rPr>
        <w:t>ere the owner did not undertake such</w:t>
      </w:r>
      <w:r w:rsidR="00C23644">
        <w:rPr>
          <w:rFonts w:ascii="Times New Roman" w:hAnsi="Times New Roman" w:cs="Times New Roman"/>
          <w:sz w:val="24"/>
          <w:szCs w:val="24"/>
        </w:rPr>
        <w:t xml:space="preserve"> activities and the seed varieties attached to the trademarks were not sold in country by the subsidiaries, no royalty was due to the owner. Rather, the subsidiaries owned the PBRs specific</w:t>
      </w:r>
      <w:r w:rsidR="0078038E">
        <w:rPr>
          <w:rFonts w:ascii="Times New Roman" w:hAnsi="Times New Roman" w:cs="Times New Roman"/>
          <w:sz w:val="24"/>
          <w:szCs w:val="24"/>
        </w:rPr>
        <w:t xml:space="preserve"> to their </w:t>
      </w:r>
      <w:r w:rsidR="00346BDE">
        <w:rPr>
          <w:rFonts w:ascii="Times New Roman" w:hAnsi="Times New Roman" w:cs="Times New Roman"/>
          <w:sz w:val="24"/>
          <w:szCs w:val="24"/>
        </w:rPr>
        <w:t>host markets</w:t>
      </w:r>
      <w:r w:rsidR="0078038E">
        <w:rPr>
          <w:rFonts w:ascii="Times New Roman" w:hAnsi="Times New Roman" w:cs="Times New Roman"/>
          <w:sz w:val="24"/>
          <w:szCs w:val="24"/>
        </w:rPr>
        <w:t xml:space="preserve"> and were not legally obliged to pay royalties to the appellant.</w:t>
      </w:r>
    </w:p>
    <w:p w:rsidR="00ED5AFC" w:rsidRDefault="00813A47" w:rsidP="00B55D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also attributed the impression that group employees belonged to the appellant to the inadvertent and erroneous use of</w:t>
      </w:r>
      <w:r w:rsidR="00F07116">
        <w:rPr>
          <w:rFonts w:ascii="Times New Roman" w:hAnsi="Times New Roman" w:cs="Times New Roman"/>
          <w:sz w:val="24"/>
          <w:szCs w:val="24"/>
        </w:rPr>
        <w:t xml:space="preserve"> </w:t>
      </w:r>
      <w:r w:rsidR="002C7D09">
        <w:rPr>
          <w:rFonts w:ascii="Times New Roman" w:hAnsi="Times New Roman" w:cs="Times New Roman"/>
          <w:sz w:val="24"/>
          <w:szCs w:val="24"/>
        </w:rPr>
        <w:t xml:space="preserve">old templates and stationery </w:t>
      </w:r>
      <w:r>
        <w:rPr>
          <w:rFonts w:ascii="Times New Roman" w:hAnsi="Times New Roman" w:cs="Times New Roman"/>
          <w:sz w:val="24"/>
          <w:szCs w:val="24"/>
        </w:rPr>
        <w:t xml:space="preserve">and the failure to distinguish the juridical difference between the appellant and flagship by the PA shared between the GCEO and GFD. </w:t>
      </w:r>
    </w:p>
    <w:p w:rsidR="00A5175C" w:rsidRDefault="00F11960" w:rsidP="00B55D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mai</w:t>
      </w:r>
      <w:r w:rsidR="001E04E3">
        <w:rPr>
          <w:rFonts w:ascii="Times New Roman" w:hAnsi="Times New Roman" w:cs="Times New Roman"/>
          <w:sz w:val="24"/>
          <w:szCs w:val="24"/>
        </w:rPr>
        <w:t>ntained his evidence in chief under</w:t>
      </w:r>
      <w:r>
        <w:rPr>
          <w:rFonts w:ascii="Times New Roman" w:hAnsi="Times New Roman" w:cs="Times New Roman"/>
          <w:sz w:val="24"/>
          <w:szCs w:val="24"/>
        </w:rPr>
        <w:t xml:space="preserve"> cross examination. He conceded that the failure to charge mark-up for management services was abnormal, </w:t>
      </w:r>
      <w:r w:rsidR="00A5175C">
        <w:rPr>
          <w:rFonts w:ascii="Times New Roman" w:hAnsi="Times New Roman" w:cs="Times New Roman"/>
          <w:sz w:val="24"/>
          <w:szCs w:val="24"/>
        </w:rPr>
        <w:t xml:space="preserve">that </w:t>
      </w:r>
      <w:r>
        <w:rPr>
          <w:rFonts w:ascii="Times New Roman" w:hAnsi="Times New Roman" w:cs="Times New Roman"/>
          <w:sz w:val="24"/>
          <w:szCs w:val="24"/>
        </w:rPr>
        <w:t>OECD</w:t>
      </w:r>
      <w:r w:rsidR="00A5175C">
        <w:rPr>
          <w:rFonts w:ascii="Times New Roman" w:hAnsi="Times New Roman" w:cs="Times New Roman"/>
          <w:sz w:val="24"/>
          <w:szCs w:val="24"/>
        </w:rPr>
        <w:t xml:space="preserve"> </w:t>
      </w:r>
      <w:r>
        <w:rPr>
          <w:rFonts w:ascii="Times New Roman" w:hAnsi="Times New Roman" w:cs="Times New Roman"/>
          <w:sz w:val="24"/>
          <w:szCs w:val="24"/>
        </w:rPr>
        <w:t xml:space="preserve">TPGs were at the time inapplicable in Zimbabwe, that the custodial costs sought to be excluded in exhibit 5 were actually paid to the flagship by the other subsidiaries and </w:t>
      </w:r>
      <w:r w:rsidR="00A5175C">
        <w:rPr>
          <w:rFonts w:ascii="Times New Roman" w:hAnsi="Times New Roman" w:cs="Times New Roman"/>
          <w:sz w:val="24"/>
          <w:szCs w:val="24"/>
        </w:rPr>
        <w:t xml:space="preserve">the </w:t>
      </w:r>
      <w:r>
        <w:rPr>
          <w:rFonts w:ascii="Times New Roman" w:hAnsi="Times New Roman" w:cs="Times New Roman"/>
          <w:sz w:val="24"/>
          <w:szCs w:val="24"/>
        </w:rPr>
        <w:t xml:space="preserve">question of bad debts was not contemporaneous but prospective and in any event in the discretion of the Commissioner. </w:t>
      </w:r>
      <w:r w:rsidR="00920A4B">
        <w:rPr>
          <w:rFonts w:ascii="Times New Roman" w:hAnsi="Times New Roman" w:cs="Times New Roman"/>
          <w:sz w:val="24"/>
          <w:szCs w:val="24"/>
        </w:rPr>
        <w:t xml:space="preserve">The computation of 25% was mathematically correct. All seed varieties sold in country bore the generic trademark of the appellant thus making the </w:t>
      </w:r>
      <w:r w:rsidR="00130DDB">
        <w:rPr>
          <w:rFonts w:ascii="Times New Roman" w:hAnsi="Times New Roman" w:cs="Times New Roman"/>
          <w:sz w:val="24"/>
          <w:szCs w:val="24"/>
        </w:rPr>
        <w:t xml:space="preserve">product inseparable with the trademark. </w:t>
      </w:r>
    </w:p>
    <w:p w:rsidR="002F768B" w:rsidRDefault="002F768B" w:rsidP="005B2229">
      <w:pPr>
        <w:tabs>
          <w:tab w:val="left" w:pos="2160"/>
        </w:tabs>
        <w:spacing w:before="240" w:beforeAutospacing="1" w:line="360" w:lineRule="auto"/>
        <w:jc w:val="both"/>
        <w:rPr>
          <w:rFonts w:ascii="Times New Roman" w:eastAsia="Calibri" w:hAnsi="Times New Roman" w:cs="Times New Roman"/>
          <w:i/>
          <w:color w:val="000000"/>
          <w:sz w:val="24"/>
          <w:szCs w:val="24"/>
        </w:rPr>
      </w:pPr>
    </w:p>
    <w:p w:rsidR="002F768B" w:rsidRDefault="002F768B" w:rsidP="005B2229">
      <w:pPr>
        <w:tabs>
          <w:tab w:val="left" w:pos="2160"/>
        </w:tabs>
        <w:spacing w:before="240" w:beforeAutospacing="1" w:line="360" w:lineRule="auto"/>
        <w:jc w:val="both"/>
        <w:rPr>
          <w:rFonts w:ascii="Times New Roman" w:eastAsia="Calibri" w:hAnsi="Times New Roman" w:cs="Times New Roman"/>
          <w:i/>
          <w:color w:val="000000"/>
          <w:sz w:val="24"/>
          <w:szCs w:val="24"/>
        </w:rPr>
      </w:pPr>
    </w:p>
    <w:p w:rsidR="00A5175C" w:rsidRDefault="00106172" w:rsidP="005B2229">
      <w:pPr>
        <w:tabs>
          <w:tab w:val="left" w:pos="2160"/>
        </w:tabs>
        <w:spacing w:before="240" w:beforeAutospacing="1" w:line="360" w:lineRule="auto"/>
        <w:jc w:val="both"/>
        <w:rPr>
          <w:rFonts w:ascii="Times New Roman" w:eastAsia="Calibri" w:hAnsi="Times New Roman" w:cs="Times New Roman"/>
          <w:color w:val="000000"/>
          <w:sz w:val="24"/>
          <w:szCs w:val="24"/>
        </w:rPr>
      </w:pPr>
      <w:r w:rsidRPr="00A5175C">
        <w:rPr>
          <w:rFonts w:ascii="Times New Roman" w:eastAsia="Calibri" w:hAnsi="Times New Roman" w:cs="Times New Roman"/>
          <w:i/>
          <w:color w:val="000000"/>
          <w:sz w:val="24"/>
          <w:szCs w:val="24"/>
        </w:rPr>
        <w:lastRenderedPageBreak/>
        <w:t>Assessment of the witness</w:t>
      </w:r>
      <w:r w:rsidR="006B76E9">
        <w:rPr>
          <w:rFonts w:ascii="Times New Roman" w:eastAsia="Calibri" w:hAnsi="Times New Roman" w:cs="Times New Roman"/>
          <w:color w:val="000000"/>
          <w:sz w:val="24"/>
          <w:szCs w:val="24"/>
        </w:rPr>
        <w:t xml:space="preserve"> </w:t>
      </w:r>
    </w:p>
    <w:p w:rsidR="002871A8" w:rsidRDefault="00B55DEA" w:rsidP="00F568B7">
      <w:pPr>
        <w:tabs>
          <w:tab w:val="left" w:pos="0"/>
        </w:tabs>
        <w:spacing w:before="24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DE747A">
        <w:rPr>
          <w:rFonts w:ascii="Times New Roman" w:eastAsia="Calibri" w:hAnsi="Times New Roman" w:cs="Times New Roman"/>
          <w:color w:val="000000"/>
          <w:sz w:val="24"/>
          <w:szCs w:val="24"/>
        </w:rPr>
        <w:t>He has extensive and intimate knowledge of the operations of the appellant and all its subsidi</w:t>
      </w:r>
      <w:r w:rsidR="00DF5E0D">
        <w:rPr>
          <w:rFonts w:ascii="Times New Roman" w:eastAsia="Calibri" w:hAnsi="Times New Roman" w:cs="Times New Roman"/>
          <w:color w:val="000000"/>
          <w:sz w:val="24"/>
          <w:szCs w:val="24"/>
        </w:rPr>
        <w:t>ari</w:t>
      </w:r>
      <w:r w:rsidR="00DE747A">
        <w:rPr>
          <w:rFonts w:ascii="Times New Roman" w:eastAsia="Calibri" w:hAnsi="Times New Roman" w:cs="Times New Roman"/>
          <w:color w:val="000000"/>
          <w:sz w:val="24"/>
          <w:szCs w:val="24"/>
        </w:rPr>
        <w:t>es. He found it very difficult to identify the senior managers of the appellan</w:t>
      </w:r>
      <w:r w:rsidR="00DF5E0D">
        <w:rPr>
          <w:rFonts w:ascii="Times New Roman" w:eastAsia="Calibri" w:hAnsi="Times New Roman" w:cs="Times New Roman"/>
          <w:color w:val="000000"/>
          <w:sz w:val="24"/>
          <w:szCs w:val="24"/>
        </w:rPr>
        <w:t>t who made it compliant with r</w:t>
      </w:r>
      <w:r w:rsidR="00DE747A">
        <w:rPr>
          <w:rFonts w:ascii="Times New Roman" w:eastAsia="Calibri" w:hAnsi="Times New Roman" w:cs="Times New Roman"/>
          <w:color w:val="000000"/>
          <w:sz w:val="24"/>
          <w:szCs w:val="24"/>
        </w:rPr>
        <w:t xml:space="preserve"> 4.6A of the listing requirements of the ZSE.</w:t>
      </w:r>
      <w:r w:rsidR="001D29BF">
        <w:rPr>
          <w:rFonts w:ascii="Times New Roman" w:eastAsia="Calibri" w:hAnsi="Times New Roman" w:cs="Times New Roman"/>
          <w:color w:val="000000"/>
          <w:sz w:val="24"/>
          <w:szCs w:val="24"/>
        </w:rPr>
        <w:t xml:space="preserve"> He prevaricated between the GCEO and himself, on the one hand an</w:t>
      </w:r>
      <w:r w:rsidR="002E4871">
        <w:rPr>
          <w:rFonts w:ascii="Times New Roman" w:eastAsia="Calibri" w:hAnsi="Times New Roman" w:cs="Times New Roman"/>
          <w:color w:val="000000"/>
          <w:sz w:val="24"/>
          <w:szCs w:val="24"/>
        </w:rPr>
        <w:t>d eight others on the other</w:t>
      </w:r>
      <w:r w:rsidR="001D29BF">
        <w:rPr>
          <w:rFonts w:ascii="Times New Roman" w:eastAsia="Calibri" w:hAnsi="Times New Roman" w:cs="Times New Roman"/>
          <w:color w:val="000000"/>
          <w:sz w:val="24"/>
          <w:szCs w:val="24"/>
        </w:rPr>
        <w:t xml:space="preserve">. His prevarication was motivated by the realization that admitting that appellant had senior management would automatically make it liable for management fees </w:t>
      </w:r>
      <w:r w:rsidR="00614690">
        <w:rPr>
          <w:rFonts w:ascii="Times New Roman" w:eastAsia="Calibri" w:hAnsi="Times New Roman" w:cs="Times New Roman"/>
          <w:color w:val="000000"/>
          <w:sz w:val="24"/>
          <w:szCs w:val="24"/>
        </w:rPr>
        <w:t>while denial made</w:t>
      </w:r>
      <w:r w:rsidR="001D29BF">
        <w:rPr>
          <w:rFonts w:ascii="Times New Roman" w:eastAsia="Calibri" w:hAnsi="Times New Roman" w:cs="Times New Roman"/>
          <w:color w:val="000000"/>
          <w:sz w:val="24"/>
          <w:szCs w:val="24"/>
        </w:rPr>
        <w:t xml:space="preserve"> it in breach of the listing rules. He was on the horns of a dilemma, between the proverbial hard place and a rock.</w:t>
      </w:r>
      <w:r w:rsidR="000015AA">
        <w:rPr>
          <w:rFonts w:ascii="Times New Roman" w:eastAsia="Calibri" w:hAnsi="Times New Roman" w:cs="Times New Roman"/>
          <w:color w:val="000000"/>
          <w:sz w:val="24"/>
          <w:szCs w:val="24"/>
        </w:rPr>
        <w:t xml:space="preserve"> He failed to explain why he and the GCEO, whom he admitted without equivocation to be employees of the appellant were signing engagement letters for Group personnel after the reorganisation of 2005, as agents of the appellant. The </w:t>
      </w:r>
      <w:r w:rsidR="00614690" w:rsidRPr="00614690">
        <w:rPr>
          <w:rFonts w:ascii="Times New Roman" w:eastAsia="Calibri" w:hAnsi="Times New Roman" w:cs="Times New Roman"/>
          <w:i/>
          <w:color w:val="000000"/>
          <w:sz w:val="24"/>
          <w:szCs w:val="24"/>
        </w:rPr>
        <w:t xml:space="preserve">caveat </w:t>
      </w:r>
      <w:r w:rsidR="000015AA" w:rsidRPr="00614690">
        <w:rPr>
          <w:rFonts w:ascii="Times New Roman" w:eastAsia="Calibri" w:hAnsi="Times New Roman" w:cs="Times New Roman"/>
          <w:i/>
          <w:color w:val="000000"/>
          <w:sz w:val="24"/>
          <w:szCs w:val="24"/>
        </w:rPr>
        <w:t>subscriptor</w:t>
      </w:r>
      <w:r w:rsidR="000015AA">
        <w:rPr>
          <w:rFonts w:ascii="Times New Roman" w:eastAsia="Calibri" w:hAnsi="Times New Roman" w:cs="Times New Roman"/>
          <w:color w:val="000000"/>
          <w:sz w:val="24"/>
          <w:szCs w:val="24"/>
        </w:rPr>
        <w:t xml:space="preserve"> principle obviously applied to them. He miserably failed to wriggle his way out of the space between the proverbial hard place and rock that he found himself in.</w:t>
      </w:r>
      <w:r w:rsidR="001D29BF">
        <w:rPr>
          <w:rFonts w:ascii="Times New Roman" w:eastAsia="Calibri" w:hAnsi="Times New Roman" w:cs="Times New Roman"/>
          <w:color w:val="000000"/>
          <w:sz w:val="24"/>
          <w:szCs w:val="24"/>
        </w:rPr>
        <w:t xml:space="preserve">  </w:t>
      </w:r>
      <w:r w:rsidR="006D431D">
        <w:rPr>
          <w:rFonts w:ascii="Times New Roman" w:eastAsia="Calibri" w:hAnsi="Times New Roman" w:cs="Times New Roman"/>
          <w:color w:val="000000"/>
          <w:sz w:val="24"/>
          <w:szCs w:val="24"/>
        </w:rPr>
        <w:t>He went to the absurd extent of accusing the case manager of forcing</w:t>
      </w:r>
      <w:r w:rsidR="00614690">
        <w:rPr>
          <w:rFonts w:ascii="Times New Roman" w:eastAsia="Calibri" w:hAnsi="Times New Roman" w:cs="Times New Roman"/>
          <w:color w:val="000000"/>
          <w:sz w:val="24"/>
          <w:szCs w:val="24"/>
        </w:rPr>
        <w:t xml:space="preserve"> appellant to stamp</w:t>
      </w:r>
      <w:r w:rsidR="00377A51">
        <w:rPr>
          <w:rFonts w:ascii="Times New Roman" w:eastAsia="Calibri" w:hAnsi="Times New Roman" w:cs="Times New Roman"/>
          <w:color w:val="000000"/>
          <w:sz w:val="24"/>
          <w:szCs w:val="24"/>
        </w:rPr>
        <w:t xml:space="preserve"> </w:t>
      </w:r>
      <w:r w:rsidR="00614690">
        <w:rPr>
          <w:rFonts w:ascii="Times New Roman" w:eastAsia="Calibri" w:hAnsi="Times New Roman" w:cs="Times New Roman"/>
          <w:color w:val="000000"/>
          <w:sz w:val="24"/>
          <w:szCs w:val="24"/>
        </w:rPr>
        <w:t>its logo on the extracts where this logo appears. He could</w:t>
      </w:r>
      <w:r w:rsidR="002871A8">
        <w:rPr>
          <w:rFonts w:ascii="Times New Roman" w:eastAsia="Calibri" w:hAnsi="Times New Roman" w:cs="Times New Roman"/>
          <w:color w:val="000000"/>
          <w:sz w:val="24"/>
          <w:szCs w:val="24"/>
        </w:rPr>
        <w:t xml:space="preserve"> neither</w:t>
      </w:r>
      <w:r w:rsidR="00377A51">
        <w:rPr>
          <w:rFonts w:ascii="Times New Roman" w:eastAsia="Calibri" w:hAnsi="Times New Roman" w:cs="Times New Roman"/>
          <w:color w:val="000000"/>
          <w:sz w:val="24"/>
          <w:szCs w:val="24"/>
        </w:rPr>
        <w:t xml:space="preserve"> </w:t>
      </w:r>
      <w:r w:rsidR="002871A8">
        <w:rPr>
          <w:rFonts w:ascii="Times New Roman" w:eastAsia="Calibri" w:hAnsi="Times New Roman" w:cs="Times New Roman"/>
          <w:color w:val="000000"/>
          <w:sz w:val="24"/>
          <w:szCs w:val="24"/>
        </w:rPr>
        <w:t>proffer a reasonable explanation</w:t>
      </w:r>
      <w:r w:rsidR="00377A51">
        <w:rPr>
          <w:rFonts w:ascii="Times New Roman" w:eastAsia="Calibri" w:hAnsi="Times New Roman" w:cs="Times New Roman"/>
          <w:color w:val="000000"/>
          <w:sz w:val="24"/>
          <w:szCs w:val="24"/>
        </w:rPr>
        <w:t xml:space="preserve"> why </w:t>
      </w:r>
      <w:r w:rsidR="00614690">
        <w:rPr>
          <w:rFonts w:ascii="Times New Roman" w:eastAsia="Calibri" w:hAnsi="Times New Roman" w:cs="Times New Roman"/>
          <w:color w:val="000000"/>
          <w:sz w:val="24"/>
          <w:szCs w:val="24"/>
        </w:rPr>
        <w:t xml:space="preserve">the </w:t>
      </w:r>
      <w:r w:rsidR="00377A51">
        <w:rPr>
          <w:rFonts w:ascii="Times New Roman" w:eastAsia="Calibri" w:hAnsi="Times New Roman" w:cs="Times New Roman"/>
          <w:color w:val="000000"/>
          <w:sz w:val="24"/>
          <w:szCs w:val="24"/>
        </w:rPr>
        <w:t>group treasurer used the same logo on</w:t>
      </w:r>
      <w:r w:rsidR="002871A8">
        <w:rPr>
          <w:rFonts w:ascii="Times New Roman" w:eastAsia="Calibri" w:hAnsi="Times New Roman" w:cs="Times New Roman"/>
          <w:color w:val="000000"/>
          <w:sz w:val="24"/>
          <w:szCs w:val="24"/>
        </w:rPr>
        <w:t xml:space="preserve"> his internet signature in </w:t>
      </w:r>
      <w:r w:rsidR="00377A51">
        <w:rPr>
          <w:rFonts w:ascii="Times New Roman" w:eastAsia="Calibri" w:hAnsi="Times New Roman" w:cs="Times New Roman"/>
          <w:color w:val="000000"/>
          <w:sz w:val="24"/>
          <w:szCs w:val="24"/>
        </w:rPr>
        <w:t>domestic and external commun</w:t>
      </w:r>
      <w:r w:rsidR="002871A8">
        <w:rPr>
          <w:rFonts w:ascii="Times New Roman" w:eastAsia="Calibri" w:hAnsi="Times New Roman" w:cs="Times New Roman"/>
          <w:color w:val="000000"/>
          <w:sz w:val="24"/>
          <w:szCs w:val="24"/>
        </w:rPr>
        <w:t>ication</w:t>
      </w:r>
      <w:r w:rsidR="004F11F8">
        <w:rPr>
          <w:rFonts w:ascii="Times New Roman" w:eastAsia="Calibri" w:hAnsi="Times New Roman" w:cs="Times New Roman"/>
          <w:color w:val="000000"/>
          <w:sz w:val="24"/>
          <w:szCs w:val="24"/>
        </w:rPr>
        <w:t xml:space="preserve">, nor why </w:t>
      </w:r>
      <w:r w:rsidR="002871A8">
        <w:rPr>
          <w:rFonts w:ascii="Times New Roman" w:eastAsia="Calibri" w:hAnsi="Times New Roman" w:cs="Times New Roman"/>
          <w:color w:val="000000"/>
          <w:sz w:val="24"/>
          <w:szCs w:val="24"/>
        </w:rPr>
        <w:t xml:space="preserve">the public relations manager </w:t>
      </w:r>
      <w:r w:rsidR="004F11F8">
        <w:rPr>
          <w:rFonts w:ascii="Times New Roman" w:eastAsia="Calibri" w:hAnsi="Times New Roman" w:cs="Times New Roman"/>
          <w:color w:val="000000"/>
          <w:sz w:val="24"/>
          <w:szCs w:val="24"/>
        </w:rPr>
        <w:t>was being engaged to service both t</w:t>
      </w:r>
      <w:r w:rsidR="009667FB">
        <w:rPr>
          <w:rFonts w:ascii="Times New Roman" w:eastAsia="Calibri" w:hAnsi="Times New Roman" w:cs="Times New Roman"/>
          <w:color w:val="000000"/>
          <w:sz w:val="24"/>
          <w:szCs w:val="24"/>
        </w:rPr>
        <w:t>he appellant and the flagship. He was unable to explain how such errors could</w:t>
      </w:r>
      <w:r w:rsidR="004F11F8">
        <w:rPr>
          <w:rFonts w:ascii="Times New Roman" w:eastAsia="Calibri" w:hAnsi="Times New Roman" w:cs="Times New Roman"/>
          <w:color w:val="000000"/>
          <w:sz w:val="24"/>
          <w:szCs w:val="24"/>
        </w:rPr>
        <w:t xml:space="preserve"> persist to 12 July 2012 when the last of the group employees, the group treasur</w:t>
      </w:r>
      <w:r w:rsidR="009667FB">
        <w:rPr>
          <w:rFonts w:ascii="Times New Roman" w:eastAsia="Calibri" w:hAnsi="Times New Roman" w:cs="Times New Roman"/>
          <w:color w:val="000000"/>
          <w:sz w:val="24"/>
          <w:szCs w:val="24"/>
        </w:rPr>
        <w:t>er</w:t>
      </w:r>
      <w:r w:rsidR="00203FAC">
        <w:rPr>
          <w:rFonts w:ascii="Times New Roman" w:eastAsia="Calibri" w:hAnsi="Times New Roman" w:cs="Times New Roman"/>
          <w:color w:val="000000"/>
          <w:sz w:val="24"/>
          <w:szCs w:val="24"/>
        </w:rPr>
        <w:t>,</w:t>
      </w:r>
      <w:r w:rsidR="009667FB">
        <w:rPr>
          <w:rFonts w:ascii="Times New Roman" w:eastAsia="Calibri" w:hAnsi="Times New Roman" w:cs="Times New Roman"/>
          <w:color w:val="000000"/>
          <w:sz w:val="24"/>
          <w:szCs w:val="24"/>
        </w:rPr>
        <w:t xml:space="preserve"> was engaged by the appellant</w:t>
      </w:r>
      <w:r w:rsidR="000B13A3">
        <w:rPr>
          <w:rFonts w:ascii="Times New Roman" w:eastAsia="Calibri" w:hAnsi="Times New Roman" w:cs="Times New Roman"/>
          <w:color w:val="000000"/>
          <w:sz w:val="24"/>
          <w:szCs w:val="24"/>
        </w:rPr>
        <w:t xml:space="preserve">. </w:t>
      </w:r>
    </w:p>
    <w:p w:rsidR="00BD0E2F" w:rsidRDefault="002871A8" w:rsidP="00F568B7">
      <w:pPr>
        <w:spacing w:after="0" w:line="360" w:lineRule="auto"/>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It was disingenuous of him to seek to apply the </w:t>
      </w:r>
      <w:r w:rsidR="000B13A3">
        <w:rPr>
          <w:rFonts w:ascii="Times New Roman" w:eastAsia="Calibri" w:hAnsi="Times New Roman" w:cs="Times New Roman"/>
          <w:color w:val="000000"/>
          <w:sz w:val="24"/>
          <w:szCs w:val="24"/>
        </w:rPr>
        <w:t>OECD</w:t>
      </w:r>
      <w:r>
        <w:rPr>
          <w:rFonts w:ascii="Times New Roman" w:eastAsia="Calibri" w:hAnsi="Times New Roman" w:cs="Times New Roman"/>
          <w:color w:val="000000"/>
          <w:sz w:val="24"/>
          <w:szCs w:val="24"/>
        </w:rPr>
        <w:t xml:space="preserve">-TPGs to management fees in retrospect rather than contemporaneously to the detriment of our own tax legislation. </w:t>
      </w:r>
      <w:r w:rsidR="00245A88">
        <w:rPr>
          <w:rFonts w:ascii="Times New Roman" w:eastAsia="Calibri" w:hAnsi="Times New Roman" w:cs="Times New Roman"/>
          <w:color w:val="000000"/>
          <w:sz w:val="24"/>
          <w:szCs w:val="24"/>
        </w:rPr>
        <w:t xml:space="preserve">He failed to make full and frank disclosure to the Commissioner and sought to burden the Commissioner with the onus of eliciting the appropriate questions from him contrary to </w:t>
      </w:r>
      <w:r w:rsidR="00BD0E2F">
        <w:rPr>
          <w:rFonts w:ascii="Times New Roman" w:eastAsia="Calibri" w:hAnsi="Times New Roman" w:cs="Times New Roman"/>
          <w:color w:val="000000"/>
          <w:sz w:val="24"/>
          <w:szCs w:val="24"/>
        </w:rPr>
        <w:t xml:space="preserve">his clear obligation set out in </w:t>
      </w:r>
      <w:r w:rsidR="00245A88" w:rsidRPr="00BD0E2F">
        <w:rPr>
          <w:rFonts w:ascii="Times New Roman" w:eastAsia="Calibri" w:hAnsi="Times New Roman" w:cs="Times New Roman"/>
          <w:i/>
          <w:color w:val="000000"/>
          <w:sz w:val="24"/>
          <w:szCs w:val="24"/>
        </w:rPr>
        <w:t xml:space="preserve">ITC </w:t>
      </w:r>
      <w:r w:rsidR="009D2D27">
        <w:rPr>
          <w:rFonts w:ascii="Times New Roman" w:eastAsia="Calibri" w:hAnsi="Times New Roman" w:cs="Times New Roman"/>
          <w:color w:val="000000"/>
          <w:sz w:val="24"/>
          <w:szCs w:val="24"/>
        </w:rPr>
        <w:t xml:space="preserve">15/94 </w:t>
      </w:r>
      <w:r w:rsidR="00BD0E2F">
        <w:rPr>
          <w:rFonts w:ascii="Times New Roman" w:eastAsia="Calibri" w:hAnsi="Times New Roman" w:cs="Times New Roman"/>
          <w:color w:val="000000"/>
          <w:sz w:val="24"/>
          <w:szCs w:val="24"/>
        </w:rPr>
        <w:t>(</w:t>
      </w:r>
      <w:r w:rsidR="009D2D27">
        <w:rPr>
          <w:rFonts w:ascii="Times New Roman" w:eastAsia="Calibri" w:hAnsi="Times New Roman" w:cs="Times New Roman"/>
          <w:color w:val="000000"/>
          <w:sz w:val="24"/>
          <w:szCs w:val="24"/>
        </w:rPr>
        <w:t>57 SATC 259</w:t>
      </w:r>
      <w:r w:rsidR="00BD0E2F">
        <w:rPr>
          <w:rFonts w:ascii="Times New Roman" w:eastAsia="Calibri" w:hAnsi="Times New Roman" w:cs="Times New Roman"/>
          <w:color w:val="000000"/>
          <w:sz w:val="24"/>
          <w:szCs w:val="24"/>
        </w:rPr>
        <w:t>) thus:</w:t>
      </w:r>
    </w:p>
    <w:p w:rsidR="00BD0E2F" w:rsidRDefault="00BD0E2F" w:rsidP="00F927DD">
      <w:pPr>
        <w:spacing w:after="0" w:line="240" w:lineRule="auto"/>
        <w:ind w:left="720"/>
        <w:jc w:val="both"/>
        <w:rPr>
          <w:rFonts w:ascii="Times New Roman" w:eastAsia="Calibri" w:hAnsi="Times New Roman" w:cs="Times New Roman"/>
          <w:color w:val="000000"/>
        </w:rPr>
      </w:pPr>
      <w:r w:rsidRPr="00BD0E2F">
        <w:rPr>
          <w:rFonts w:ascii="Times New Roman" w:eastAsia="Calibri" w:hAnsi="Times New Roman" w:cs="Times New Roman"/>
          <w:color w:val="000000"/>
        </w:rPr>
        <w:t xml:space="preserve">‘…an obligation rests upon a taxpayer to render an accurate and full return on which he can be assessed and not to do so in a vague or ambiguous manner casting the onus upon the revenue authorities to elicit the complete picture by a series of queries.” </w:t>
      </w:r>
      <w:r w:rsidR="009D2D27" w:rsidRPr="00BD0E2F">
        <w:rPr>
          <w:rFonts w:ascii="Times New Roman" w:eastAsia="Calibri" w:hAnsi="Times New Roman" w:cs="Times New Roman"/>
          <w:color w:val="000000"/>
        </w:rPr>
        <w:t xml:space="preserve"> </w:t>
      </w:r>
    </w:p>
    <w:p w:rsidR="00F927DD" w:rsidRPr="00BD0E2F" w:rsidRDefault="00F927DD" w:rsidP="00F927DD">
      <w:pPr>
        <w:spacing w:after="0" w:line="240" w:lineRule="auto"/>
        <w:ind w:left="720"/>
        <w:jc w:val="both"/>
        <w:rPr>
          <w:rFonts w:ascii="Times New Roman" w:hAnsi="Times New Roman" w:cs="Times New Roman"/>
        </w:rPr>
      </w:pPr>
    </w:p>
    <w:p w:rsidR="00B01D5F" w:rsidRDefault="00876952" w:rsidP="001F14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assertion that trademark</w:t>
      </w:r>
      <w:r w:rsidR="003C231E">
        <w:rPr>
          <w:rFonts w:ascii="Times New Roman" w:hAnsi="Times New Roman" w:cs="Times New Roman"/>
          <w:sz w:val="24"/>
          <w:szCs w:val="24"/>
        </w:rPr>
        <w:t>s</w:t>
      </w:r>
      <w:r>
        <w:rPr>
          <w:rFonts w:ascii="Times New Roman" w:hAnsi="Times New Roman" w:cs="Times New Roman"/>
          <w:sz w:val="24"/>
          <w:szCs w:val="24"/>
        </w:rPr>
        <w:t xml:space="preserve"> carried no embodied value was demonstrably false. In the assignments they were not transferred for free, but for </w:t>
      </w:r>
      <w:r w:rsidR="003C231E">
        <w:rPr>
          <w:rFonts w:ascii="Times New Roman" w:eastAsia="Calibri" w:hAnsi="Times New Roman" w:cs="Times New Roman"/>
          <w:color w:val="000000"/>
          <w:sz w:val="24"/>
          <w:szCs w:val="24"/>
        </w:rPr>
        <w:t>a dollar</w:t>
      </w:r>
      <w:r w:rsidR="003C231E">
        <w:rPr>
          <w:rStyle w:val="FootnoteReference"/>
          <w:rFonts w:ascii="Times New Roman" w:eastAsia="Calibri" w:hAnsi="Times New Roman" w:cs="Times New Roman"/>
          <w:color w:val="000000"/>
          <w:sz w:val="24"/>
          <w:szCs w:val="24"/>
        </w:rPr>
        <w:footnoteReference w:id="4"/>
      </w:r>
      <w:r w:rsidR="003C231E">
        <w:rPr>
          <w:rFonts w:ascii="Times New Roman" w:eastAsia="Calibri" w:hAnsi="Times New Roman" w:cs="Times New Roman"/>
          <w:color w:val="000000"/>
          <w:sz w:val="24"/>
          <w:szCs w:val="24"/>
        </w:rPr>
        <w:t>, they were registered at both the Zimbabwe Tr</w:t>
      </w:r>
      <w:r w:rsidR="00525B22">
        <w:rPr>
          <w:rFonts w:ascii="Times New Roman" w:eastAsia="Calibri" w:hAnsi="Times New Roman" w:cs="Times New Roman"/>
          <w:color w:val="000000"/>
          <w:sz w:val="24"/>
          <w:szCs w:val="24"/>
        </w:rPr>
        <w:t>ademark Office and ARIPO for</w:t>
      </w:r>
      <w:r w:rsidR="003C231E" w:rsidRPr="003C231E">
        <w:rPr>
          <w:rFonts w:ascii="Times New Roman" w:eastAsia="Calibri" w:hAnsi="Times New Roman" w:cs="Times New Roman"/>
          <w:color w:val="000000"/>
          <w:sz w:val="24"/>
          <w:szCs w:val="24"/>
        </w:rPr>
        <w:t xml:space="preserve"> </w:t>
      </w:r>
      <w:r w:rsidR="003C231E">
        <w:rPr>
          <w:rFonts w:ascii="Times New Roman" w:eastAsia="Calibri" w:hAnsi="Times New Roman" w:cs="Times New Roman"/>
          <w:color w:val="000000"/>
          <w:sz w:val="24"/>
          <w:szCs w:val="24"/>
        </w:rPr>
        <w:t>US$27 965</w:t>
      </w:r>
      <w:r w:rsidR="003C231E">
        <w:rPr>
          <w:rStyle w:val="FootnoteReference"/>
          <w:rFonts w:ascii="Times New Roman" w:eastAsia="Calibri" w:hAnsi="Times New Roman" w:cs="Times New Roman"/>
          <w:color w:val="000000"/>
          <w:sz w:val="24"/>
          <w:szCs w:val="24"/>
        </w:rPr>
        <w:footnoteReference w:id="5"/>
      </w:r>
      <w:r w:rsidR="003C231E">
        <w:rPr>
          <w:rFonts w:ascii="Times New Roman" w:eastAsia="Calibri" w:hAnsi="Times New Roman" w:cs="Times New Roman"/>
          <w:color w:val="000000"/>
          <w:sz w:val="24"/>
          <w:szCs w:val="24"/>
        </w:rPr>
        <w:t xml:space="preserve">, a SCI accounting entry valued </w:t>
      </w:r>
      <w:r w:rsidR="003C231E">
        <w:rPr>
          <w:rFonts w:ascii="Times New Roman" w:eastAsia="Calibri" w:hAnsi="Times New Roman" w:cs="Times New Roman"/>
          <w:color w:val="000000"/>
          <w:sz w:val="24"/>
          <w:szCs w:val="24"/>
        </w:rPr>
        <w:lastRenderedPageBreak/>
        <w:t>them at US$31 000</w:t>
      </w:r>
      <w:r w:rsidR="003C231E">
        <w:rPr>
          <w:rStyle w:val="FootnoteReference"/>
          <w:rFonts w:ascii="Times New Roman" w:eastAsia="Calibri" w:hAnsi="Times New Roman" w:cs="Times New Roman"/>
          <w:color w:val="000000"/>
          <w:sz w:val="24"/>
          <w:szCs w:val="24"/>
        </w:rPr>
        <w:footnoteReference w:id="6"/>
      </w:r>
      <w:r w:rsidR="003C231E">
        <w:rPr>
          <w:rFonts w:ascii="Times New Roman" w:eastAsia="Calibri" w:hAnsi="Times New Roman" w:cs="Times New Roman"/>
          <w:color w:val="000000"/>
          <w:sz w:val="24"/>
          <w:szCs w:val="24"/>
        </w:rPr>
        <w:t xml:space="preserve">, while an </w:t>
      </w:r>
      <w:r w:rsidR="003C231E">
        <w:rPr>
          <w:rFonts w:ascii="Times New Roman" w:hAnsi="Times New Roman" w:cs="Times New Roman"/>
          <w:sz w:val="24"/>
          <w:szCs w:val="24"/>
        </w:rPr>
        <w:t>e-mail by JM to Tanzania</w:t>
      </w:r>
      <w:r>
        <w:rPr>
          <w:rFonts w:ascii="Times New Roman" w:hAnsi="Times New Roman" w:cs="Times New Roman"/>
          <w:sz w:val="24"/>
          <w:szCs w:val="24"/>
        </w:rPr>
        <w:t xml:space="preserve"> of 14 February 2014 </w:t>
      </w:r>
      <w:r w:rsidR="00390C49">
        <w:rPr>
          <w:rFonts w:ascii="Times New Roman" w:hAnsi="Times New Roman" w:cs="Times New Roman"/>
          <w:sz w:val="24"/>
          <w:szCs w:val="24"/>
        </w:rPr>
        <w:t xml:space="preserve">estimated their value to be </w:t>
      </w:r>
      <w:r>
        <w:rPr>
          <w:rFonts w:ascii="Times New Roman" w:hAnsi="Times New Roman" w:cs="Times New Roman"/>
          <w:sz w:val="24"/>
          <w:szCs w:val="24"/>
        </w:rPr>
        <w:t>US$530 000</w:t>
      </w:r>
      <w:r w:rsidR="003C231E">
        <w:rPr>
          <w:rFonts w:ascii="Times New Roman" w:hAnsi="Times New Roman" w:cs="Times New Roman"/>
          <w:sz w:val="24"/>
          <w:szCs w:val="24"/>
        </w:rPr>
        <w:t>.</w:t>
      </w:r>
      <w:r>
        <w:rPr>
          <w:rFonts w:ascii="Times New Roman" w:hAnsi="Times New Roman" w:cs="Times New Roman"/>
          <w:sz w:val="24"/>
          <w:szCs w:val="24"/>
        </w:rPr>
        <w:t xml:space="preserve"> </w:t>
      </w:r>
      <w:r w:rsidR="00E304EB">
        <w:rPr>
          <w:rFonts w:ascii="Times New Roman" w:hAnsi="Times New Roman" w:cs="Times New Roman"/>
          <w:sz w:val="24"/>
          <w:szCs w:val="24"/>
        </w:rPr>
        <w:t xml:space="preserve">That these trademarks were already known in the subsidiaries host markets </w:t>
      </w:r>
      <w:r>
        <w:rPr>
          <w:rFonts w:ascii="Times New Roman" w:hAnsi="Times New Roman" w:cs="Times New Roman"/>
          <w:sz w:val="24"/>
          <w:szCs w:val="24"/>
        </w:rPr>
        <w:t xml:space="preserve">exports </w:t>
      </w:r>
      <w:r w:rsidR="00E304EB">
        <w:rPr>
          <w:rFonts w:ascii="Times New Roman" w:hAnsi="Times New Roman" w:cs="Times New Roman"/>
          <w:sz w:val="24"/>
          <w:szCs w:val="24"/>
        </w:rPr>
        <w:t>was unambiguously demonstrated by the 29 February 2004 annual report of the appellant which boasted that exports already abounded</w:t>
      </w:r>
      <w:r>
        <w:rPr>
          <w:rFonts w:ascii="Times New Roman" w:hAnsi="Times New Roman" w:cs="Times New Roman"/>
          <w:sz w:val="24"/>
          <w:szCs w:val="24"/>
        </w:rPr>
        <w:t xml:space="preserve"> before </w:t>
      </w:r>
      <w:r w:rsidR="00E304EB">
        <w:rPr>
          <w:rFonts w:ascii="Times New Roman" w:hAnsi="Times New Roman" w:cs="Times New Roman"/>
          <w:sz w:val="24"/>
          <w:szCs w:val="24"/>
        </w:rPr>
        <w:t xml:space="preserve">the 2005 </w:t>
      </w:r>
      <w:r w:rsidR="00B01D5F">
        <w:rPr>
          <w:rFonts w:ascii="Times New Roman" w:hAnsi="Times New Roman" w:cs="Times New Roman"/>
          <w:sz w:val="24"/>
          <w:szCs w:val="24"/>
        </w:rPr>
        <w:t>reorganisation.</w:t>
      </w:r>
      <w:r w:rsidR="00B01D5F" w:rsidRPr="00B01D5F">
        <w:rPr>
          <w:rFonts w:ascii="Times New Roman" w:hAnsi="Times New Roman" w:cs="Times New Roman"/>
          <w:sz w:val="24"/>
          <w:szCs w:val="24"/>
        </w:rPr>
        <w:t xml:space="preserve"> </w:t>
      </w:r>
    </w:p>
    <w:p w:rsidR="0009514A" w:rsidRDefault="00DF1559" w:rsidP="001F14B2">
      <w:pPr>
        <w:spacing w:after="0" w:line="360" w:lineRule="auto"/>
        <w:ind w:firstLine="720"/>
        <w:jc w:val="both"/>
        <w:rPr>
          <w:rFonts w:ascii="Times New Roman" w:hAnsi="Times New Roman" w:cs="Times New Roman"/>
          <w:sz w:val="24"/>
          <w:szCs w:val="24"/>
        </w:rPr>
      </w:pPr>
      <w:r w:rsidRPr="00B01D5F">
        <w:rPr>
          <w:rFonts w:ascii="Times New Roman" w:eastAsia="Calibri" w:hAnsi="Times New Roman" w:cs="Times New Roman"/>
          <w:color w:val="000000"/>
          <w:sz w:val="24"/>
          <w:szCs w:val="24"/>
        </w:rPr>
        <w:t>He gave the false impression that his laptop was unlawfully seized when it was taken by consent of his GCEO and tax consultant.</w:t>
      </w:r>
      <w:r w:rsidR="00B01D5F" w:rsidRPr="00B01D5F">
        <w:rPr>
          <w:rFonts w:ascii="Calibri" w:eastAsia="Calibri" w:hAnsi="Calibri" w:cs="Calibri"/>
          <w:b/>
          <w:color w:val="000000"/>
          <w:sz w:val="24"/>
          <w:szCs w:val="24"/>
        </w:rPr>
        <w:t xml:space="preserve"> </w:t>
      </w:r>
      <w:r w:rsidR="00B01D5F" w:rsidRPr="00B01D5F">
        <w:rPr>
          <w:rFonts w:ascii="Times New Roman" w:eastAsia="Calibri" w:hAnsi="Times New Roman" w:cs="Times New Roman"/>
          <w:color w:val="000000"/>
          <w:sz w:val="24"/>
          <w:szCs w:val="24"/>
        </w:rPr>
        <w:t>T</w:t>
      </w:r>
      <w:r w:rsidR="00135827" w:rsidRPr="00B01D5F">
        <w:rPr>
          <w:rFonts w:ascii="Times New Roman" w:hAnsi="Times New Roman" w:cs="Times New Roman"/>
          <w:sz w:val="24"/>
          <w:szCs w:val="24"/>
        </w:rPr>
        <w:t xml:space="preserve">he </w:t>
      </w:r>
      <w:r w:rsidRPr="00B01D5F">
        <w:rPr>
          <w:rFonts w:ascii="Times New Roman" w:hAnsi="Times New Roman" w:cs="Times New Roman"/>
          <w:sz w:val="24"/>
          <w:szCs w:val="24"/>
        </w:rPr>
        <w:t xml:space="preserve">seizure coloured his relationship </w:t>
      </w:r>
      <w:r w:rsidR="00B01D5F">
        <w:rPr>
          <w:rFonts w:ascii="Times New Roman" w:hAnsi="Times New Roman" w:cs="Times New Roman"/>
          <w:sz w:val="24"/>
          <w:szCs w:val="24"/>
        </w:rPr>
        <w:t>as a public officer</w:t>
      </w:r>
      <w:r w:rsidRPr="00B01D5F">
        <w:rPr>
          <w:rFonts w:ascii="Times New Roman" w:hAnsi="Times New Roman" w:cs="Times New Roman"/>
          <w:sz w:val="24"/>
          <w:szCs w:val="24"/>
        </w:rPr>
        <w:t xml:space="preserve">, with the case manager to the detriment of the appellant. </w:t>
      </w:r>
      <w:r w:rsidR="00B01D5F">
        <w:rPr>
          <w:rFonts w:ascii="Times New Roman" w:hAnsi="Times New Roman" w:cs="Times New Roman"/>
          <w:sz w:val="24"/>
          <w:szCs w:val="24"/>
        </w:rPr>
        <w:t>I foun</w:t>
      </w:r>
      <w:r w:rsidR="00082F3B">
        <w:rPr>
          <w:rFonts w:ascii="Times New Roman" w:hAnsi="Times New Roman" w:cs="Times New Roman"/>
          <w:sz w:val="24"/>
          <w:szCs w:val="24"/>
        </w:rPr>
        <w:t>d him to be an insincere</w:t>
      </w:r>
      <w:r w:rsidR="00B01D5F">
        <w:rPr>
          <w:rFonts w:ascii="Times New Roman" w:hAnsi="Times New Roman" w:cs="Times New Roman"/>
          <w:sz w:val="24"/>
          <w:szCs w:val="24"/>
        </w:rPr>
        <w:t xml:space="preserve"> </w:t>
      </w:r>
      <w:r w:rsidR="00851DE9">
        <w:rPr>
          <w:rFonts w:ascii="Times New Roman" w:hAnsi="Times New Roman" w:cs="Times New Roman"/>
          <w:sz w:val="24"/>
          <w:szCs w:val="24"/>
        </w:rPr>
        <w:t xml:space="preserve">and generally untruthful witness </w:t>
      </w:r>
      <w:r w:rsidR="00B01D5F">
        <w:rPr>
          <w:rFonts w:ascii="Times New Roman" w:hAnsi="Times New Roman" w:cs="Times New Roman"/>
          <w:sz w:val="24"/>
          <w:szCs w:val="24"/>
        </w:rPr>
        <w:t>who faile</w:t>
      </w:r>
      <w:r w:rsidR="009C0FF3">
        <w:rPr>
          <w:rFonts w:ascii="Times New Roman" w:hAnsi="Times New Roman" w:cs="Times New Roman"/>
          <w:sz w:val="24"/>
          <w:szCs w:val="24"/>
        </w:rPr>
        <w:t>d to act with integrity in the statutory position of a public officer.</w:t>
      </w:r>
    </w:p>
    <w:p w:rsidR="00CE0915" w:rsidRPr="00D268F5" w:rsidRDefault="00CE0915" w:rsidP="00450646">
      <w:pPr>
        <w:spacing w:after="0" w:line="360" w:lineRule="auto"/>
        <w:jc w:val="both"/>
        <w:rPr>
          <w:rFonts w:ascii="Times New Roman" w:hAnsi="Times New Roman" w:cs="Times New Roman"/>
          <w:i/>
          <w:sz w:val="24"/>
          <w:szCs w:val="24"/>
        </w:rPr>
      </w:pPr>
      <w:r w:rsidRPr="00D268F5">
        <w:rPr>
          <w:rFonts w:ascii="Times New Roman" w:hAnsi="Times New Roman" w:cs="Times New Roman"/>
          <w:i/>
          <w:sz w:val="24"/>
          <w:szCs w:val="24"/>
        </w:rPr>
        <w:t>The Saint</w:t>
      </w:r>
      <w:r w:rsidR="00D268F5">
        <w:rPr>
          <w:rFonts w:ascii="Times New Roman" w:hAnsi="Times New Roman" w:cs="Times New Roman"/>
          <w:i/>
          <w:sz w:val="24"/>
          <w:szCs w:val="24"/>
        </w:rPr>
        <w:t>.</w:t>
      </w:r>
    </w:p>
    <w:p w:rsidR="00185A82" w:rsidRDefault="003B701F" w:rsidP="00450646">
      <w:pPr>
        <w:spacing w:after="0" w:line="360" w:lineRule="auto"/>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The S</w:t>
      </w:r>
      <w:r w:rsidR="00106172">
        <w:rPr>
          <w:rFonts w:ascii="Times New Roman" w:eastAsia="Calibri" w:hAnsi="Times New Roman" w:cs="Times New Roman"/>
          <w:color w:val="000000"/>
          <w:sz w:val="24"/>
          <w:szCs w:val="24"/>
        </w:rPr>
        <w:t xml:space="preserve">aint was the GCEO of the appellant between 2002 and 2009. </w:t>
      </w:r>
      <w:r w:rsidR="00A253C3">
        <w:rPr>
          <w:rFonts w:ascii="Times New Roman" w:eastAsia="Calibri" w:hAnsi="Times New Roman" w:cs="Times New Roman"/>
          <w:color w:val="000000"/>
          <w:sz w:val="24"/>
          <w:szCs w:val="24"/>
        </w:rPr>
        <w:t xml:space="preserve">The internal reconstruction </w:t>
      </w:r>
      <w:r w:rsidR="009A6B97">
        <w:rPr>
          <w:rFonts w:ascii="Times New Roman" w:eastAsia="Calibri" w:hAnsi="Times New Roman" w:cs="Times New Roman"/>
          <w:color w:val="000000"/>
          <w:sz w:val="24"/>
          <w:szCs w:val="24"/>
        </w:rPr>
        <w:t xml:space="preserve">took place </w:t>
      </w:r>
      <w:r w:rsidR="00751BCB">
        <w:rPr>
          <w:rFonts w:ascii="Times New Roman" w:eastAsia="Calibri" w:hAnsi="Times New Roman" w:cs="Times New Roman"/>
          <w:color w:val="000000"/>
          <w:sz w:val="24"/>
          <w:szCs w:val="24"/>
        </w:rPr>
        <w:t>under his watch. He testified that the reorganisation</w:t>
      </w:r>
      <w:r w:rsidR="00A253C3">
        <w:rPr>
          <w:rFonts w:ascii="Times New Roman" w:eastAsia="Calibri" w:hAnsi="Times New Roman" w:cs="Times New Roman"/>
          <w:color w:val="000000"/>
          <w:sz w:val="24"/>
          <w:szCs w:val="24"/>
        </w:rPr>
        <w:t xml:space="preserve"> was designed</w:t>
      </w:r>
      <w:r w:rsidR="00FD67B8">
        <w:rPr>
          <w:rFonts w:ascii="Times New Roman" w:eastAsia="Calibri" w:hAnsi="Times New Roman" w:cs="Times New Roman"/>
          <w:color w:val="000000"/>
          <w:sz w:val="24"/>
          <w:szCs w:val="24"/>
        </w:rPr>
        <w:t xml:space="preserve"> to promote ope</w:t>
      </w:r>
      <w:r w:rsidR="001E3353">
        <w:rPr>
          <w:rFonts w:ascii="Times New Roman" w:eastAsia="Calibri" w:hAnsi="Times New Roman" w:cs="Times New Roman"/>
          <w:color w:val="000000"/>
          <w:sz w:val="24"/>
          <w:szCs w:val="24"/>
        </w:rPr>
        <w:t>rational efficiency in the grou</w:t>
      </w:r>
      <w:r w:rsidR="00FD67B8">
        <w:rPr>
          <w:rFonts w:ascii="Times New Roman" w:eastAsia="Calibri" w:hAnsi="Times New Roman" w:cs="Times New Roman"/>
          <w:color w:val="000000"/>
          <w:sz w:val="24"/>
          <w:szCs w:val="24"/>
        </w:rPr>
        <w:t>p</w:t>
      </w:r>
      <w:r w:rsidR="009E563D">
        <w:rPr>
          <w:rFonts w:ascii="Times New Roman" w:eastAsia="Calibri" w:hAnsi="Times New Roman" w:cs="Times New Roman"/>
          <w:color w:val="000000"/>
          <w:sz w:val="24"/>
          <w:szCs w:val="24"/>
        </w:rPr>
        <w:t xml:space="preserve"> and not </w:t>
      </w:r>
      <w:r w:rsidR="001E3353">
        <w:rPr>
          <w:rFonts w:ascii="Times New Roman" w:eastAsia="Calibri" w:hAnsi="Times New Roman" w:cs="Times New Roman"/>
          <w:color w:val="000000"/>
          <w:sz w:val="24"/>
          <w:szCs w:val="24"/>
        </w:rPr>
        <w:t>the accrual of tax benefits to the appellant</w:t>
      </w:r>
      <w:r w:rsidR="00A253C3">
        <w:rPr>
          <w:rFonts w:ascii="Times New Roman" w:eastAsia="Calibri" w:hAnsi="Times New Roman" w:cs="Times New Roman"/>
          <w:color w:val="000000"/>
          <w:sz w:val="24"/>
          <w:szCs w:val="24"/>
        </w:rPr>
        <w:t>. T</w:t>
      </w:r>
      <w:r w:rsidR="009E563D">
        <w:rPr>
          <w:rFonts w:ascii="Times New Roman" w:eastAsia="Calibri" w:hAnsi="Times New Roman" w:cs="Times New Roman"/>
          <w:color w:val="000000"/>
          <w:sz w:val="24"/>
          <w:szCs w:val="24"/>
        </w:rPr>
        <w:t xml:space="preserve">he avoidance, postponement or reduction of the appellant’s tax liability was never discussed by the board at the time. </w:t>
      </w:r>
      <w:r w:rsidR="00B6639C">
        <w:rPr>
          <w:rFonts w:ascii="Times New Roman" w:eastAsia="Calibri" w:hAnsi="Times New Roman" w:cs="Times New Roman"/>
          <w:color w:val="000000"/>
          <w:sz w:val="24"/>
          <w:szCs w:val="24"/>
        </w:rPr>
        <w:t>He had no recollection of wheth</w:t>
      </w:r>
      <w:r w:rsidR="00A253C3">
        <w:rPr>
          <w:rFonts w:ascii="Times New Roman" w:eastAsia="Calibri" w:hAnsi="Times New Roman" w:cs="Times New Roman"/>
          <w:color w:val="000000"/>
          <w:sz w:val="24"/>
          <w:szCs w:val="24"/>
        </w:rPr>
        <w:t>er the respondent was ever apprised of the process</w:t>
      </w:r>
      <w:r w:rsidR="00B6639C">
        <w:rPr>
          <w:rFonts w:ascii="Times New Roman" w:eastAsia="Calibri" w:hAnsi="Times New Roman" w:cs="Times New Roman"/>
          <w:color w:val="000000"/>
          <w:sz w:val="24"/>
          <w:szCs w:val="24"/>
        </w:rPr>
        <w:t xml:space="preserve">. </w:t>
      </w:r>
      <w:r w:rsidR="009E563D">
        <w:rPr>
          <w:rFonts w:ascii="Times New Roman" w:eastAsia="Calibri" w:hAnsi="Times New Roman" w:cs="Times New Roman"/>
          <w:color w:val="000000"/>
          <w:sz w:val="24"/>
          <w:szCs w:val="24"/>
        </w:rPr>
        <w:t>He, however, studiously declined to comment on the suggestion that the reconstruction was just a tax avoidance scheme.</w:t>
      </w:r>
      <w:r w:rsidR="00E8180E">
        <w:rPr>
          <w:rFonts w:ascii="Times New Roman" w:eastAsia="Calibri" w:hAnsi="Times New Roman" w:cs="Times New Roman"/>
          <w:color w:val="000000"/>
          <w:sz w:val="24"/>
          <w:szCs w:val="24"/>
        </w:rPr>
        <w:t xml:space="preserve"> </w:t>
      </w:r>
      <w:r w:rsidR="00A253C3">
        <w:rPr>
          <w:rFonts w:ascii="Times New Roman" w:eastAsia="Calibri" w:hAnsi="Times New Roman" w:cs="Times New Roman"/>
          <w:color w:val="000000"/>
          <w:sz w:val="24"/>
          <w:szCs w:val="24"/>
        </w:rPr>
        <w:t xml:space="preserve">He maintained that the appellant </w:t>
      </w:r>
      <w:r w:rsidR="00E8180E">
        <w:rPr>
          <w:rFonts w:ascii="Times New Roman" w:eastAsia="Calibri" w:hAnsi="Times New Roman" w:cs="Times New Roman"/>
          <w:color w:val="000000"/>
          <w:sz w:val="24"/>
          <w:szCs w:val="24"/>
        </w:rPr>
        <w:t>never recruited any employees after the reconstruction. He confirmed that the flagship did not gross up the management costs incurred</w:t>
      </w:r>
      <w:r w:rsidR="00B6639C">
        <w:rPr>
          <w:rFonts w:ascii="Times New Roman" w:eastAsia="Calibri" w:hAnsi="Times New Roman" w:cs="Times New Roman"/>
          <w:color w:val="000000"/>
          <w:sz w:val="24"/>
          <w:szCs w:val="24"/>
        </w:rPr>
        <w:t xml:space="preserve"> on behalf of the subsidiaries. </w:t>
      </w:r>
      <w:r w:rsidR="00784C53">
        <w:rPr>
          <w:rFonts w:ascii="Times New Roman" w:eastAsia="Calibri" w:hAnsi="Times New Roman" w:cs="Times New Roman"/>
          <w:color w:val="000000"/>
          <w:sz w:val="24"/>
          <w:szCs w:val="24"/>
        </w:rPr>
        <w:t xml:space="preserve">He indicated that no royalties were charged for the </w:t>
      </w:r>
      <w:r w:rsidR="00751BCB">
        <w:rPr>
          <w:rFonts w:ascii="Times New Roman" w:eastAsia="Calibri" w:hAnsi="Times New Roman" w:cs="Times New Roman"/>
          <w:color w:val="000000"/>
          <w:sz w:val="24"/>
          <w:szCs w:val="24"/>
        </w:rPr>
        <w:t>use of the appellant’s trademarks</w:t>
      </w:r>
      <w:r w:rsidR="00784C53">
        <w:rPr>
          <w:rFonts w:ascii="Times New Roman" w:eastAsia="Calibri" w:hAnsi="Times New Roman" w:cs="Times New Roman"/>
          <w:color w:val="000000"/>
          <w:sz w:val="24"/>
          <w:szCs w:val="24"/>
        </w:rPr>
        <w:t xml:space="preserve"> within the group as they were unknown in the new markets. </w:t>
      </w:r>
      <w:r w:rsidR="00B6639C">
        <w:rPr>
          <w:rFonts w:ascii="Times New Roman" w:eastAsia="Calibri" w:hAnsi="Times New Roman" w:cs="Times New Roman"/>
          <w:color w:val="000000"/>
          <w:sz w:val="24"/>
          <w:szCs w:val="24"/>
        </w:rPr>
        <w:t>He maintained his evidence in chief during cross examination. He failed to satisfactorily explain why the letters of employment of the group personnel signed by him, his successor and JM after the reconstruction indicated that they were b</w:t>
      </w:r>
      <w:r w:rsidR="007E2F59">
        <w:rPr>
          <w:rFonts w:ascii="Times New Roman" w:eastAsia="Calibri" w:hAnsi="Times New Roman" w:cs="Times New Roman"/>
          <w:color w:val="000000"/>
          <w:sz w:val="24"/>
          <w:szCs w:val="24"/>
        </w:rPr>
        <w:t>eing employed by the appellant.</w:t>
      </w:r>
      <w:r w:rsidR="00B6639C">
        <w:rPr>
          <w:rFonts w:ascii="Times New Roman" w:eastAsia="Calibri" w:hAnsi="Times New Roman" w:cs="Times New Roman"/>
          <w:color w:val="000000"/>
          <w:sz w:val="24"/>
          <w:szCs w:val="24"/>
        </w:rPr>
        <w:t xml:space="preserve"> </w:t>
      </w:r>
      <w:r w:rsidR="001005DA">
        <w:rPr>
          <w:rFonts w:ascii="Times New Roman" w:eastAsia="Calibri" w:hAnsi="Times New Roman" w:cs="Times New Roman"/>
          <w:color w:val="000000"/>
          <w:sz w:val="24"/>
          <w:szCs w:val="24"/>
        </w:rPr>
        <w:t>To the extent that he maintained this aspect of his evidence, he was an untruthful witness</w:t>
      </w:r>
      <w:r w:rsidR="00D2534F">
        <w:rPr>
          <w:rFonts w:ascii="Times New Roman" w:eastAsia="Calibri" w:hAnsi="Times New Roman" w:cs="Times New Roman"/>
          <w:color w:val="000000"/>
          <w:sz w:val="24"/>
          <w:szCs w:val="24"/>
        </w:rPr>
        <w:t xml:space="preserve"> whose testimon</w:t>
      </w:r>
      <w:r w:rsidR="00607AE3">
        <w:rPr>
          <w:rFonts w:ascii="Times New Roman" w:eastAsia="Calibri" w:hAnsi="Times New Roman" w:cs="Times New Roman"/>
          <w:color w:val="000000"/>
          <w:sz w:val="24"/>
          <w:szCs w:val="24"/>
        </w:rPr>
        <w:t>y was affe</w:t>
      </w:r>
      <w:r w:rsidR="000849AC">
        <w:rPr>
          <w:rFonts w:ascii="Times New Roman" w:eastAsia="Calibri" w:hAnsi="Times New Roman" w:cs="Times New Roman"/>
          <w:color w:val="000000"/>
          <w:sz w:val="24"/>
          <w:szCs w:val="24"/>
        </w:rPr>
        <w:t>cted by the same malady</w:t>
      </w:r>
      <w:r w:rsidR="00607AE3">
        <w:rPr>
          <w:rFonts w:ascii="Times New Roman" w:eastAsia="Calibri" w:hAnsi="Times New Roman" w:cs="Times New Roman"/>
          <w:color w:val="000000"/>
          <w:sz w:val="24"/>
          <w:szCs w:val="24"/>
        </w:rPr>
        <w:t xml:space="preserve"> that affli</w:t>
      </w:r>
      <w:r w:rsidR="00D2534F">
        <w:rPr>
          <w:rFonts w:ascii="Times New Roman" w:eastAsia="Calibri" w:hAnsi="Times New Roman" w:cs="Times New Roman"/>
          <w:color w:val="000000"/>
          <w:sz w:val="24"/>
          <w:szCs w:val="24"/>
        </w:rPr>
        <w:t>cted JM’s evidence</w:t>
      </w:r>
      <w:r w:rsidR="001005DA">
        <w:rPr>
          <w:rFonts w:ascii="Times New Roman" w:eastAsia="Calibri" w:hAnsi="Times New Roman" w:cs="Times New Roman"/>
          <w:color w:val="000000"/>
          <w:sz w:val="24"/>
          <w:szCs w:val="24"/>
        </w:rPr>
        <w:t xml:space="preserve">. </w:t>
      </w:r>
      <w:r w:rsidR="00B6639C">
        <w:rPr>
          <w:rFonts w:ascii="Times New Roman" w:eastAsia="Calibri" w:hAnsi="Times New Roman" w:cs="Times New Roman"/>
          <w:color w:val="000000"/>
          <w:sz w:val="24"/>
          <w:szCs w:val="24"/>
        </w:rPr>
        <w:t>He</w:t>
      </w:r>
      <w:r w:rsidR="007E2F59">
        <w:rPr>
          <w:rFonts w:ascii="Times New Roman" w:eastAsia="Calibri" w:hAnsi="Times New Roman" w:cs="Times New Roman"/>
          <w:color w:val="000000"/>
          <w:sz w:val="24"/>
          <w:szCs w:val="24"/>
        </w:rPr>
        <w:t>,</w:t>
      </w:r>
      <w:r w:rsidR="00B6639C">
        <w:rPr>
          <w:rFonts w:ascii="Times New Roman" w:eastAsia="Calibri" w:hAnsi="Times New Roman" w:cs="Times New Roman"/>
          <w:color w:val="000000"/>
          <w:sz w:val="24"/>
          <w:szCs w:val="24"/>
        </w:rPr>
        <w:t xml:space="preserve"> however</w:t>
      </w:r>
      <w:r w:rsidR="007E2F59">
        <w:rPr>
          <w:rFonts w:ascii="Times New Roman" w:eastAsia="Calibri" w:hAnsi="Times New Roman" w:cs="Times New Roman"/>
          <w:color w:val="000000"/>
          <w:sz w:val="24"/>
          <w:szCs w:val="24"/>
        </w:rPr>
        <w:t>,</w:t>
      </w:r>
      <w:r w:rsidR="00B6639C">
        <w:rPr>
          <w:rFonts w:ascii="Times New Roman" w:eastAsia="Calibri" w:hAnsi="Times New Roman" w:cs="Times New Roman"/>
          <w:color w:val="000000"/>
          <w:sz w:val="24"/>
          <w:szCs w:val="24"/>
        </w:rPr>
        <w:t xml:space="preserve"> conceded that the failure to charge mark</w:t>
      </w:r>
      <w:r w:rsidR="007079AB">
        <w:rPr>
          <w:rFonts w:ascii="Times New Roman" w:eastAsia="Calibri" w:hAnsi="Times New Roman" w:cs="Times New Roman"/>
          <w:color w:val="000000"/>
          <w:sz w:val="24"/>
          <w:szCs w:val="24"/>
        </w:rPr>
        <w:t>-up</w:t>
      </w:r>
      <w:r w:rsidR="00B6639C">
        <w:rPr>
          <w:rFonts w:ascii="Times New Roman" w:eastAsia="Calibri" w:hAnsi="Times New Roman" w:cs="Times New Roman"/>
          <w:color w:val="000000"/>
          <w:sz w:val="24"/>
          <w:szCs w:val="24"/>
        </w:rPr>
        <w:t xml:space="preserve"> </w:t>
      </w:r>
      <w:r w:rsidR="007E2F59">
        <w:rPr>
          <w:rFonts w:ascii="Times New Roman" w:eastAsia="Calibri" w:hAnsi="Times New Roman" w:cs="Times New Roman"/>
          <w:color w:val="000000"/>
          <w:sz w:val="24"/>
          <w:szCs w:val="24"/>
        </w:rPr>
        <w:t xml:space="preserve">on management costs </w:t>
      </w:r>
      <w:r w:rsidR="007079AB">
        <w:rPr>
          <w:rFonts w:ascii="Times New Roman" w:eastAsia="Calibri" w:hAnsi="Times New Roman" w:cs="Times New Roman"/>
          <w:color w:val="000000"/>
          <w:sz w:val="24"/>
          <w:szCs w:val="24"/>
        </w:rPr>
        <w:t>was not arm’s</w:t>
      </w:r>
      <w:r w:rsidR="00B6639C">
        <w:rPr>
          <w:rFonts w:ascii="Times New Roman" w:eastAsia="Calibri" w:hAnsi="Times New Roman" w:cs="Times New Roman"/>
          <w:color w:val="000000"/>
          <w:sz w:val="24"/>
          <w:szCs w:val="24"/>
        </w:rPr>
        <w:t xml:space="preserve"> length. </w:t>
      </w:r>
    </w:p>
    <w:p w:rsidR="00CE0915" w:rsidRPr="00CE0915" w:rsidRDefault="006272FA" w:rsidP="005F54F7">
      <w:pPr>
        <w:spacing w:after="0" w:line="360" w:lineRule="auto"/>
        <w:jc w:val="both"/>
        <w:rPr>
          <w:rFonts w:ascii="Times New Roman" w:hAnsi="Times New Roman" w:cs="Times New Roman"/>
          <w:i/>
          <w:sz w:val="24"/>
          <w:szCs w:val="24"/>
        </w:rPr>
      </w:pPr>
      <w:r>
        <w:rPr>
          <w:rFonts w:ascii="Times New Roman" w:eastAsia="Calibri" w:hAnsi="Times New Roman" w:cs="Times New Roman"/>
          <w:i/>
          <w:color w:val="000000"/>
          <w:sz w:val="24"/>
          <w:szCs w:val="24"/>
        </w:rPr>
        <w:t>The S</w:t>
      </w:r>
      <w:r w:rsidR="00CE0915" w:rsidRPr="00CE0915">
        <w:rPr>
          <w:rFonts w:ascii="Times New Roman" w:eastAsia="Calibri" w:hAnsi="Times New Roman" w:cs="Times New Roman"/>
          <w:i/>
          <w:color w:val="000000"/>
          <w:sz w:val="24"/>
          <w:szCs w:val="24"/>
        </w:rPr>
        <w:t>cientist</w:t>
      </w:r>
      <w:r w:rsidR="00CE0915">
        <w:rPr>
          <w:rFonts w:ascii="Times New Roman" w:eastAsia="Calibri" w:hAnsi="Times New Roman" w:cs="Times New Roman"/>
          <w:i/>
          <w:color w:val="000000"/>
          <w:sz w:val="24"/>
          <w:szCs w:val="24"/>
        </w:rPr>
        <w:t>.</w:t>
      </w:r>
    </w:p>
    <w:p w:rsidR="00C44F15" w:rsidRDefault="00185A82" w:rsidP="005F54F7">
      <w:pPr>
        <w:spacing w:after="0" w:line="360" w:lineRule="auto"/>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The scientist</w:t>
      </w:r>
      <w:r w:rsidR="0008420C">
        <w:rPr>
          <w:rFonts w:ascii="Times New Roman" w:eastAsia="Calibri" w:hAnsi="Times New Roman" w:cs="Times New Roman"/>
          <w:color w:val="000000"/>
          <w:sz w:val="24"/>
          <w:szCs w:val="24"/>
        </w:rPr>
        <w:t xml:space="preserve"> was promoted to his position on 1 September 2006. He was in charge of all the research and breeding projects carried out at various research stations and sites within the entire group.  He prepared, controlled and monitored the annual budget for research and </w:t>
      </w:r>
      <w:r w:rsidR="0008420C">
        <w:rPr>
          <w:rFonts w:ascii="Times New Roman" w:eastAsia="Calibri" w:hAnsi="Times New Roman" w:cs="Times New Roman"/>
          <w:color w:val="000000"/>
          <w:sz w:val="24"/>
          <w:szCs w:val="24"/>
        </w:rPr>
        <w:lastRenderedPageBreak/>
        <w:t xml:space="preserve">development within the group. </w:t>
      </w:r>
      <w:r w:rsidR="00B54164">
        <w:rPr>
          <w:rFonts w:ascii="Times New Roman" w:eastAsia="Calibri" w:hAnsi="Times New Roman" w:cs="Times New Roman"/>
          <w:color w:val="000000"/>
          <w:sz w:val="24"/>
          <w:szCs w:val="24"/>
        </w:rPr>
        <w:t>He was responsible for the acquisition and improvement of germplasm by conventional and biotechnical methods. Germplasm constitutes the foundation</w:t>
      </w:r>
      <w:r w:rsidR="00407DCC">
        <w:rPr>
          <w:rFonts w:ascii="Times New Roman" w:eastAsia="Calibri" w:hAnsi="Times New Roman" w:cs="Times New Roman"/>
          <w:color w:val="000000"/>
          <w:sz w:val="24"/>
          <w:szCs w:val="24"/>
        </w:rPr>
        <w:t>al material</w:t>
      </w:r>
      <w:r w:rsidR="00B54164">
        <w:rPr>
          <w:rFonts w:ascii="Times New Roman" w:eastAsia="Calibri" w:hAnsi="Times New Roman" w:cs="Times New Roman"/>
          <w:color w:val="000000"/>
          <w:sz w:val="24"/>
          <w:szCs w:val="24"/>
        </w:rPr>
        <w:t xml:space="preserve"> for breeding, developing, testing and registering plant breeders’ rights in the flagship and subsidiaries outside Zimbabwe.  He worked in close liaison with the group marketing manager to promote the varieties </w:t>
      </w:r>
      <w:r w:rsidR="0067079E">
        <w:rPr>
          <w:rFonts w:ascii="Times New Roman" w:eastAsia="Calibri" w:hAnsi="Times New Roman" w:cs="Times New Roman"/>
          <w:color w:val="000000"/>
          <w:sz w:val="24"/>
          <w:szCs w:val="24"/>
        </w:rPr>
        <w:t>emanating from his divis</w:t>
      </w:r>
      <w:r w:rsidR="00407DCC">
        <w:rPr>
          <w:rFonts w:ascii="Times New Roman" w:eastAsia="Calibri" w:hAnsi="Times New Roman" w:cs="Times New Roman"/>
          <w:color w:val="000000"/>
          <w:sz w:val="24"/>
          <w:szCs w:val="24"/>
        </w:rPr>
        <w:t>ion. He testified that the know-</w:t>
      </w:r>
      <w:r w:rsidR="0067079E">
        <w:rPr>
          <w:rFonts w:ascii="Times New Roman" w:eastAsia="Calibri" w:hAnsi="Times New Roman" w:cs="Times New Roman"/>
          <w:color w:val="000000"/>
          <w:sz w:val="24"/>
          <w:szCs w:val="24"/>
        </w:rPr>
        <w:t xml:space="preserve">how used in breeding genetic </w:t>
      </w:r>
      <w:r w:rsidR="00964ADF">
        <w:rPr>
          <w:rFonts w:ascii="Times New Roman" w:eastAsia="Calibri" w:hAnsi="Times New Roman" w:cs="Times New Roman"/>
          <w:color w:val="000000"/>
          <w:sz w:val="24"/>
          <w:szCs w:val="24"/>
        </w:rPr>
        <w:t xml:space="preserve">plant </w:t>
      </w:r>
      <w:r w:rsidR="0067079E">
        <w:rPr>
          <w:rFonts w:ascii="Times New Roman" w:eastAsia="Calibri" w:hAnsi="Times New Roman" w:cs="Times New Roman"/>
          <w:color w:val="000000"/>
          <w:sz w:val="24"/>
          <w:szCs w:val="24"/>
        </w:rPr>
        <w:t>material used in producing seed varieties was carried out in Zimbabwe for and on behalf of all the subsidiary companies. H</w:t>
      </w:r>
      <w:r w:rsidR="002A290F">
        <w:rPr>
          <w:rFonts w:ascii="Times New Roman" w:eastAsia="Calibri" w:hAnsi="Times New Roman" w:cs="Times New Roman"/>
          <w:color w:val="000000"/>
          <w:sz w:val="24"/>
          <w:szCs w:val="24"/>
        </w:rPr>
        <w:t>e</w:t>
      </w:r>
      <w:r w:rsidR="0067079E">
        <w:rPr>
          <w:rFonts w:ascii="Times New Roman" w:eastAsia="Calibri" w:hAnsi="Times New Roman" w:cs="Times New Roman"/>
          <w:color w:val="000000"/>
          <w:sz w:val="24"/>
          <w:szCs w:val="24"/>
        </w:rPr>
        <w:t xml:space="preserve">, however, was unable to </w:t>
      </w:r>
      <w:r w:rsidR="00407DCC">
        <w:rPr>
          <w:rFonts w:ascii="Times New Roman" w:eastAsia="Calibri" w:hAnsi="Times New Roman" w:cs="Times New Roman"/>
          <w:color w:val="000000"/>
          <w:sz w:val="24"/>
          <w:szCs w:val="24"/>
        </w:rPr>
        <w:t>quantify the value of such know-</w:t>
      </w:r>
      <w:r w:rsidR="0067079E">
        <w:rPr>
          <w:rFonts w:ascii="Times New Roman" w:eastAsia="Calibri" w:hAnsi="Times New Roman" w:cs="Times New Roman"/>
          <w:color w:val="000000"/>
          <w:sz w:val="24"/>
          <w:szCs w:val="24"/>
        </w:rPr>
        <w:t>how</w:t>
      </w:r>
      <w:r w:rsidR="002A290F">
        <w:rPr>
          <w:rFonts w:ascii="Times New Roman" w:eastAsia="Calibri" w:hAnsi="Times New Roman" w:cs="Times New Roman"/>
          <w:color w:val="000000"/>
          <w:sz w:val="24"/>
          <w:szCs w:val="24"/>
        </w:rPr>
        <w:t>.</w:t>
      </w:r>
      <w:r w:rsidR="0067079E">
        <w:rPr>
          <w:rFonts w:ascii="Times New Roman" w:eastAsia="Calibri" w:hAnsi="Times New Roman" w:cs="Times New Roman"/>
          <w:color w:val="000000"/>
          <w:sz w:val="24"/>
          <w:szCs w:val="24"/>
        </w:rPr>
        <w:t xml:space="preserve"> </w:t>
      </w:r>
      <w:r w:rsidR="006564A7">
        <w:rPr>
          <w:rFonts w:ascii="Times New Roman" w:eastAsia="Calibri" w:hAnsi="Times New Roman" w:cs="Times New Roman"/>
          <w:color w:val="000000"/>
          <w:sz w:val="24"/>
          <w:szCs w:val="24"/>
        </w:rPr>
        <w:t>While he was able to quantify, in exh 8, the cost of breeding, testing,</w:t>
      </w:r>
      <w:r w:rsidR="0042569D">
        <w:rPr>
          <w:rFonts w:ascii="Times New Roman" w:eastAsia="Calibri" w:hAnsi="Times New Roman" w:cs="Times New Roman"/>
          <w:color w:val="000000"/>
          <w:sz w:val="24"/>
          <w:szCs w:val="24"/>
        </w:rPr>
        <w:t xml:space="preserve"> releasing and registering new maize varieties at </w:t>
      </w:r>
      <w:r w:rsidR="006564A7">
        <w:rPr>
          <w:rFonts w:ascii="Times New Roman" w:eastAsia="Calibri" w:hAnsi="Times New Roman" w:cs="Times New Roman"/>
          <w:color w:val="000000"/>
          <w:sz w:val="24"/>
          <w:szCs w:val="24"/>
        </w:rPr>
        <w:t>local research station</w:t>
      </w:r>
      <w:r w:rsidR="0042569D">
        <w:rPr>
          <w:rFonts w:ascii="Times New Roman" w:eastAsia="Calibri" w:hAnsi="Times New Roman" w:cs="Times New Roman"/>
          <w:color w:val="000000"/>
          <w:sz w:val="24"/>
          <w:szCs w:val="24"/>
        </w:rPr>
        <w:t>s</w:t>
      </w:r>
      <w:r w:rsidR="006564A7">
        <w:rPr>
          <w:rFonts w:ascii="Times New Roman" w:eastAsia="Calibri" w:hAnsi="Times New Roman" w:cs="Times New Roman"/>
          <w:color w:val="000000"/>
          <w:sz w:val="24"/>
          <w:szCs w:val="24"/>
        </w:rPr>
        <w:t>, he was unable to quantify th</w:t>
      </w:r>
      <w:r w:rsidR="00407DCC">
        <w:rPr>
          <w:rFonts w:ascii="Times New Roman" w:eastAsia="Calibri" w:hAnsi="Times New Roman" w:cs="Times New Roman"/>
          <w:color w:val="000000"/>
          <w:sz w:val="24"/>
          <w:szCs w:val="24"/>
        </w:rPr>
        <w:t>e value of the distinctive know-</w:t>
      </w:r>
      <w:r w:rsidR="006564A7">
        <w:rPr>
          <w:rFonts w:ascii="Times New Roman" w:eastAsia="Calibri" w:hAnsi="Times New Roman" w:cs="Times New Roman"/>
          <w:color w:val="000000"/>
          <w:sz w:val="24"/>
          <w:szCs w:val="24"/>
        </w:rPr>
        <w:t xml:space="preserve">how </w:t>
      </w:r>
      <w:r w:rsidR="00B96173">
        <w:rPr>
          <w:rFonts w:ascii="Times New Roman" w:eastAsia="Calibri" w:hAnsi="Times New Roman" w:cs="Times New Roman"/>
          <w:color w:val="000000"/>
          <w:sz w:val="24"/>
          <w:szCs w:val="24"/>
        </w:rPr>
        <w:t>inputted</w:t>
      </w:r>
      <w:r w:rsidR="006564A7">
        <w:rPr>
          <w:rFonts w:ascii="Times New Roman" w:eastAsia="Calibri" w:hAnsi="Times New Roman" w:cs="Times New Roman"/>
          <w:color w:val="000000"/>
          <w:sz w:val="24"/>
          <w:szCs w:val="24"/>
        </w:rPr>
        <w:t xml:space="preserve"> in the breeding</w:t>
      </w:r>
      <w:r w:rsidR="00B96173">
        <w:rPr>
          <w:rFonts w:ascii="Times New Roman" w:eastAsia="Calibri" w:hAnsi="Times New Roman" w:cs="Times New Roman"/>
          <w:color w:val="000000"/>
          <w:sz w:val="24"/>
          <w:szCs w:val="24"/>
        </w:rPr>
        <w:t xml:space="preserve"> process</w:t>
      </w:r>
      <w:r w:rsidR="006564A7">
        <w:rPr>
          <w:rFonts w:ascii="Times New Roman" w:eastAsia="Calibri" w:hAnsi="Times New Roman" w:cs="Times New Roman"/>
          <w:color w:val="000000"/>
          <w:sz w:val="24"/>
          <w:szCs w:val="24"/>
        </w:rPr>
        <w:t xml:space="preserve">. </w:t>
      </w:r>
      <w:r w:rsidR="0067079E">
        <w:rPr>
          <w:rFonts w:ascii="Times New Roman" w:eastAsia="Calibri" w:hAnsi="Times New Roman" w:cs="Times New Roman"/>
          <w:color w:val="000000"/>
          <w:sz w:val="24"/>
          <w:szCs w:val="24"/>
        </w:rPr>
        <w:t xml:space="preserve">His testimony in </w:t>
      </w:r>
      <w:r w:rsidR="002A290F">
        <w:rPr>
          <w:rFonts w:ascii="Times New Roman" w:eastAsia="Calibri" w:hAnsi="Times New Roman" w:cs="Times New Roman"/>
          <w:color w:val="000000"/>
          <w:sz w:val="24"/>
          <w:szCs w:val="24"/>
        </w:rPr>
        <w:t xml:space="preserve">this regard was confirmed in his e-mail to JM of </w:t>
      </w:r>
      <w:r w:rsidR="0067079E">
        <w:rPr>
          <w:rFonts w:ascii="Times New Roman" w:eastAsia="Calibri" w:hAnsi="Times New Roman" w:cs="Times New Roman"/>
          <w:color w:val="000000"/>
          <w:sz w:val="24"/>
          <w:szCs w:val="24"/>
        </w:rPr>
        <w:t>11 J</w:t>
      </w:r>
      <w:r w:rsidR="002A290F">
        <w:rPr>
          <w:rFonts w:ascii="Times New Roman" w:eastAsia="Calibri" w:hAnsi="Times New Roman" w:cs="Times New Roman"/>
          <w:color w:val="000000"/>
          <w:sz w:val="24"/>
          <w:szCs w:val="24"/>
        </w:rPr>
        <w:t>une 2013.</w:t>
      </w:r>
      <w:r w:rsidR="0008420C">
        <w:rPr>
          <w:rFonts w:ascii="Times New Roman" w:eastAsia="Calibri" w:hAnsi="Times New Roman" w:cs="Times New Roman"/>
          <w:color w:val="000000"/>
          <w:sz w:val="24"/>
          <w:szCs w:val="24"/>
        </w:rPr>
        <w:t xml:space="preserve"> </w:t>
      </w:r>
      <w:r w:rsidR="007E2F59">
        <w:rPr>
          <w:rFonts w:ascii="Times New Roman" w:eastAsia="Calibri" w:hAnsi="Times New Roman" w:cs="Times New Roman"/>
          <w:color w:val="000000"/>
          <w:sz w:val="24"/>
          <w:szCs w:val="24"/>
        </w:rPr>
        <w:t xml:space="preserve"> </w:t>
      </w:r>
      <w:r w:rsidR="001F2455">
        <w:rPr>
          <w:rFonts w:ascii="Times New Roman" w:eastAsia="Calibri" w:hAnsi="Times New Roman" w:cs="Times New Roman"/>
          <w:color w:val="000000"/>
          <w:sz w:val="24"/>
          <w:szCs w:val="24"/>
        </w:rPr>
        <w:t>His technical evidence on Value for Cultivation and Use, VCU, and Distinctiveness, Uniformity and Stability tests, DUS, underscored his intimate involvement in the research and development projects undertaken outside Zimbabwe by the appellant’</w:t>
      </w:r>
      <w:r w:rsidR="002518CF">
        <w:rPr>
          <w:rFonts w:ascii="Times New Roman" w:eastAsia="Calibri" w:hAnsi="Times New Roman" w:cs="Times New Roman"/>
          <w:color w:val="000000"/>
          <w:sz w:val="24"/>
          <w:szCs w:val="24"/>
        </w:rPr>
        <w:t>s subsidiaries.</w:t>
      </w:r>
      <w:r w:rsidR="00AA41D6">
        <w:rPr>
          <w:rFonts w:ascii="Times New Roman" w:eastAsia="Calibri" w:hAnsi="Times New Roman" w:cs="Times New Roman"/>
          <w:color w:val="000000"/>
          <w:sz w:val="24"/>
          <w:szCs w:val="24"/>
        </w:rPr>
        <w:t xml:space="preserve"> He maintained under</w:t>
      </w:r>
      <w:r w:rsidR="00816934">
        <w:rPr>
          <w:rFonts w:ascii="Times New Roman" w:eastAsia="Calibri" w:hAnsi="Times New Roman" w:cs="Times New Roman"/>
          <w:color w:val="000000"/>
          <w:sz w:val="24"/>
          <w:szCs w:val="24"/>
        </w:rPr>
        <w:t xml:space="preserve"> cross examination that he was employed by the flagship and not the appellant. He did not know how the distinctive input of local research stations in breeding seed varieties was compensated </w:t>
      </w:r>
      <w:r w:rsidR="00D16629">
        <w:rPr>
          <w:rFonts w:ascii="Times New Roman" w:eastAsia="Calibri" w:hAnsi="Times New Roman" w:cs="Times New Roman"/>
          <w:color w:val="000000"/>
          <w:sz w:val="24"/>
          <w:szCs w:val="24"/>
        </w:rPr>
        <w:t xml:space="preserve">for </w:t>
      </w:r>
      <w:r w:rsidR="00816934">
        <w:rPr>
          <w:rFonts w:ascii="Times New Roman" w:eastAsia="Calibri" w:hAnsi="Times New Roman" w:cs="Times New Roman"/>
          <w:color w:val="000000"/>
          <w:sz w:val="24"/>
          <w:szCs w:val="24"/>
        </w:rPr>
        <w:t xml:space="preserve">by the other subsidiaries. </w:t>
      </w:r>
      <w:r w:rsidR="00AE76FF">
        <w:rPr>
          <w:rFonts w:ascii="Times New Roman" w:eastAsia="Calibri" w:hAnsi="Times New Roman" w:cs="Times New Roman"/>
          <w:color w:val="000000"/>
          <w:sz w:val="24"/>
          <w:szCs w:val="24"/>
        </w:rPr>
        <w:t>I formed the distinct impression that his evidence in chief was choreographed to underplay his pivotal role in the research activities of the whole group</w:t>
      </w:r>
      <w:r w:rsidR="0048671D">
        <w:rPr>
          <w:rFonts w:ascii="Times New Roman" w:eastAsia="Calibri" w:hAnsi="Times New Roman" w:cs="Times New Roman"/>
          <w:color w:val="000000"/>
          <w:sz w:val="24"/>
          <w:szCs w:val="24"/>
        </w:rPr>
        <w:t>, a position he seems to have abandoned under cross-examination.</w:t>
      </w:r>
    </w:p>
    <w:p w:rsidR="00AE76FF" w:rsidRDefault="00AE76FF" w:rsidP="005F54F7">
      <w:pPr>
        <w:spacing w:after="0" w:line="360" w:lineRule="auto"/>
        <w:ind w:firstLine="720"/>
        <w:jc w:val="both"/>
        <w:rPr>
          <w:rFonts w:ascii="Times New Roman" w:eastAsia="Calibri" w:hAnsi="Times New Roman" w:cs="Times New Roman"/>
          <w:color w:val="000000"/>
          <w:sz w:val="24"/>
          <w:szCs w:val="24"/>
        </w:rPr>
      </w:pPr>
    </w:p>
    <w:p w:rsidR="00CE0915" w:rsidRPr="00CE0915" w:rsidRDefault="00733A6D" w:rsidP="00DD7F88">
      <w:pPr>
        <w:spacing w:after="0" w:line="360" w:lineRule="auto"/>
        <w:jc w:val="both"/>
        <w:rPr>
          <w:rFonts w:ascii="Times New Roman" w:hAnsi="Times New Roman" w:cs="Times New Roman"/>
          <w:i/>
          <w:sz w:val="24"/>
          <w:szCs w:val="24"/>
        </w:rPr>
      </w:pPr>
      <w:r>
        <w:rPr>
          <w:rFonts w:ascii="Times New Roman" w:eastAsia="Calibri" w:hAnsi="Times New Roman" w:cs="Times New Roman"/>
          <w:i/>
          <w:color w:val="000000"/>
          <w:sz w:val="24"/>
          <w:szCs w:val="24"/>
        </w:rPr>
        <w:t>The E</w:t>
      </w:r>
      <w:r w:rsidR="00CE0915" w:rsidRPr="00CE0915">
        <w:rPr>
          <w:rFonts w:ascii="Times New Roman" w:eastAsia="Calibri" w:hAnsi="Times New Roman" w:cs="Times New Roman"/>
          <w:i/>
          <w:color w:val="000000"/>
          <w:sz w:val="24"/>
          <w:szCs w:val="24"/>
        </w:rPr>
        <w:t>xpert</w:t>
      </w:r>
    </w:p>
    <w:p w:rsidR="00F60A90" w:rsidRDefault="0007684E" w:rsidP="00F60A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2569D">
        <w:rPr>
          <w:rFonts w:ascii="Times New Roman" w:eastAsia="Calibri" w:hAnsi="Times New Roman" w:cs="Times New Roman"/>
          <w:color w:val="000000"/>
          <w:sz w:val="24"/>
          <w:szCs w:val="24"/>
        </w:rPr>
        <w:t>The last witness w</w:t>
      </w:r>
      <w:r w:rsidR="0083501A">
        <w:rPr>
          <w:rFonts w:ascii="Times New Roman" w:eastAsia="Calibri" w:hAnsi="Times New Roman" w:cs="Times New Roman"/>
          <w:color w:val="000000"/>
          <w:sz w:val="24"/>
          <w:szCs w:val="24"/>
        </w:rPr>
        <w:t xml:space="preserve">as not a factual witness but a purported expert in </w:t>
      </w:r>
      <w:r w:rsidR="003667D7">
        <w:rPr>
          <w:rFonts w:ascii="Times New Roman" w:eastAsia="Calibri" w:hAnsi="Times New Roman" w:cs="Times New Roman"/>
          <w:color w:val="000000"/>
          <w:sz w:val="24"/>
          <w:szCs w:val="24"/>
        </w:rPr>
        <w:t xml:space="preserve">the </w:t>
      </w:r>
      <w:r w:rsidR="0083501A">
        <w:rPr>
          <w:rFonts w:ascii="Times New Roman" w:eastAsia="Calibri" w:hAnsi="Times New Roman" w:cs="Times New Roman"/>
          <w:color w:val="000000"/>
          <w:sz w:val="24"/>
          <w:szCs w:val="24"/>
        </w:rPr>
        <w:t xml:space="preserve">OECD TPGs. </w:t>
      </w:r>
      <w:r w:rsidR="00D81B67">
        <w:rPr>
          <w:rFonts w:ascii="Times New Roman" w:eastAsia="Calibri" w:hAnsi="Times New Roman" w:cs="Times New Roman"/>
          <w:color w:val="000000"/>
          <w:sz w:val="24"/>
          <w:szCs w:val="24"/>
        </w:rPr>
        <w:t xml:space="preserve">Her claim to expertise was premised on the four years she spent at the South African Revenue Service (SARS), between 2001 and 2005, as the founding head of the cross-border inter-company transaction desk, where she assessed the propriety of management fees and royalties of the kind imputed to the appellant by the respondent in the present matter. </w:t>
      </w:r>
      <w:r w:rsidR="00290D36">
        <w:rPr>
          <w:rFonts w:ascii="Times New Roman" w:eastAsia="Calibri" w:hAnsi="Times New Roman" w:cs="Times New Roman"/>
          <w:color w:val="000000"/>
          <w:sz w:val="24"/>
          <w:szCs w:val="24"/>
        </w:rPr>
        <w:t xml:space="preserve">She also relied on the 15 years she worked in the private sector for international accounting firms as a transfer pricing advisor to multinational enterprises. </w:t>
      </w:r>
    </w:p>
    <w:p w:rsidR="00132A73" w:rsidRDefault="00290D36" w:rsidP="00132A73">
      <w:pPr>
        <w:spacing w:after="0" w:line="360" w:lineRule="auto"/>
        <w:ind w:firstLine="720"/>
        <w:jc w:val="both"/>
        <w:rPr>
          <w:rFonts w:ascii="Times New Roman" w:hAnsi="Times New Roman" w:cs="Times New Roman"/>
          <w:sz w:val="24"/>
          <w:szCs w:val="24"/>
        </w:rPr>
      </w:pPr>
      <w:r>
        <w:rPr>
          <w:rFonts w:ascii="Times New Roman" w:eastAsia="Calibri" w:hAnsi="Times New Roman" w:cs="Times New Roman"/>
          <w:color w:val="000000"/>
          <w:sz w:val="24"/>
          <w:szCs w:val="24"/>
        </w:rPr>
        <w:t>She conducted a desktop review of 12 Royal</w:t>
      </w:r>
      <w:r w:rsidR="00AE2F90">
        <w:rPr>
          <w:rFonts w:ascii="Times New Roman" w:eastAsia="Calibri" w:hAnsi="Times New Roman" w:cs="Times New Roman"/>
          <w:color w:val="000000"/>
          <w:sz w:val="24"/>
          <w:szCs w:val="24"/>
        </w:rPr>
        <w:t>ty</w:t>
      </w:r>
      <w:r>
        <w:rPr>
          <w:rFonts w:ascii="Times New Roman" w:eastAsia="Calibri" w:hAnsi="Times New Roman" w:cs="Times New Roman"/>
          <w:color w:val="000000"/>
          <w:sz w:val="24"/>
          <w:szCs w:val="24"/>
        </w:rPr>
        <w:t xml:space="preserve">stat data bases on transfer pricing agreements between independent parties in the agricultural industry to ascertain whether royalties were charged for the use of trademarks. </w:t>
      </w:r>
      <w:r w:rsidR="00404515">
        <w:rPr>
          <w:rFonts w:ascii="Times New Roman" w:eastAsia="Calibri" w:hAnsi="Times New Roman" w:cs="Times New Roman"/>
          <w:color w:val="000000"/>
          <w:sz w:val="24"/>
          <w:szCs w:val="24"/>
        </w:rPr>
        <w:t>Six of the agreements were in the fresh produce category and the other six were in the hybrid seed group.</w:t>
      </w:r>
      <w:r w:rsidR="00D51F7D">
        <w:rPr>
          <w:rFonts w:ascii="Times New Roman" w:eastAsia="Calibri" w:hAnsi="Times New Roman" w:cs="Times New Roman"/>
          <w:color w:val="000000"/>
          <w:sz w:val="24"/>
          <w:szCs w:val="24"/>
        </w:rPr>
        <w:t xml:space="preserve"> She discounted one agreement in the hybrid seed industry, in which royalties were charged, because it was between </w:t>
      </w:r>
      <w:r w:rsidR="00D51F7D">
        <w:rPr>
          <w:rFonts w:ascii="Times New Roman" w:eastAsia="Calibri" w:hAnsi="Times New Roman" w:cs="Times New Roman"/>
          <w:color w:val="000000"/>
          <w:sz w:val="24"/>
          <w:szCs w:val="24"/>
        </w:rPr>
        <w:lastRenderedPageBreak/>
        <w:t xml:space="preserve">related parties. </w:t>
      </w:r>
      <w:r w:rsidR="00F76CEE">
        <w:rPr>
          <w:rFonts w:ascii="Times New Roman" w:eastAsia="Calibri" w:hAnsi="Times New Roman" w:cs="Times New Roman"/>
          <w:color w:val="000000"/>
          <w:sz w:val="24"/>
          <w:szCs w:val="24"/>
        </w:rPr>
        <w:t>She found that only two of the remaining five hybrid seed agreements covered trademarks</w:t>
      </w:r>
      <w:r w:rsidR="00CD1C9B">
        <w:rPr>
          <w:rFonts w:ascii="Times New Roman" w:eastAsia="Calibri" w:hAnsi="Times New Roman" w:cs="Times New Roman"/>
          <w:color w:val="000000"/>
          <w:sz w:val="24"/>
          <w:szCs w:val="24"/>
        </w:rPr>
        <w:t>. These two were concluded between the same parties</w:t>
      </w:r>
      <w:r w:rsidR="00CD1C9B">
        <w:rPr>
          <w:rStyle w:val="FootnoteReference"/>
          <w:rFonts w:ascii="Times New Roman" w:eastAsia="Calibri" w:hAnsi="Times New Roman" w:cs="Times New Roman"/>
          <w:color w:val="000000"/>
          <w:sz w:val="24"/>
          <w:szCs w:val="24"/>
        </w:rPr>
        <w:footnoteReference w:id="7"/>
      </w:r>
      <w:r w:rsidR="00A9435A">
        <w:rPr>
          <w:rFonts w:ascii="Times New Roman" w:eastAsia="Calibri" w:hAnsi="Times New Roman" w:cs="Times New Roman"/>
          <w:color w:val="000000"/>
          <w:sz w:val="24"/>
          <w:szCs w:val="24"/>
        </w:rPr>
        <w:t xml:space="preserve"> </w:t>
      </w:r>
      <w:r w:rsidR="00AE2F90">
        <w:rPr>
          <w:rFonts w:ascii="Times New Roman" w:eastAsia="Calibri" w:hAnsi="Times New Roman" w:cs="Times New Roman"/>
          <w:color w:val="000000"/>
          <w:sz w:val="24"/>
          <w:szCs w:val="24"/>
        </w:rPr>
        <w:t xml:space="preserve">and </w:t>
      </w:r>
      <w:r w:rsidR="00A9435A">
        <w:rPr>
          <w:rFonts w:ascii="Times New Roman" w:eastAsia="Calibri" w:hAnsi="Times New Roman" w:cs="Times New Roman"/>
          <w:color w:val="000000"/>
          <w:sz w:val="24"/>
          <w:szCs w:val="24"/>
        </w:rPr>
        <w:t>embodied non-exclusive royalty free licences. The remaining three hybrid seed agreements and all the six fresh produce agreements</w:t>
      </w:r>
      <w:r w:rsidR="00AB3081">
        <w:rPr>
          <w:rFonts w:ascii="Times New Roman" w:eastAsia="Calibri" w:hAnsi="Times New Roman" w:cs="Times New Roman"/>
          <w:color w:val="000000"/>
          <w:sz w:val="24"/>
          <w:szCs w:val="24"/>
        </w:rPr>
        <w:t xml:space="preserve"> charged royalties together with other intangibles like patents, technology, know how, trade secrets or software of between 4% and 6% of the net sales. </w:t>
      </w:r>
      <w:r w:rsidR="005A258D">
        <w:rPr>
          <w:rFonts w:ascii="Times New Roman" w:eastAsia="Calibri" w:hAnsi="Times New Roman" w:cs="Times New Roman"/>
          <w:color w:val="000000"/>
          <w:sz w:val="24"/>
          <w:szCs w:val="24"/>
        </w:rPr>
        <w:t xml:space="preserve"> She concluded, on the basis of these findings, th</w:t>
      </w:r>
      <w:r w:rsidR="0085528D">
        <w:rPr>
          <w:rFonts w:ascii="Times New Roman" w:eastAsia="Calibri" w:hAnsi="Times New Roman" w:cs="Times New Roman"/>
          <w:color w:val="000000"/>
          <w:sz w:val="24"/>
          <w:szCs w:val="24"/>
        </w:rPr>
        <w:t xml:space="preserve">at royalties were not charged separately for trademarks </w:t>
      </w:r>
      <w:r w:rsidR="005A258D">
        <w:rPr>
          <w:rFonts w:ascii="Times New Roman" w:eastAsia="Calibri" w:hAnsi="Times New Roman" w:cs="Times New Roman"/>
          <w:color w:val="000000"/>
          <w:sz w:val="24"/>
          <w:szCs w:val="24"/>
        </w:rPr>
        <w:t>in the hybrid seed industry</w:t>
      </w:r>
      <w:r w:rsidR="0085528D">
        <w:rPr>
          <w:rFonts w:ascii="Times New Roman" w:eastAsia="Calibri" w:hAnsi="Times New Roman" w:cs="Times New Roman"/>
          <w:color w:val="000000"/>
          <w:sz w:val="24"/>
          <w:szCs w:val="24"/>
        </w:rPr>
        <w:t xml:space="preserve"> because they had no value independent </w:t>
      </w:r>
      <w:r w:rsidR="008408A7">
        <w:rPr>
          <w:rFonts w:ascii="Times New Roman" w:eastAsia="Calibri" w:hAnsi="Times New Roman" w:cs="Times New Roman"/>
          <w:color w:val="000000"/>
          <w:sz w:val="24"/>
          <w:szCs w:val="24"/>
        </w:rPr>
        <w:t>of other underlying intangibles,</w:t>
      </w:r>
      <w:r w:rsidR="0085528D">
        <w:rPr>
          <w:rFonts w:ascii="Times New Roman" w:eastAsia="Calibri" w:hAnsi="Times New Roman" w:cs="Times New Roman"/>
          <w:color w:val="000000"/>
          <w:sz w:val="24"/>
          <w:szCs w:val="24"/>
        </w:rPr>
        <w:t xml:space="preserve"> </w:t>
      </w:r>
      <w:r w:rsidR="008408A7">
        <w:rPr>
          <w:rFonts w:ascii="Times New Roman" w:eastAsia="Calibri" w:hAnsi="Times New Roman" w:cs="Times New Roman"/>
          <w:color w:val="000000"/>
          <w:sz w:val="24"/>
          <w:szCs w:val="24"/>
        </w:rPr>
        <w:t>t</w:t>
      </w:r>
      <w:r w:rsidR="001F25F2">
        <w:rPr>
          <w:rFonts w:ascii="Times New Roman" w:eastAsia="Calibri" w:hAnsi="Times New Roman" w:cs="Times New Roman"/>
          <w:color w:val="000000"/>
          <w:sz w:val="24"/>
          <w:szCs w:val="24"/>
        </w:rPr>
        <w:t xml:space="preserve">hat </w:t>
      </w:r>
      <w:r w:rsidR="00CF5F2D">
        <w:rPr>
          <w:rFonts w:ascii="Times New Roman" w:eastAsia="Calibri" w:hAnsi="Times New Roman" w:cs="Times New Roman"/>
          <w:color w:val="000000"/>
          <w:sz w:val="24"/>
          <w:szCs w:val="24"/>
        </w:rPr>
        <w:t xml:space="preserve">royalties </w:t>
      </w:r>
      <w:r w:rsidR="003C530E">
        <w:rPr>
          <w:rFonts w:ascii="Times New Roman" w:eastAsia="Calibri" w:hAnsi="Times New Roman" w:cs="Times New Roman"/>
          <w:color w:val="000000"/>
          <w:sz w:val="24"/>
          <w:szCs w:val="24"/>
        </w:rPr>
        <w:t xml:space="preserve">for </w:t>
      </w:r>
      <w:r w:rsidR="008408A7">
        <w:rPr>
          <w:rFonts w:ascii="Times New Roman" w:eastAsia="Calibri" w:hAnsi="Times New Roman" w:cs="Times New Roman"/>
          <w:color w:val="000000"/>
          <w:sz w:val="24"/>
          <w:szCs w:val="24"/>
        </w:rPr>
        <w:t xml:space="preserve">the </w:t>
      </w:r>
      <w:r w:rsidR="003C530E">
        <w:rPr>
          <w:rFonts w:ascii="Times New Roman" w:eastAsia="Calibri" w:hAnsi="Times New Roman" w:cs="Times New Roman"/>
          <w:color w:val="000000"/>
          <w:sz w:val="24"/>
          <w:szCs w:val="24"/>
        </w:rPr>
        <w:t>sale of trademarked goods were either much reduced or eliminated altogether by the</w:t>
      </w:r>
      <w:r w:rsidR="00FD20EB">
        <w:rPr>
          <w:rFonts w:ascii="Times New Roman" w:eastAsia="Calibri" w:hAnsi="Times New Roman" w:cs="Times New Roman"/>
          <w:color w:val="000000"/>
          <w:sz w:val="24"/>
          <w:szCs w:val="24"/>
        </w:rPr>
        <w:t xml:space="preserve"> </w:t>
      </w:r>
      <w:r w:rsidR="00E143AB">
        <w:rPr>
          <w:rFonts w:ascii="Times New Roman" w:eastAsia="Calibri" w:hAnsi="Times New Roman" w:cs="Times New Roman"/>
          <w:color w:val="000000"/>
          <w:sz w:val="24"/>
          <w:szCs w:val="24"/>
        </w:rPr>
        <w:t xml:space="preserve">in country </w:t>
      </w:r>
      <w:r w:rsidR="00FD20EB">
        <w:rPr>
          <w:rFonts w:ascii="Times New Roman" w:eastAsia="Calibri" w:hAnsi="Times New Roman" w:cs="Times New Roman"/>
          <w:color w:val="000000"/>
          <w:sz w:val="24"/>
          <w:szCs w:val="24"/>
        </w:rPr>
        <w:t>production,</w:t>
      </w:r>
      <w:r w:rsidR="003C530E">
        <w:rPr>
          <w:rFonts w:ascii="Times New Roman" w:eastAsia="Calibri" w:hAnsi="Times New Roman" w:cs="Times New Roman"/>
          <w:color w:val="000000"/>
          <w:sz w:val="24"/>
          <w:szCs w:val="24"/>
        </w:rPr>
        <w:t xml:space="preserve"> </w:t>
      </w:r>
      <w:r w:rsidR="00E143AB">
        <w:rPr>
          <w:rFonts w:ascii="Times New Roman" w:eastAsia="Calibri" w:hAnsi="Times New Roman" w:cs="Times New Roman"/>
          <w:color w:val="000000"/>
          <w:sz w:val="24"/>
          <w:szCs w:val="24"/>
        </w:rPr>
        <w:t xml:space="preserve">registration and </w:t>
      </w:r>
      <w:r w:rsidR="00D24EB9">
        <w:rPr>
          <w:rFonts w:ascii="Times New Roman" w:eastAsia="Calibri" w:hAnsi="Times New Roman" w:cs="Times New Roman"/>
          <w:color w:val="000000"/>
          <w:sz w:val="24"/>
          <w:szCs w:val="24"/>
        </w:rPr>
        <w:t xml:space="preserve">marketing efforts </w:t>
      </w:r>
      <w:r w:rsidR="008408A7">
        <w:rPr>
          <w:rFonts w:ascii="Times New Roman" w:eastAsia="Calibri" w:hAnsi="Times New Roman" w:cs="Times New Roman"/>
          <w:color w:val="000000"/>
          <w:sz w:val="24"/>
          <w:szCs w:val="24"/>
        </w:rPr>
        <w:t>of the local subsidiary and t</w:t>
      </w:r>
      <w:r w:rsidR="00EB4A32">
        <w:rPr>
          <w:rFonts w:ascii="Times New Roman" w:eastAsia="Calibri" w:hAnsi="Times New Roman" w:cs="Times New Roman"/>
          <w:color w:val="000000"/>
          <w:sz w:val="24"/>
          <w:szCs w:val="24"/>
        </w:rPr>
        <w:t>hat housing head office functions in a subsidiary wa</w:t>
      </w:r>
      <w:r w:rsidR="00D930F0">
        <w:rPr>
          <w:rFonts w:ascii="Times New Roman" w:eastAsia="Calibri" w:hAnsi="Times New Roman" w:cs="Times New Roman"/>
          <w:color w:val="000000"/>
          <w:sz w:val="24"/>
          <w:szCs w:val="24"/>
        </w:rPr>
        <w:t>s in consonance with OECD TPGs</w:t>
      </w:r>
      <w:r w:rsidR="002A7C7A">
        <w:rPr>
          <w:rFonts w:ascii="Times New Roman" w:eastAsia="Calibri" w:hAnsi="Times New Roman" w:cs="Times New Roman"/>
          <w:color w:val="000000"/>
          <w:sz w:val="24"/>
          <w:szCs w:val="24"/>
        </w:rPr>
        <w:t xml:space="preserve"> concept of “group service centre”</w:t>
      </w:r>
      <w:r w:rsidR="008408A7">
        <w:rPr>
          <w:rFonts w:ascii="Times New Roman" w:eastAsia="Calibri" w:hAnsi="Times New Roman" w:cs="Times New Roman"/>
          <w:color w:val="000000"/>
          <w:sz w:val="24"/>
          <w:szCs w:val="24"/>
        </w:rPr>
        <w:t xml:space="preserve"> and “shared services centre”.</w:t>
      </w:r>
    </w:p>
    <w:p w:rsidR="00D13630" w:rsidRDefault="00855B55" w:rsidP="00D13630">
      <w:pPr>
        <w:spacing w:after="0" w:line="360" w:lineRule="auto"/>
        <w:ind w:firstLine="720"/>
        <w:jc w:val="both"/>
        <w:rPr>
          <w:rFonts w:ascii="Times New Roman" w:hAnsi="Times New Roman" w:cs="Times New Roman"/>
          <w:sz w:val="24"/>
          <w:szCs w:val="24"/>
        </w:rPr>
      </w:pPr>
      <w:r w:rsidRPr="00F30519">
        <w:rPr>
          <w:rFonts w:ascii="Times New Roman" w:eastAsia="Calibri" w:hAnsi="Times New Roman" w:cs="Times New Roman"/>
          <w:color w:val="000000"/>
          <w:sz w:val="24"/>
          <w:szCs w:val="24"/>
        </w:rPr>
        <w:t xml:space="preserve">The respondent </w:t>
      </w:r>
      <w:r>
        <w:rPr>
          <w:rFonts w:ascii="Times New Roman" w:eastAsia="Calibri" w:hAnsi="Times New Roman" w:cs="Times New Roman"/>
          <w:color w:val="000000"/>
          <w:sz w:val="24"/>
          <w:szCs w:val="24"/>
        </w:rPr>
        <w:t>calculated the average net profit margin of the appellant by dividing the net profit by sales based on the entire group turnover (being the sales to unrelated parties only) at 20% and reworked the figure to a cost plus 25% mark-up. It was common cause that the figures were mathematically correct</w:t>
      </w:r>
      <w:r>
        <w:rPr>
          <w:rStyle w:val="FootnoteReference"/>
          <w:rFonts w:ascii="Times New Roman" w:eastAsia="Calibri" w:hAnsi="Times New Roman" w:cs="Times New Roman"/>
          <w:color w:val="000000"/>
          <w:sz w:val="24"/>
          <w:szCs w:val="24"/>
        </w:rPr>
        <w:footnoteReference w:id="8"/>
      </w:r>
      <w:r>
        <w:rPr>
          <w:rFonts w:ascii="Times New Roman" w:eastAsia="Calibri" w:hAnsi="Times New Roman" w:cs="Times New Roman"/>
          <w:color w:val="000000"/>
          <w:sz w:val="24"/>
          <w:szCs w:val="24"/>
        </w:rPr>
        <w:t>. The expert testified that this methodology was fundamentally flawed as it suggested that management services where solely responsible for the entire sales.</w:t>
      </w:r>
      <w:r>
        <w:rPr>
          <w:rFonts w:ascii="Times New Roman" w:hAnsi="Times New Roman" w:cs="Times New Roman"/>
          <w:sz w:val="24"/>
          <w:szCs w:val="24"/>
        </w:rPr>
        <w:t xml:space="preserve"> She stated that there was no</w:t>
      </w:r>
      <w:r>
        <w:rPr>
          <w:rFonts w:ascii="Times New Roman" w:eastAsia="Calibri" w:hAnsi="Times New Roman" w:cs="Times New Roman"/>
          <w:color w:val="000000"/>
          <w:sz w:val="24"/>
          <w:szCs w:val="24"/>
        </w:rPr>
        <w:t xml:space="preserve"> correlation between the profit before tax and maize sales as the profit before tax was a function of all seed sales and interest income. She further stated that the formula did not eliminate shareholder costs and th</w:t>
      </w:r>
      <w:r w:rsidR="002A7145">
        <w:rPr>
          <w:rFonts w:ascii="Times New Roman" w:eastAsia="Calibri" w:hAnsi="Times New Roman" w:cs="Times New Roman"/>
          <w:color w:val="000000"/>
          <w:sz w:val="24"/>
          <w:szCs w:val="24"/>
        </w:rPr>
        <w:t>at th</w:t>
      </w:r>
      <w:r>
        <w:rPr>
          <w:rFonts w:ascii="Times New Roman" w:eastAsia="Calibri" w:hAnsi="Times New Roman" w:cs="Times New Roman"/>
          <w:color w:val="000000"/>
          <w:sz w:val="24"/>
          <w:szCs w:val="24"/>
        </w:rPr>
        <w:t>e mark-up was too high. Her computations, which were based on the tables in exhibit 5, constitute exhibit 11. It is not necessary to reproduce her computation tables. The computations showed that the amounts chargeable in each year were much less than the taxable income figures imputed by the respondent. And even then</w:t>
      </w:r>
      <w:r w:rsidR="00856F5A">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the actual management fees charged by the flagship to the subsidiaries were much higher than they should have been had the cost of shareholder activities been discounted. </w:t>
      </w:r>
      <w:r w:rsidRPr="009F75AE">
        <w:rPr>
          <w:rFonts w:ascii="Times New Roman" w:hAnsi="Times New Roman" w:cs="Times New Roman"/>
          <w:sz w:val="24"/>
          <w:szCs w:val="24"/>
        </w:rPr>
        <w:t xml:space="preserve">The respondent imputed royalties’ payable, imposed a charge of 3.5% on the gross sales of the seed varieties sold by the Group, without limiting it to the sales generated by these brands, and assessed the appellant to income tax on the imputed amounts. </w:t>
      </w:r>
    </w:p>
    <w:p w:rsidR="00BE57F9" w:rsidRPr="00D13630" w:rsidRDefault="00BE57F9" w:rsidP="00D13630">
      <w:pPr>
        <w:spacing w:after="0" w:line="360" w:lineRule="auto"/>
        <w:ind w:firstLine="720"/>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In assessing her evidence, I am guided by an insightful article that appeared </w:t>
      </w:r>
      <w:r w:rsidR="00891409">
        <w:rPr>
          <w:rFonts w:ascii="Times New Roman" w:eastAsia="Calibri" w:hAnsi="Times New Roman" w:cs="Times New Roman"/>
          <w:color w:val="000000"/>
          <w:sz w:val="24"/>
          <w:szCs w:val="24"/>
        </w:rPr>
        <w:t xml:space="preserve">in </w:t>
      </w:r>
      <w:r w:rsidRPr="0083501A">
        <w:rPr>
          <w:rFonts w:ascii="Times New Roman" w:eastAsia="Calibri" w:hAnsi="Times New Roman" w:cs="Times New Roman"/>
          <w:i/>
          <w:color w:val="000000"/>
          <w:sz w:val="24"/>
          <w:szCs w:val="24"/>
        </w:rPr>
        <w:t>De Rebus</w:t>
      </w:r>
      <w:r>
        <w:rPr>
          <w:rFonts w:ascii="Times New Roman" w:eastAsia="Calibri" w:hAnsi="Times New Roman" w:cs="Times New Roman"/>
          <w:color w:val="000000"/>
          <w:sz w:val="24"/>
          <w:szCs w:val="24"/>
        </w:rPr>
        <w:t xml:space="preserve"> of May 2015</w:t>
      </w:r>
      <w:r>
        <w:rPr>
          <w:rStyle w:val="FootnoteReference"/>
          <w:rFonts w:ascii="Times New Roman" w:eastAsia="Calibri" w:hAnsi="Times New Roman" w:cs="Times New Roman"/>
          <w:color w:val="000000"/>
          <w:sz w:val="24"/>
          <w:szCs w:val="24"/>
        </w:rPr>
        <w:footnoteReference w:id="9"/>
      </w:r>
      <w:r>
        <w:rPr>
          <w:rFonts w:ascii="Times New Roman" w:eastAsia="Calibri" w:hAnsi="Times New Roman" w:cs="Times New Roman"/>
          <w:color w:val="000000"/>
          <w:sz w:val="24"/>
          <w:szCs w:val="24"/>
        </w:rPr>
        <w:t xml:space="preserve"> entitled “</w:t>
      </w:r>
      <w:r w:rsidRPr="004D7636">
        <w:rPr>
          <w:rFonts w:ascii="Times New Roman" w:eastAsia="Calibri" w:hAnsi="Times New Roman" w:cs="Times New Roman"/>
          <w:i/>
          <w:color w:val="000000"/>
          <w:sz w:val="24"/>
          <w:szCs w:val="24"/>
        </w:rPr>
        <w:t>Beware of the Hired Gun-A</w:t>
      </w:r>
      <w:r w:rsidR="00C30058" w:rsidRPr="004D7636">
        <w:rPr>
          <w:rFonts w:ascii="Times New Roman" w:eastAsia="Calibri" w:hAnsi="Times New Roman" w:cs="Times New Roman"/>
          <w:i/>
          <w:color w:val="000000"/>
          <w:sz w:val="24"/>
          <w:szCs w:val="24"/>
        </w:rPr>
        <w:t>re expert witnesses unbiased</w:t>
      </w:r>
      <w:r w:rsidR="00C30058">
        <w:rPr>
          <w:rFonts w:ascii="Times New Roman" w:eastAsia="Calibri" w:hAnsi="Times New Roman" w:cs="Times New Roman"/>
          <w:color w:val="000000"/>
          <w:sz w:val="24"/>
          <w:szCs w:val="24"/>
        </w:rPr>
        <w:t>”. T</w:t>
      </w:r>
      <w:r>
        <w:rPr>
          <w:rFonts w:ascii="Times New Roman" w:eastAsia="Calibri" w:hAnsi="Times New Roman" w:cs="Times New Roman"/>
          <w:color w:val="000000"/>
          <w:sz w:val="24"/>
          <w:szCs w:val="24"/>
        </w:rPr>
        <w:t xml:space="preserve">he learned </w:t>
      </w:r>
      <w:r>
        <w:rPr>
          <w:rFonts w:ascii="Times New Roman" w:eastAsia="Calibri" w:hAnsi="Times New Roman" w:cs="Times New Roman"/>
          <w:color w:val="000000"/>
          <w:sz w:val="24"/>
          <w:szCs w:val="24"/>
        </w:rPr>
        <w:lastRenderedPageBreak/>
        <w:t xml:space="preserve">author captures the apt warning regarding the testimony of expert witness given in </w:t>
      </w:r>
      <w:r>
        <w:rPr>
          <w:rFonts w:ascii="Times New Roman" w:eastAsia="Calibri" w:hAnsi="Times New Roman" w:cs="Times New Roman"/>
          <w:i/>
          <w:color w:val="000000"/>
          <w:sz w:val="24"/>
          <w:szCs w:val="24"/>
        </w:rPr>
        <w:t>Lord Arbinger</w:t>
      </w:r>
      <w:r w:rsidRPr="008C51B9">
        <w:rPr>
          <w:rFonts w:ascii="Times New Roman" w:eastAsia="Calibri" w:hAnsi="Times New Roman" w:cs="Times New Roman"/>
          <w:color w:val="000000"/>
          <w:sz w:val="24"/>
          <w:szCs w:val="24"/>
        </w:rPr>
        <w:t xml:space="preserve"> v</w:t>
      </w:r>
      <w:r>
        <w:rPr>
          <w:rFonts w:ascii="Times New Roman" w:eastAsia="Calibri" w:hAnsi="Times New Roman" w:cs="Times New Roman"/>
          <w:i/>
          <w:color w:val="000000"/>
          <w:sz w:val="24"/>
          <w:szCs w:val="24"/>
        </w:rPr>
        <w:t xml:space="preserve"> Ashton </w:t>
      </w:r>
      <w:r>
        <w:rPr>
          <w:rFonts w:ascii="Times New Roman" w:eastAsia="Calibri" w:hAnsi="Times New Roman" w:cs="Times New Roman"/>
          <w:color w:val="000000"/>
          <w:sz w:val="24"/>
          <w:szCs w:val="24"/>
        </w:rPr>
        <w:t>(1873) 17 LR Eq 358 at 378 that:</w:t>
      </w:r>
    </w:p>
    <w:p w:rsidR="00BE57F9" w:rsidRPr="00891409" w:rsidRDefault="00BE57F9" w:rsidP="004D7636">
      <w:pPr>
        <w:tabs>
          <w:tab w:val="left" w:pos="2160"/>
        </w:tabs>
        <w:spacing w:before="240" w:beforeAutospacing="1" w:line="240" w:lineRule="auto"/>
        <w:ind w:left="720"/>
        <w:jc w:val="both"/>
        <w:rPr>
          <w:rFonts w:ascii="Times New Roman" w:eastAsia="Calibri" w:hAnsi="Times New Roman" w:cs="Times New Roman"/>
          <w:color w:val="000000"/>
        </w:rPr>
      </w:pPr>
      <w:r w:rsidRPr="00891409">
        <w:rPr>
          <w:rFonts w:ascii="Times New Roman" w:eastAsia="Calibri" w:hAnsi="Times New Roman" w:cs="Times New Roman"/>
          <w:color w:val="000000"/>
        </w:rPr>
        <w:t xml:space="preserve"> “Undoubtedly there is a natural bias to do something serviceable for those who employ you and adequately remunerate you. It is very natural, and it is so effectual that we constantly see persons, instead of considering themselves as witnesses, rather consider themselves as paid agents of the persons who employ them…. What it all means is this, of an expert is required originality, objectivity and unbiased assistance to the court. The expert opinion should be based on all the facts or assumptions. No expert should be unwilling to make concessions about something either falling within his or her expertise or not known when first expressing that opinion.” </w:t>
      </w:r>
    </w:p>
    <w:p w:rsidR="00D530CD" w:rsidRDefault="004D7636" w:rsidP="001703ED">
      <w:pPr>
        <w:tabs>
          <w:tab w:val="left" w:pos="540"/>
        </w:tabs>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83501A">
        <w:rPr>
          <w:rFonts w:ascii="Times New Roman" w:eastAsia="Calibri" w:hAnsi="Times New Roman" w:cs="Times New Roman"/>
          <w:color w:val="000000"/>
          <w:sz w:val="24"/>
          <w:szCs w:val="24"/>
        </w:rPr>
        <w:t>The efficacy of her testimony was undermined</w:t>
      </w:r>
      <w:r w:rsidR="005D2486">
        <w:rPr>
          <w:rFonts w:ascii="Times New Roman" w:eastAsia="Calibri" w:hAnsi="Times New Roman" w:cs="Times New Roman"/>
          <w:color w:val="000000"/>
          <w:sz w:val="24"/>
          <w:szCs w:val="24"/>
        </w:rPr>
        <w:t xml:space="preserve"> by seven</w:t>
      </w:r>
      <w:r w:rsidR="005A258D">
        <w:rPr>
          <w:rFonts w:ascii="Times New Roman" w:eastAsia="Calibri" w:hAnsi="Times New Roman" w:cs="Times New Roman"/>
          <w:color w:val="000000"/>
          <w:sz w:val="24"/>
          <w:szCs w:val="24"/>
        </w:rPr>
        <w:t xml:space="preserve"> factors. </w:t>
      </w:r>
      <w:r w:rsidR="0083501A">
        <w:rPr>
          <w:rFonts w:ascii="Times New Roman" w:eastAsia="Calibri" w:hAnsi="Times New Roman" w:cs="Times New Roman"/>
          <w:color w:val="000000"/>
          <w:sz w:val="24"/>
          <w:szCs w:val="24"/>
        </w:rPr>
        <w:t xml:space="preserve"> </w:t>
      </w:r>
      <w:r w:rsidR="005A258D">
        <w:rPr>
          <w:rFonts w:ascii="Times New Roman" w:eastAsia="Calibri" w:hAnsi="Times New Roman" w:cs="Times New Roman"/>
          <w:color w:val="000000"/>
          <w:sz w:val="24"/>
          <w:szCs w:val="24"/>
        </w:rPr>
        <w:t>Firstly</w:t>
      </w:r>
      <w:r w:rsidR="00D81B67">
        <w:rPr>
          <w:rFonts w:ascii="Times New Roman" w:eastAsia="Calibri" w:hAnsi="Times New Roman" w:cs="Times New Roman"/>
          <w:color w:val="000000"/>
          <w:sz w:val="24"/>
          <w:szCs w:val="24"/>
        </w:rPr>
        <w:t xml:space="preserve">, </w:t>
      </w:r>
      <w:r w:rsidR="00760A8C">
        <w:rPr>
          <w:rFonts w:ascii="Times New Roman" w:eastAsia="Calibri" w:hAnsi="Times New Roman" w:cs="Times New Roman"/>
          <w:color w:val="000000"/>
          <w:sz w:val="24"/>
          <w:szCs w:val="24"/>
        </w:rPr>
        <w:t xml:space="preserve">her review and results were not original but a mere regurgitation of an earlier one, apparently conducted by the appellant’s lead representative in this appeal, Mr </w:t>
      </w:r>
      <w:r w:rsidR="00760A8C" w:rsidRPr="00B0545A">
        <w:rPr>
          <w:rFonts w:ascii="Times New Roman" w:eastAsia="Calibri" w:hAnsi="Times New Roman" w:cs="Times New Roman"/>
          <w:i/>
          <w:color w:val="000000"/>
          <w:sz w:val="24"/>
          <w:szCs w:val="24"/>
        </w:rPr>
        <w:t>Erasmus</w:t>
      </w:r>
      <w:r w:rsidR="00760A8C">
        <w:rPr>
          <w:rFonts w:ascii="Times New Roman" w:eastAsia="Calibri" w:hAnsi="Times New Roman" w:cs="Times New Roman"/>
          <w:color w:val="000000"/>
          <w:sz w:val="24"/>
          <w:szCs w:val="24"/>
        </w:rPr>
        <w:t xml:space="preserve"> and presaged in para B1.3.8.1 of </w:t>
      </w:r>
      <w:r w:rsidR="00D0330E">
        <w:rPr>
          <w:rFonts w:ascii="Times New Roman" w:eastAsia="Calibri" w:hAnsi="Times New Roman" w:cs="Times New Roman"/>
          <w:color w:val="000000"/>
          <w:sz w:val="24"/>
          <w:szCs w:val="24"/>
        </w:rPr>
        <w:t xml:space="preserve">the </w:t>
      </w:r>
      <w:r w:rsidR="00760A8C">
        <w:rPr>
          <w:rFonts w:ascii="Times New Roman" w:eastAsia="Calibri" w:hAnsi="Times New Roman" w:cs="Times New Roman"/>
          <w:color w:val="000000"/>
          <w:sz w:val="24"/>
          <w:szCs w:val="24"/>
        </w:rPr>
        <w:t xml:space="preserve">objection. Secondly, the </w:t>
      </w:r>
      <w:r w:rsidR="00B46C91">
        <w:rPr>
          <w:rFonts w:ascii="Times New Roman" w:eastAsia="Calibri" w:hAnsi="Times New Roman" w:cs="Times New Roman"/>
          <w:color w:val="000000"/>
          <w:sz w:val="24"/>
          <w:szCs w:val="24"/>
        </w:rPr>
        <w:t>review of the two non-exclusive royalty free licence agreements failed to read the royalty free clause</w:t>
      </w:r>
      <w:r w:rsidR="0017336F">
        <w:rPr>
          <w:rFonts w:ascii="Times New Roman" w:eastAsia="Calibri" w:hAnsi="Times New Roman" w:cs="Times New Roman"/>
          <w:color w:val="000000"/>
          <w:sz w:val="24"/>
          <w:szCs w:val="24"/>
        </w:rPr>
        <w:t>, clause 3.8</w:t>
      </w:r>
      <w:r w:rsidR="001974B8">
        <w:rPr>
          <w:rFonts w:ascii="Times New Roman" w:eastAsia="Calibri" w:hAnsi="Times New Roman" w:cs="Times New Roman"/>
          <w:color w:val="000000"/>
          <w:sz w:val="24"/>
          <w:szCs w:val="24"/>
        </w:rPr>
        <w:t>,</w:t>
      </w:r>
      <w:r w:rsidR="0017336F">
        <w:rPr>
          <w:rFonts w:ascii="Times New Roman" w:eastAsia="Calibri" w:hAnsi="Times New Roman" w:cs="Times New Roman"/>
          <w:color w:val="000000"/>
          <w:sz w:val="24"/>
          <w:szCs w:val="24"/>
        </w:rPr>
        <w:t xml:space="preserve"> in conjunction with clause 6.2, which specifically mandated De</w:t>
      </w:r>
      <w:r w:rsidR="001974B8">
        <w:rPr>
          <w:rFonts w:ascii="Times New Roman" w:eastAsia="Calibri" w:hAnsi="Times New Roman" w:cs="Times New Roman"/>
          <w:color w:val="000000"/>
          <w:sz w:val="24"/>
          <w:szCs w:val="24"/>
        </w:rPr>
        <w:t>lta to pay a royalty to Syngent</w:t>
      </w:r>
      <w:r w:rsidR="0017336F">
        <w:rPr>
          <w:rFonts w:ascii="Times New Roman" w:eastAsia="Calibri" w:hAnsi="Times New Roman" w:cs="Times New Roman"/>
          <w:color w:val="000000"/>
          <w:sz w:val="24"/>
          <w:szCs w:val="24"/>
        </w:rPr>
        <w:t xml:space="preserve">a for the right to produce, multiply and sell the seed to which the royalty free trademark licence related. </w:t>
      </w:r>
      <w:r w:rsidR="007E6D2F">
        <w:rPr>
          <w:rFonts w:ascii="Times New Roman" w:eastAsia="Calibri" w:hAnsi="Times New Roman" w:cs="Times New Roman"/>
          <w:color w:val="000000"/>
          <w:sz w:val="24"/>
          <w:szCs w:val="24"/>
        </w:rPr>
        <w:t xml:space="preserve">In my view, these two agreements </w:t>
      </w:r>
      <w:r w:rsidR="00D156E1">
        <w:rPr>
          <w:rFonts w:ascii="Times New Roman" w:eastAsia="Calibri" w:hAnsi="Times New Roman" w:cs="Times New Roman"/>
          <w:color w:val="000000"/>
          <w:sz w:val="24"/>
          <w:szCs w:val="24"/>
        </w:rPr>
        <w:t>did not</w:t>
      </w:r>
      <w:r w:rsidR="005B3AE8">
        <w:rPr>
          <w:rFonts w:ascii="Times New Roman" w:eastAsia="Calibri" w:hAnsi="Times New Roman" w:cs="Times New Roman"/>
          <w:color w:val="000000"/>
          <w:sz w:val="24"/>
          <w:szCs w:val="24"/>
        </w:rPr>
        <w:t xml:space="preserve"> fall into the ambit of</w:t>
      </w:r>
      <w:r w:rsidR="003D7943">
        <w:rPr>
          <w:rFonts w:ascii="Times New Roman" w:eastAsia="Calibri" w:hAnsi="Times New Roman" w:cs="Times New Roman"/>
          <w:color w:val="000000"/>
          <w:sz w:val="24"/>
          <w:szCs w:val="24"/>
        </w:rPr>
        <w:t xml:space="preserve"> pure</w:t>
      </w:r>
      <w:r w:rsidR="005B3AE8">
        <w:rPr>
          <w:rFonts w:ascii="Times New Roman" w:eastAsia="Calibri" w:hAnsi="Times New Roman" w:cs="Times New Roman"/>
          <w:color w:val="000000"/>
          <w:sz w:val="24"/>
          <w:szCs w:val="24"/>
        </w:rPr>
        <w:t xml:space="preserve"> royalty free agreements but of the other nine. </w:t>
      </w:r>
      <w:r w:rsidR="00E5656D">
        <w:rPr>
          <w:rFonts w:ascii="Times New Roman" w:eastAsia="Calibri" w:hAnsi="Times New Roman" w:cs="Times New Roman"/>
          <w:color w:val="000000"/>
          <w:sz w:val="24"/>
          <w:szCs w:val="24"/>
        </w:rPr>
        <w:t xml:space="preserve">Even if they did, a mere two agreements in the whole wide world would not </w:t>
      </w:r>
      <w:r w:rsidR="004332D6">
        <w:rPr>
          <w:rFonts w:ascii="Times New Roman" w:eastAsia="Calibri" w:hAnsi="Times New Roman" w:cs="Times New Roman"/>
          <w:color w:val="000000"/>
          <w:sz w:val="24"/>
          <w:szCs w:val="24"/>
        </w:rPr>
        <w:t xml:space="preserve">constitute the critical mass to justify the proposition that royalties are not chargeable for the use of trademarks in the hybrid seed industry. The number is just too insignificant to conclusively extrapolate such an earth shattering principle. </w:t>
      </w:r>
      <w:r w:rsidR="00807291">
        <w:rPr>
          <w:rFonts w:ascii="Times New Roman" w:eastAsia="Calibri" w:hAnsi="Times New Roman" w:cs="Times New Roman"/>
          <w:color w:val="000000"/>
          <w:sz w:val="24"/>
          <w:szCs w:val="24"/>
        </w:rPr>
        <w:t>After all, t</w:t>
      </w:r>
      <w:r w:rsidR="00D530CD">
        <w:rPr>
          <w:rFonts w:ascii="Times New Roman" w:eastAsia="Calibri" w:hAnsi="Times New Roman" w:cs="Times New Roman"/>
          <w:color w:val="000000"/>
          <w:sz w:val="24"/>
          <w:szCs w:val="24"/>
        </w:rPr>
        <w:t xml:space="preserve">he link between the non-exclusive royalty free licence to the royalty payable for the production, sale and propagation of the seed to which the royalty relates belies the further proposition that trademarks standing on their own in the hybrid seed industry are valueless. The practical hard fact is that a trademark, which the parties correctly equated to a brand, cannot stand on its own. It is always attached to, and bears testimony to the quality of, some product, manufacturing process or advertising format. See </w:t>
      </w:r>
      <w:r w:rsidR="00BA4F0C">
        <w:rPr>
          <w:rFonts w:ascii="Times New Roman" w:eastAsia="Calibri" w:hAnsi="Times New Roman" w:cs="Times New Roman"/>
          <w:i/>
          <w:color w:val="000000"/>
          <w:sz w:val="24"/>
          <w:szCs w:val="24"/>
        </w:rPr>
        <w:t>DEB (Pvt</w:t>
      </w:r>
      <w:r w:rsidR="008E31A1">
        <w:rPr>
          <w:rFonts w:ascii="Times New Roman" w:eastAsia="Calibri" w:hAnsi="Times New Roman" w:cs="Times New Roman"/>
          <w:i/>
          <w:color w:val="000000"/>
          <w:sz w:val="24"/>
          <w:szCs w:val="24"/>
        </w:rPr>
        <w:t xml:space="preserve">) </w:t>
      </w:r>
      <w:r w:rsidR="00377480">
        <w:rPr>
          <w:rFonts w:ascii="Times New Roman" w:eastAsia="Calibri" w:hAnsi="Times New Roman" w:cs="Times New Roman"/>
          <w:i/>
          <w:color w:val="000000"/>
          <w:sz w:val="24"/>
          <w:szCs w:val="24"/>
        </w:rPr>
        <w:t xml:space="preserve">Ltd </w:t>
      </w:r>
      <w:r w:rsidR="00377480" w:rsidRPr="001703ED">
        <w:rPr>
          <w:rFonts w:ascii="Times New Roman" w:eastAsia="Calibri" w:hAnsi="Times New Roman" w:cs="Times New Roman"/>
          <w:color w:val="000000"/>
          <w:sz w:val="24"/>
          <w:szCs w:val="24"/>
        </w:rPr>
        <w:t>v</w:t>
      </w:r>
      <w:r w:rsidR="00D530CD" w:rsidRPr="00807291">
        <w:rPr>
          <w:rFonts w:ascii="Times New Roman" w:eastAsia="Calibri" w:hAnsi="Times New Roman" w:cs="Times New Roman"/>
          <w:i/>
          <w:color w:val="000000"/>
          <w:sz w:val="24"/>
          <w:szCs w:val="24"/>
        </w:rPr>
        <w:t xml:space="preserve"> Zimra</w:t>
      </w:r>
      <w:r w:rsidR="00D530CD">
        <w:rPr>
          <w:rFonts w:ascii="Times New Roman" w:eastAsia="Calibri" w:hAnsi="Times New Roman" w:cs="Times New Roman"/>
          <w:color w:val="000000"/>
          <w:sz w:val="24"/>
          <w:szCs w:val="24"/>
        </w:rPr>
        <w:t xml:space="preserve"> HH </w:t>
      </w:r>
      <w:r w:rsidR="008E31A1">
        <w:rPr>
          <w:rFonts w:ascii="Times New Roman" w:eastAsia="Calibri" w:hAnsi="Times New Roman" w:cs="Times New Roman"/>
          <w:color w:val="000000"/>
          <w:sz w:val="24"/>
          <w:szCs w:val="24"/>
        </w:rPr>
        <w:t>664</w:t>
      </w:r>
      <w:r w:rsidR="00D530CD">
        <w:rPr>
          <w:rFonts w:ascii="Times New Roman" w:eastAsia="Calibri" w:hAnsi="Times New Roman" w:cs="Times New Roman"/>
          <w:color w:val="000000"/>
          <w:sz w:val="24"/>
          <w:szCs w:val="24"/>
        </w:rPr>
        <w:t>/19 at p</w:t>
      </w:r>
      <w:r w:rsidR="008E31A1">
        <w:rPr>
          <w:rFonts w:ascii="Times New Roman" w:eastAsia="Calibri" w:hAnsi="Times New Roman" w:cs="Times New Roman"/>
          <w:color w:val="000000"/>
          <w:sz w:val="24"/>
          <w:szCs w:val="24"/>
        </w:rPr>
        <w:t xml:space="preserve"> 7</w:t>
      </w:r>
      <w:r w:rsidR="00654E30">
        <w:rPr>
          <w:rFonts w:ascii="Times New Roman" w:eastAsia="Calibri" w:hAnsi="Times New Roman" w:cs="Times New Roman"/>
          <w:color w:val="000000"/>
          <w:sz w:val="24"/>
          <w:szCs w:val="24"/>
        </w:rPr>
        <w:t xml:space="preserve"> and </w:t>
      </w:r>
      <w:r w:rsidR="00654E30" w:rsidRPr="00654E30">
        <w:rPr>
          <w:rFonts w:ascii="Times New Roman" w:hAnsi="Times New Roman" w:cs="Times New Roman"/>
          <w:sz w:val="24"/>
          <w:szCs w:val="24"/>
        </w:rPr>
        <w:t>“</w:t>
      </w:r>
      <w:r w:rsidR="00654E30" w:rsidRPr="001974B8">
        <w:rPr>
          <w:rFonts w:ascii="Times New Roman" w:hAnsi="Times New Roman" w:cs="Times New Roman"/>
          <w:i/>
          <w:sz w:val="24"/>
          <w:szCs w:val="24"/>
        </w:rPr>
        <w:t>IP Handbook of Best Practices”</w:t>
      </w:r>
      <w:r w:rsidR="00A007EB">
        <w:rPr>
          <w:rStyle w:val="FootnoteReference"/>
          <w:rFonts w:ascii="Times New Roman" w:hAnsi="Times New Roman" w:cs="Times New Roman"/>
          <w:i/>
          <w:sz w:val="24"/>
          <w:szCs w:val="24"/>
        </w:rPr>
        <w:footnoteReference w:id="10"/>
      </w:r>
      <w:r w:rsidR="00654E30" w:rsidRPr="00654E30">
        <w:rPr>
          <w:rFonts w:ascii="Times New Roman" w:hAnsi="Times New Roman" w:cs="Times New Roman"/>
          <w:sz w:val="24"/>
          <w:szCs w:val="24"/>
        </w:rPr>
        <w:t xml:space="preserve"> by Tucker and Ross</w:t>
      </w:r>
      <w:r w:rsidR="00654E30">
        <w:rPr>
          <w:rFonts w:ascii="Times New Roman" w:hAnsi="Times New Roman" w:cs="Times New Roman"/>
          <w:sz w:val="24"/>
          <w:szCs w:val="24"/>
        </w:rPr>
        <w:t xml:space="preserve"> who opines that capital outl</w:t>
      </w:r>
      <w:r w:rsidR="00BA4F0C">
        <w:rPr>
          <w:rFonts w:ascii="Times New Roman" w:hAnsi="Times New Roman" w:cs="Times New Roman"/>
          <w:sz w:val="24"/>
          <w:szCs w:val="24"/>
        </w:rPr>
        <w:t xml:space="preserve">ay in </w:t>
      </w:r>
      <w:r w:rsidR="001974B8">
        <w:rPr>
          <w:rFonts w:ascii="Times New Roman" w:hAnsi="Times New Roman" w:cs="Times New Roman"/>
          <w:sz w:val="24"/>
          <w:szCs w:val="24"/>
        </w:rPr>
        <w:t xml:space="preserve">the </w:t>
      </w:r>
      <w:r w:rsidR="00BA4F0C">
        <w:rPr>
          <w:rFonts w:ascii="Times New Roman" w:hAnsi="Times New Roman" w:cs="Times New Roman"/>
          <w:sz w:val="24"/>
          <w:szCs w:val="24"/>
        </w:rPr>
        <w:t>creation of a trademark encodes consistent quality and continuous availability</w:t>
      </w:r>
      <w:r w:rsidR="00654E30">
        <w:rPr>
          <w:rFonts w:ascii="Times New Roman" w:hAnsi="Times New Roman" w:cs="Times New Roman"/>
          <w:sz w:val="24"/>
          <w:szCs w:val="24"/>
        </w:rPr>
        <w:t xml:space="preserve"> </w:t>
      </w:r>
      <w:r w:rsidR="00BA4F0C">
        <w:rPr>
          <w:rFonts w:ascii="Times New Roman" w:hAnsi="Times New Roman" w:cs="Times New Roman"/>
          <w:sz w:val="24"/>
          <w:szCs w:val="24"/>
        </w:rPr>
        <w:t xml:space="preserve">and </w:t>
      </w:r>
      <w:r w:rsidR="00BC4CCB">
        <w:rPr>
          <w:rFonts w:ascii="Times New Roman" w:hAnsi="Times New Roman" w:cs="Times New Roman"/>
          <w:sz w:val="24"/>
          <w:szCs w:val="24"/>
        </w:rPr>
        <w:t xml:space="preserve">that </w:t>
      </w:r>
      <w:r w:rsidR="00BA4F0C">
        <w:rPr>
          <w:rFonts w:ascii="Times New Roman" w:hAnsi="Times New Roman" w:cs="Times New Roman"/>
          <w:sz w:val="24"/>
          <w:szCs w:val="24"/>
        </w:rPr>
        <w:t xml:space="preserve">value is enhanced by marketing and </w:t>
      </w:r>
      <w:r w:rsidR="00A007EB">
        <w:rPr>
          <w:rFonts w:ascii="Times New Roman" w:hAnsi="Times New Roman" w:cs="Times New Roman"/>
          <w:sz w:val="24"/>
          <w:szCs w:val="24"/>
        </w:rPr>
        <w:t>acceptance.</w:t>
      </w:r>
      <w:r w:rsidR="00BA4F0C">
        <w:rPr>
          <w:rFonts w:ascii="Times New Roman" w:hAnsi="Times New Roman" w:cs="Times New Roman"/>
          <w:sz w:val="24"/>
          <w:szCs w:val="24"/>
        </w:rPr>
        <w:t xml:space="preserve"> </w:t>
      </w:r>
    </w:p>
    <w:p w:rsidR="007525A7" w:rsidRDefault="001703ED" w:rsidP="007525A7">
      <w:pPr>
        <w:tabs>
          <w:tab w:val="left" w:pos="720"/>
        </w:tabs>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B0545A">
        <w:rPr>
          <w:rFonts w:ascii="Times New Roman" w:eastAsia="Calibri" w:hAnsi="Times New Roman" w:cs="Times New Roman"/>
          <w:color w:val="000000"/>
          <w:sz w:val="24"/>
          <w:szCs w:val="24"/>
        </w:rPr>
        <w:t>Thir</w:t>
      </w:r>
      <w:r w:rsidR="0017336F">
        <w:rPr>
          <w:rFonts w:ascii="Times New Roman" w:eastAsia="Calibri" w:hAnsi="Times New Roman" w:cs="Times New Roman"/>
          <w:color w:val="000000"/>
          <w:sz w:val="24"/>
          <w:szCs w:val="24"/>
        </w:rPr>
        <w:t xml:space="preserve">dly, and more importantly, she failed to </w:t>
      </w:r>
      <w:r w:rsidR="002E714D">
        <w:rPr>
          <w:rFonts w:ascii="Times New Roman" w:eastAsia="Calibri" w:hAnsi="Times New Roman" w:cs="Times New Roman"/>
          <w:color w:val="000000"/>
          <w:sz w:val="24"/>
          <w:szCs w:val="24"/>
        </w:rPr>
        <w:t>establish that</w:t>
      </w:r>
      <w:r w:rsidR="0017336F">
        <w:rPr>
          <w:rFonts w:ascii="Times New Roman" w:eastAsia="Calibri" w:hAnsi="Times New Roman" w:cs="Times New Roman"/>
          <w:color w:val="000000"/>
          <w:sz w:val="24"/>
          <w:szCs w:val="24"/>
        </w:rPr>
        <w:t xml:space="preserve"> </w:t>
      </w:r>
      <w:r w:rsidR="0083501A">
        <w:rPr>
          <w:rFonts w:ascii="Times New Roman" w:eastAsia="Calibri" w:hAnsi="Times New Roman" w:cs="Times New Roman"/>
          <w:color w:val="000000"/>
          <w:sz w:val="24"/>
          <w:szCs w:val="24"/>
        </w:rPr>
        <w:t xml:space="preserve">these guidelines constituted </w:t>
      </w:r>
      <w:r w:rsidR="004359F5">
        <w:rPr>
          <w:rFonts w:ascii="Times New Roman" w:eastAsia="Calibri" w:hAnsi="Times New Roman" w:cs="Times New Roman"/>
          <w:color w:val="000000"/>
          <w:sz w:val="24"/>
          <w:szCs w:val="24"/>
        </w:rPr>
        <w:t>customary international</w:t>
      </w:r>
      <w:r w:rsidR="0083501A">
        <w:rPr>
          <w:rFonts w:ascii="Times New Roman" w:eastAsia="Calibri" w:hAnsi="Times New Roman" w:cs="Times New Roman"/>
          <w:color w:val="000000"/>
          <w:sz w:val="24"/>
          <w:szCs w:val="24"/>
        </w:rPr>
        <w:t xml:space="preserve"> law</w:t>
      </w:r>
      <w:r w:rsidR="00F10E67">
        <w:rPr>
          <w:rFonts w:ascii="Times New Roman" w:eastAsia="Calibri" w:hAnsi="Times New Roman" w:cs="Times New Roman"/>
          <w:color w:val="000000"/>
          <w:sz w:val="24"/>
          <w:szCs w:val="24"/>
        </w:rPr>
        <w:t xml:space="preserve"> and to her credit conceded under cross examination that they were not law. </w:t>
      </w:r>
      <w:r w:rsidR="009C60E4">
        <w:rPr>
          <w:rFonts w:ascii="Times New Roman" w:eastAsia="Calibri" w:hAnsi="Times New Roman" w:cs="Times New Roman"/>
          <w:color w:val="000000"/>
          <w:sz w:val="24"/>
          <w:szCs w:val="24"/>
        </w:rPr>
        <w:t xml:space="preserve"> They were therefore inapplicable in Zimbabwe which had not </w:t>
      </w:r>
      <w:r w:rsidR="001B2D21">
        <w:rPr>
          <w:rFonts w:ascii="Times New Roman" w:eastAsia="Calibri" w:hAnsi="Times New Roman" w:cs="Times New Roman"/>
          <w:color w:val="000000"/>
          <w:sz w:val="24"/>
          <w:szCs w:val="24"/>
        </w:rPr>
        <w:t>domesticated them</w:t>
      </w:r>
      <w:r w:rsidR="009C60E4">
        <w:rPr>
          <w:rFonts w:ascii="Times New Roman" w:eastAsia="Calibri" w:hAnsi="Times New Roman" w:cs="Times New Roman"/>
          <w:color w:val="000000"/>
          <w:sz w:val="24"/>
          <w:szCs w:val="24"/>
        </w:rPr>
        <w:t xml:space="preserve"> as </w:t>
      </w:r>
      <w:r w:rsidR="009C60E4">
        <w:rPr>
          <w:rFonts w:ascii="Times New Roman" w:eastAsia="Calibri" w:hAnsi="Times New Roman" w:cs="Times New Roman"/>
          <w:color w:val="000000"/>
          <w:sz w:val="24"/>
          <w:szCs w:val="24"/>
        </w:rPr>
        <w:lastRenderedPageBreak/>
        <w:t>had done South Africa i</w:t>
      </w:r>
      <w:r w:rsidR="00D81B67">
        <w:rPr>
          <w:rFonts w:ascii="Times New Roman" w:eastAsia="Calibri" w:hAnsi="Times New Roman" w:cs="Times New Roman"/>
          <w:color w:val="000000"/>
          <w:sz w:val="24"/>
          <w:szCs w:val="24"/>
        </w:rPr>
        <w:t xml:space="preserve">n 1995. </w:t>
      </w:r>
      <w:r w:rsidR="00304CEF">
        <w:rPr>
          <w:rFonts w:ascii="Times New Roman" w:eastAsia="Calibri" w:hAnsi="Times New Roman" w:cs="Times New Roman"/>
          <w:color w:val="000000"/>
          <w:sz w:val="24"/>
          <w:szCs w:val="24"/>
        </w:rPr>
        <w:t>Fourthly</w:t>
      </w:r>
      <w:r w:rsidR="00922727">
        <w:rPr>
          <w:rFonts w:ascii="Times New Roman" w:eastAsia="Calibri" w:hAnsi="Times New Roman" w:cs="Times New Roman"/>
          <w:color w:val="000000"/>
          <w:sz w:val="24"/>
          <w:szCs w:val="24"/>
        </w:rPr>
        <w:t xml:space="preserve">, she swallowed hook, line and sinker the assertion by the appellant that it was not liable for both these fees while cursorily dismissing the bases for the Commissioner’s contrary assertions. </w:t>
      </w:r>
    </w:p>
    <w:p w:rsidR="00542F20" w:rsidRDefault="007525A7" w:rsidP="007525A7">
      <w:pPr>
        <w:tabs>
          <w:tab w:val="left" w:pos="720"/>
        </w:tabs>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7019FD">
        <w:rPr>
          <w:rFonts w:ascii="Times New Roman" w:eastAsia="Calibri" w:hAnsi="Times New Roman" w:cs="Times New Roman"/>
          <w:color w:val="000000"/>
          <w:sz w:val="24"/>
          <w:szCs w:val="24"/>
        </w:rPr>
        <w:t>Fifthly</w:t>
      </w:r>
      <w:r w:rsidR="000F1C8D">
        <w:rPr>
          <w:rFonts w:ascii="Times New Roman" w:eastAsia="Calibri" w:hAnsi="Times New Roman" w:cs="Times New Roman"/>
          <w:color w:val="000000"/>
          <w:sz w:val="24"/>
          <w:szCs w:val="24"/>
        </w:rPr>
        <w:t xml:space="preserve">, she failed to demonstrate by </w:t>
      </w:r>
      <w:r w:rsidR="007019FD">
        <w:rPr>
          <w:rFonts w:ascii="Times New Roman" w:eastAsia="Calibri" w:hAnsi="Times New Roman" w:cs="Times New Roman"/>
          <w:color w:val="000000"/>
          <w:sz w:val="24"/>
          <w:szCs w:val="24"/>
        </w:rPr>
        <w:t xml:space="preserve">reference to any data base </w:t>
      </w:r>
      <w:r w:rsidR="000F1C8D">
        <w:rPr>
          <w:rFonts w:ascii="Times New Roman" w:eastAsia="Calibri" w:hAnsi="Times New Roman" w:cs="Times New Roman"/>
          <w:color w:val="000000"/>
          <w:sz w:val="24"/>
          <w:szCs w:val="24"/>
        </w:rPr>
        <w:t>empirica</w:t>
      </w:r>
      <w:r w:rsidR="007019FD">
        <w:rPr>
          <w:rFonts w:ascii="Times New Roman" w:eastAsia="Calibri" w:hAnsi="Times New Roman" w:cs="Times New Roman"/>
          <w:color w:val="000000"/>
          <w:sz w:val="24"/>
          <w:szCs w:val="24"/>
        </w:rPr>
        <w:t>l evidence</w:t>
      </w:r>
      <w:r w:rsidR="00630C96">
        <w:rPr>
          <w:rFonts w:ascii="Times New Roman" w:eastAsia="Calibri" w:hAnsi="Times New Roman" w:cs="Times New Roman"/>
          <w:color w:val="000000"/>
          <w:sz w:val="24"/>
          <w:szCs w:val="24"/>
        </w:rPr>
        <w:t xml:space="preserve"> </w:t>
      </w:r>
      <w:r w:rsidR="007019FD">
        <w:rPr>
          <w:rFonts w:ascii="Times New Roman" w:eastAsia="Calibri" w:hAnsi="Times New Roman" w:cs="Times New Roman"/>
          <w:color w:val="000000"/>
          <w:sz w:val="24"/>
          <w:szCs w:val="24"/>
        </w:rPr>
        <w:t xml:space="preserve">on </w:t>
      </w:r>
      <w:r w:rsidR="00630C96">
        <w:rPr>
          <w:rFonts w:ascii="Times New Roman" w:eastAsia="Calibri" w:hAnsi="Times New Roman" w:cs="Times New Roman"/>
          <w:color w:val="000000"/>
          <w:sz w:val="24"/>
          <w:szCs w:val="24"/>
        </w:rPr>
        <w:t xml:space="preserve">the propriety of housing head office functions in a subsidiary company and </w:t>
      </w:r>
      <w:r w:rsidR="006463A6">
        <w:rPr>
          <w:rFonts w:ascii="Times New Roman" w:eastAsia="Calibri" w:hAnsi="Times New Roman" w:cs="Times New Roman"/>
          <w:color w:val="000000"/>
          <w:sz w:val="24"/>
          <w:szCs w:val="24"/>
        </w:rPr>
        <w:t xml:space="preserve">to articulate the juristic nature of a group </w:t>
      </w:r>
      <w:r w:rsidR="0018444A">
        <w:rPr>
          <w:rFonts w:ascii="Times New Roman" w:eastAsia="Calibri" w:hAnsi="Times New Roman" w:cs="Times New Roman"/>
          <w:color w:val="000000"/>
          <w:sz w:val="24"/>
          <w:szCs w:val="24"/>
        </w:rPr>
        <w:t>company. She appeared to treat all the subsidiaries of the appellant as the “Group Company” and the appellant as a “Company”; thereby giving the incorrect impression that the appellant, which was the holding entity, was a subsidiary of the ambiguous Group.</w:t>
      </w:r>
      <w:r w:rsidR="00DD7D3A">
        <w:rPr>
          <w:rFonts w:ascii="Times New Roman" w:eastAsia="Calibri" w:hAnsi="Times New Roman" w:cs="Times New Roman"/>
          <w:color w:val="000000"/>
          <w:sz w:val="24"/>
          <w:szCs w:val="24"/>
        </w:rPr>
        <w:t xml:space="preserve"> This is contrary to the provisions of s 143 (5) and s 144</w:t>
      </w:r>
      <w:r w:rsidR="00483513">
        <w:rPr>
          <w:rFonts w:ascii="Times New Roman" w:eastAsia="Calibri" w:hAnsi="Times New Roman" w:cs="Times New Roman"/>
          <w:color w:val="000000"/>
          <w:sz w:val="24"/>
          <w:szCs w:val="24"/>
        </w:rPr>
        <w:t xml:space="preserve"> (1)</w:t>
      </w:r>
      <w:r w:rsidR="00DD7D3A">
        <w:rPr>
          <w:rFonts w:ascii="Times New Roman" w:eastAsia="Calibri" w:hAnsi="Times New Roman" w:cs="Times New Roman"/>
          <w:color w:val="000000"/>
          <w:sz w:val="24"/>
          <w:szCs w:val="24"/>
        </w:rPr>
        <w:t xml:space="preserve"> and s 145</w:t>
      </w:r>
      <w:r w:rsidR="00483513">
        <w:rPr>
          <w:rFonts w:ascii="Times New Roman" w:eastAsia="Calibri" w:hAnsi="Times New Roman" w:cs="Times New Roman"/>
          <w:color w:val="000000"/>
          <w:sz w:val="24"/>
          <w:szCs w:val="24"/>
        </w:rPr>
        <w:t xml:space="preserve"> (2) </w:t>
      </w:r>
      <w:r w:rsidR="00DD7D3A">
        <w:rPr>
          <w:rFonts w:ascii="Times New Roman" w:eastAsia="Calibri" w:hAnsi="Times New Roman" w:cs="Times New Roman"/>
          <w:color w:val="000000"/>
          <w:sz w:val="24"/>
          <w:szCs w:val="24"/>
        </w:rPr>
        <w:t>of the Companies Act [</w:t>
      </w:r>
      <w:r w:rsidR="00DD7D3A" w:rsidRPr="00DD7D3A">
        <w:rPr>
          <w:rFonts w:ascii="Times New Roman" w:eastAsia="Calibri" w:hAnsi="Times New Roman" w:cs="Times New Roman"/>
          <w:i/>
          <w:color w:val="000000"/>
          <w:sz w:val="24"/>
          <w:szCs w:val="24"/>
        </w:rPr>
        <w:t>Chapter 24:03</w:t>
      </w:r>
      <w:r w:rsidR="00DD7D3A" w:rsidRPr="004E30D9">
        <w:rPr>
          <w:rFonts w:ascii="Times New Roman" w:eastAsia="Calibri" w:hAnsi="Times New Roman" w:cs="Times New Roman"/>
          <w:color w:val="000000"/>
          <w:sz w:val="24"/>
          <w:szCs w:val="24"/>
        </w:rPr>
        <w:t>]</w:t>
      </w:r>
      <w:r w:rsidR="00483513">
        <w:rPr>
          <w:rStyle w:val="FootnoteReference"/>
          <w:rFonts w:ascii="Times New Roman" w:eastAsia="Calibri" w:hAnsi="Times New Roman" w:cs="Times New Roman"/>
          <w:i/>
          <w:color w:val="000000"/>
          <w:sz w:val="24"/>
          <w:szCs w:val="24"/>
        </w:rPr>
        <w:footnoteReference w:id="11"/>
      </w:r>
      <w:r w:rsidR="00DD7D3A" w:rsidRPr="00DD7D3A">
        <w:rPr>
          <w:rFonts w:ascii="Times New Roman" w:eastAsia="Calibri" w:hAnsi="Times New Roman" w:cs="Times New Roman"/>
          <w:i/>
          <w:color w:val="000000"/>
          <w:sz w:val="24"/>
          <w:szCs w:val="24"/>
        </w:rPr>
        <w:t xml:space="preserve"> </w:t>
      </w:r>
      <w:r w:rsidR="00DD7D3A">
        <w:rPr>
          <w:rFonts w:ascii="Times New Roman" w:eastAsia="Calibri" w:hAnsi="Times New Roman" w:cs="Times New Roman"/>
          <w:color w:val="000000"/>
          <w:sz w:val="24"/>
          <w:szCs w:val="24"/>
        </w:rPr>
        <w:t>which categorically</w:t>
      </w:r>
      <w:r w:rsidR="00856F5A">
        <w:rPr>
          <w:rFonts w:ascii="Times New Roman" w:eastAsia="Calibri" w:hAnsi="Times New Roman" w:cs="Times New Roman"/>
          <w:color w:val="000000"/>
          <w:sz w:val="24"/>
          <w:szCs w:val="24"/>
        </w:rPr>
        <w:t xml:space="preserve"> equate the Group with</w:t>
      </w:r>
      <w:r w:rsidR="00705656">
        <w:rPr>
          <w:rFonts w:ascii="Times New Roman" w:eastAsia="Calibri" w:hAnsi="Times New Roman" w:cs="Times New Roman"/>
          <w:color w:val="000000"/>
          <w:sz w:val="24"/>
          <w:szCs w:val="24"/>
        </w:rPr>
        <w:t xml:space="preserve"> the</w:t>
      </w:r>
      <w:r w:rsidR="00DD7D3A">
        <w:rPr>
          <w:rFonts w:ascii="Times New Roman" w:eastAsia="Calibri" w:hAnsi="Times New Roman" w:cs="Times New Roman"/>
          <w:color w:val="000000"/>
          <w:sz w:val="24"/>
          <w:szCs w:val="24"/>
        </w:rPr>
        <w:t xml:space="preserve"> Holding Company.  </w:t>
      </w:r>
      <w:r w:rsidR="005B70E3">
        <w:rPr>
          <w:rFonts w:ascii="Times New Roman" w:eastAsia="Calibri" w:hAnsi="Times New Roman" w:cs="Times New Roman"/>
          <w:color w:val="000000"/>
          <w:sz w:val="24"/>
          <w:szCs w:val="24"/>
        </w:rPr>
        <w:t xml:space="preserve"> Sixthly</w:t>
      </w:r>
      <w:r w:rsidR="00D3270E">
        <w:rPr>
          <w:rFonts w:ascii="Times New Roman" w:eastAsia="Calibri" w:hAnsi="Times New Roman" w:cs="Times New Roman"/>
          <w:color w:val="000000"/>
          <w:sz w:val="24"/>
          <w:szCs w:val="24"/>
        </w:rPr>
        <w:t>, she portrayed the false impression that the arm’s length principle, which measures the conduct between related parties against that of independent parties in comparable transactions undertaken in comparable circumstances, was a progeny of paragraph 1.110 of the OECD TPGs, when in fact it is a common sense</w:t>
      </w:r>
      <w:r w:rsidR="00D747FB">
        <w:rPr>
          <w:rFonts w:ascii="Times New Roman" w:eastAsia="Calibri" w:hAnsi="Times New Roman" w:cs="Times New Roman"/>
          <w:color w:val="000000"/>
          <w:sz w:val="24"/>
          <w:szCs w:val="24"/>
        </w:rPr>
        <w:t xml:space="preserve"> </w:t>
      </w:r>
      <w:r w:rsidR="00D3270E">
        <w:rPr>
          <w:rFonts w:ascii="Times New Roman" w:eastAsia="Calibri" w:hAnsi="Times New Roman" w:cs="Times New Roman"/>
          <w:color w:val="000000"/>
          <w:sz w:val="24"/>
          <w:szCs w:val="24"/>
        </w:rPr>
        <w:t>based universal standard which predate</w:t>
      </w:r>
      <w:r w:rsidR="00E24D52">
        <w:rPr>
          <w:rFonts w:ascii="Times New Roman" w:eastAsia="Calibri" w:hAnsi="Times New Roman" w:cs="Times New Roman"/>
          <w:color w:val="000000"/>
          <w:sz w:val="24"/>
          <w:szCs w:val="24"/>
        </w:rPr>
        <w:t>d the promul</w:t>
      </w:r>
      <w:r w:rsidR="00A70D31">
        <w:rPr>
          <w:rFonts w:ascii="Times New Roman" w:eastAsia="Calibri" w:hAnsi="Times New Roman" w:cs="Times New Roman"/>
          <w:color w:val="000000"/>
          <w:sz w:val="24"/>
          <w:szCs w:val="24"/>
        </w:rPr>
        <w:t>gation of OECD TPGs</w:t>
      </w:r>
      <w:r w:rsidR="00E24D52">
        <w:rPr>
          <w:rFonts w:ascii="Times New Roman" w:eastAsia="Calibri" w:hAnsi="Times New Roman" w:cs="Times New Roman"/>
          <w:color w:val="000000"/>
          <w:sz w:val="24"/>
          <w:szCs w:val="24"/>
        </w:rPr>
        <w:t>.</w:t>
      </w:r>
      <w:r w:rsidR="00DF35B0">
        <w:rPr>
          <w:rFonts w:ascii="Times New Roman" w:eastAsia="Calibri" w:hAnsi="Times New Roman" w:cs="Times New Roman"/>
          <w:color w:val="000000"/>
          <w:sz w:val="24"/>
          <w:szCs w:val="24"/>
        </w:rPr>
        <w:t xml:space="preserve"> Seventhly</w:t>
      </w:r>
      <w:r w:rsidR="002A3185">
        <w:rPr>
          <w:rFonts w:ascii="Times New Roman" w:eastAsia="Calibri" w:hAnsi="Times New Roman" w:cs="Times New Roman"/>
          <w:color w:val="000000"/>
          <w:sz w:val="24"/>
          <w:szCs w:val="24"/>
        </w:rPr>
        <w:t xml:space="preserve">, her computations of management fees, recorded in exh 11 and based on the figures in exh 5, </w:t>
      </w:r>
      <w:r w:rsidR="002A3185" w:rsidRPr="002A3185">
        <w:rPr>
          <w:rFonts w:ascii="Times New Roman" w:eastAsia="Calibri" w:hAnsi="Times New Roman" w:cs="Times New Roman"/>
          <w:i/>
          <w:color w:val="000000"/>
          <w:sz w:val="24"/>
          <w:szCs w:val="24"/>
        </w:rPr>
        <w:t xml:space="preserve">inter alia, </w:t>
      </w:r>
      <w:r w:rsidR="002A3185">
        <w:rPr>
          <w:rFonts w:ascii="Times New Roman" w:eastAsia="Calibri" w:hAnsi="Times New Roman" w:cs="Times New Roman"/>
          <w:color w:val="000000"/>
          <w:sz w:val="24"/>
          <w:szCs w:val="24"/>
        </w:rPr>
        <w:t xml:space="preserve">showed that the flagship did not apply the much touted OEECD TPGs in levying management fees against the in country subsidiaries. </w:t>
      </w:r>
      <w:r w:rsidR="00542F20">
        <w:rPr>
          <w:rFonts w:ascii="Times New Roman" w:eastAsia="Calibri" w:hAnsi="Times New Roman" w:cs="Times New Roman"/>
          <w:color w:val="000000"/>
          <w:sz w:val="24"/>
          <w:szCs w:val="24"/>
        </w:rPr>
        <w:t>There was therefore no basis for applying these guidelines to the appellant in this appeal.</w:t>
      </w:r>
      <w:r w:rsidR="00D5110A">
        <w:rPr>
          <w:rFonts w:ascii="Times New Roman" w:eastAsia="Calibri" w:hAnsi="Times New Roman" w:cs="Times New Roman"/>
          <w:color w:val="000000"/>
          <w:sz w:val="24"/>
          <w:szCs w:val="24"/>
        </w:rPr>
        <w:t xml:space="preserve"> </w:t>
      </w:r>
      <w:r w:rsidR="00542F20">
        <w:rPr>
          <w:rFonts w:ascii="Times New Roman" w:eastAsia="Calibri" w:hAnsi="Times New Roman" w:cs="Times New Roman"/>
          <w:color w:val="000000"/>
          <w:sz w:val="24"/>
          <w:szCs w:val="24"/>
        </w:rPr>
        <w:t xml:space="preserve">Doing so would make this Court complicit in aiding the appellant circumvent the very mischief s 98 is designed to </w:t>
      </w:r>
      <w:r w:rsidR="002967A5">
        <w:rPr>
          <w:rFonts w:ascii="Times New Roman" w:eastAsia="Calibri" w:hAnsi="Times New Roman" w:cs="Times New Roman"/>
          <w:color w:val="000000"/>
          <w:sz w:val="24"/>
          <w:szCs w:val="24"/>
        </w:rPr>
        <w:t>guard against</w:t>
      </w:r>
      <w:r w:rsidR="00542F20">
        <w:rPr>
          <w:rFonts w:ascii="Times New Roman" w:eastAsia="Calibri" w:hAnsi="Times New Roman" w:cs="Times New Roman"/>
          <w:color w:val="000000"/>
          <w:sz w:val="24"/>
          <w:szCs w:val="24"/>
        </w:rPr>
        <w:t xml:space="preserve">. </w:t>
      </w:r>
      <w:r w:rsidR="00D5110A">
        <w:rPr>
          <w:rFonts w:ascii="Times New Roman" w:eastAsia="Calibri" w:hAnsi="Times New Roman" w:cs="Times New Roman"/>
          <w:color w:val="000000"/>
          <w:sz w:val="24"/>
          <w:szCs w:val="24"/>
        </w:rPr>
        <w:t>She could not dispute the further fact that management services provided by the group employees were not limited to maize sales only but to all income raising activities of the benefitting subsidiaries</w:t>
      </w:r>
      <w:r w:rsidR="005D2486">
        <w:rPr>
          <w:rFonts w:ascii="Times New Roman" w:eastAsia="Calibri" w:hAnsi="Times New Roman" w:cs="Times New Roman"/>
          <w:color w:val="000000"/>
          <w:sz w:val="24"/>
          <w:szCs w:val="24"/>
        </w:rPr>
        <w:t>.</w:t>
      </w:r>
      <w:r w:rsidR="00542F20">
        <w:rPr>
          <w:rFonts w:ascii="Times New Roman" w:eastAsia="Calibri" w:hAnsi="Times New Roman" w:cs="Times New Roman"/>
          <w:color w:val="000000"/>
          <w:sz w:val="24"/>
          <w:szCs w:val="24"/>
        </w:rPr>
        <w:t xml:space="preserve"> </w:t>
      </w:r>
    </w:p>
    <w:p w:rsidR="00A05553" w:rsidRDefault="00A52D73" w:rsidP="00D74E5A">
      <w:pPr>
        <w:tabs>
          <w:tab w:val="left" w:pos="720"/>
        </w:tabs>
        <w:spacing w:after="0" w:line="360"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ab/>
      </w:r>
      <w:r w:rsidR="00134BC8">
        <w:rPr>
          <w:rFonts w:ascii="Times New Roman" w:eastAsia="Calibri" w:hAnsi="Times New Roman" w:cs="Times New Roman"/>
          <w:color w:val="000000"/>
          <w:sz w:val="24"/>
          <w:szCs w:val="24"/>
        </w:rPr>
        <w:t xml:space="preserve">Lastly, Royaltystat agreements had detailed contractual arrangements on ownership rights over improvements </w:t>
      </w:r>
      <w:r w:rsidR="00A72C82">
        <w:rPr>
          <w:rFonts w:ascii="Times New Roman" w:eastAsia="Calibri" w:hAnsi="Times New Roman" w:cs="Times New Roman"/>
          <w:color w:val="000000"/>
          <w:sz w:val="24"/>
          <w:szCs w:val="24"/>
        </w:rPr>
        <w:t>derived from collaborative efforts with or solely by the licensee</w:t>
      </w:r>
      <w:r w:rsidR="00134BC8">
        <w:rPr>
          <w:rFonts w:ascii="Times New Roman" w:eastAsia="Calibri" w:hAnsi="Times New Roman" w:cs="Times New Roman"/>
          <w:color w:val="000000"/>
          <w:sz w:val="24"/>
          <w:szCs w:val="24"/>
        </w:rPr>
        <w:t xml:space="preserve">, the terms of which were hidden </w:t>
      </w:r>
      <w:r w:rsidR="007518A8">
        <w:rPr>
          <w:rFonts w:ascii="Times New Roman" w:eastAsia="Calibri" w:hAnsi="Times New Roman" w:cs="Times New Roman"/>
          <w:color w:val="000000"/>
          <w:sz w:val="24"/>
          <w:szCs w:val="24"/>
        </w:rPr>
        <w:t xml:space="preserve">from the respondent and this Court </w:t>
      </w:r>
      <w:r w:rsidR="00134BC8">
        <w:rPr>
          <w:rFonts w:ascii="Times New Roman" w:eastAsia="Calibri" w:hAnsi="Times New Roman" w:cs="Times New Roman"/>
          <w:color w:val="000000"/>
          <w:sz w:val="24"/>
          <w:szCs w:val="24"/>
        </w:rPr>
        <w:t>in the undisclosed agreements between the appellant and its subsidiaries.</w:t>
      </w:r>
      <w:r w:rsidR="00346925">
        <w:rPr>
          <w:rFonts w:ascii="Times New Roman" w:eastAsia="Calibri" w:hAnsi="Times New Roman" w:cs="Times New Roman"/>
          <w:color w:val="000000"/>
          <w:sz w:val="24"/>
          <w:szCs w:val="24"/>
        </w:rPr>
        <w:t xml:space="preserve"> In the </w:t>
      </w:r>
      <w:r w:rsidR="0002122B">
        <w:rPr>
          <w:rFonts w:ascii="Times New Roman" w:hAnsi="Times New Roman" w:cs="Times New Roman"/>
          <w:sz w:val="24"/>
          <w:szCs w:val="24"/>
        </w:rPr>
        <w:t>“Group Proposal to Review Transfer Pricing Framework” of 24 October 2013, t</w:t>
      </w:r>
      <w:r w:rsidR="00346925">
        <w:rPr>
          <w:rFonts w:ascii="Times New Roman" w:hAnsi="Times New Roman" w:cs="Times New Roman"/>
          <w:sz w:val="24"/>
          <w:szCs w:val="24"/>
        </w:rPr>
        <w:t>he in</w:t>
      </w:r>
      <w:r w:rsidR="008C09D6">
        <w:rPr>
          <w:rFonts w:ascii="Times New Roman" w:hAnsi="Times New Roman" w:cs="Times New Roman"/>
          <w:sz w:val="24"/>
          <w:szCs w:val="24"/>
        </w:rPr>
        <w:t>ternational transfer pricing consultant was availed</w:t>
      </w:r>
      <w:r w:rsidR="00346925">
        <w:rPr>
          <w:rFonts w:ascii="Times New Roman" w:hAnsi="Times New Roman" w:cs="Times New Roman"/>
          <w:sz w:val="24"/>
          <w:szCs w:val="24"/>
        </w:rPr>
        <w:t xml:space="preserve"> the Intergroup Transaction Framework, 3 flagship Management Fee Agreements, 2 Q Management Fee Agreements, 9 SCI Royalty Agreements, 13 Intercompany trading agreements, 7 Technical Fees Agreements of the flagship and 6 SCI Management Fee Agreements</w:t>
      </w:r>
      <w:r w:rsidR="0002122B">
        <w:rPr>
          <w:rFonts w:ascii="Times New Roman" w:hAnsi="Times New Roman" w:cs="Times New Roman"/>
          <w:sz w:val="24"/>
          <w:szCs w:val="24"/>
        </w:rPr>
        <w:t xml:space="preserve">, which JM no doubt </w:t>
      </w:r>
      <w:r w:rsidR="00AC4377">
        <w:rPr>
          <w:rFonts w:ascii="Times New Roman" w:hAnsi="Times New Roman" w:cs="Times New Roman"/>
          <w:sz w:val="24"/>
          <w:szCs w:val="24"/>
        </w:rPr>
        <w:lastRenderedPageBreak/>
        <w:t>“buried” from the prying eyes of</w:t>
      </w:r>
      <w:r w:rsidR="0002122B">
        <w:rPr>
          <w:rFonts w:ascii="Times New Roman" w:hAnsi="Times New Roman" w:cs="Times New Roman"/>
          <w:sz w:val="24"/>
          <w:szCs w:val="24"/>
        </w:rPr>
        <w:t xml:space="preserve"> both the respondent and this Court</w:t>
      </w:r>
      <w:r w:rsidR="00346925">
        <w:rPr>
          <w:rFonts w:ascii="Times New Roman" w:hAnsi="Times New Roman" w:cs="Times New Roman"/>
          <w:sz w:val="24"/>
          <w:szCs w:val="24"/>
        </w:rPr>
        <w:t>.</w:t>
      </w:r>
      <w:r w:rsidR="00A05553">
        <w:rPr>
          <w:rFonts w:ascii="Times New Roman" w:hAnsi="Times New Roman" w:cs="Times New Roman"/>
          <w:sz w:val="24"/>
          <w:szCs w:val="24"/>
        </w:rPr>
        <w:t xml:space="preserve"> In my assessment, she was a hired gun.</w:t>
      </w:r>
    </w:p>
    <w:p w:rsidR="00242947" w:rsidRDefault="00D74E5A" w:rsidP="00242947">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B70E3">
        <w:rPr>
          <w:rFonts w:ascii="Times New Roman" w:eastAsia="Calibri" w:hAnsi="Times New Roman" w:cs="Times New Roman"/>
          <w:color w:val="000000"/>
          <w:sz w:val="24"/>
          <w:szCs w:val="24"/>
        </w:rPr>
        <w:t xml:space="preserve">It was </w:t>
      </w:r>
      <w:r w:rsidR="00A05553">
        <w:rPr>
          <w:rFonts w:ascii="Times New Roman" w:eastAsia="Calibri" w:hAnsi="Times New Roman" w:cs="Times New Roman"/>
          <w:color w:val="000000"/>
          <w:sz w:val="24"/>
          <w:szCs w:val="24"/>
        </w:rPr>
        <w:t>common cause that the Commissioner</w:t>
      </w:r>
      <w:r w:rsidR="005B70E3">
        <w:rPr>
          <w:rFonts w:ascii="Times New Roman" w:eastAsia="Calibri" w:hAnsi="Times New Roman" w:cs="Times New Roman"/>
          <w:color w:val="000000"/>
          <w:sz w:val="24"/>
          <w:szCs w:val="24"/>
        </w:rPr>
        <w:t xml:space="preserve"> has an untrammelled discretion to compute royalties chargeable once all the jurisdictional facts in s 98 are met. Her discretion in this case was reinforced by the concession given by the appellant to utilize the template of the SCI-Malawi agreement. The totality of the evidence adduced by the appellant and especially from the scientist showed that the research referenced in that agreement denoted the manipulation of germplasm and propagation of initial hybrid seed from Zimbabwe, which had suitable research stations and not Botswana, which had no research station.</w:t>
      </w:r>
      <w:r w:rsidR="005B70E3">
        <w:rPr>
          <w:rStyle w:val="FootnoteReference"/>
          <w:rFonts w:ascii="Times New Roman" w:eastAsia="Calibri" w:hAnsi="Times New Roman" w:cs="Times New Roman"/>
          <w:color w:val="000000"/>
          <w:sz w:val="24"/>
          <w:szCs w:val="24"/>
        </w:rPr>
        <w:footnoteReference w:id="12"/>
      </w:r>
      <w:r w:rsidR="005B70E3" w:rsidRPr="00CD302C">
        <w:rPr>
          <w:rFonts w:ascii="Times New Roman" w:eastAsia="Calibri" w:hAnsi="Times New Roman" w:cs="Times New Roman"/>
          <w:color w:val="000000"/>
          <w:sz w:val="24"/>
          <w:szCs w:val="24"/>
        </w:rPr>
        <w:t xml:space="preserve"> </w:t>
      </w:r>
      <w:r w:rsidR="005B70E3">
        <w:rPr>
          <w:rFonts w:ascii="Times New Roman" w:eastAsia="Calibri" w:hAnsi="Times New Roman" w:cs="Times New Roman"/>
          <w:color w:val="000000"/>
          <w:sz w:val="24"/>
          <w:szCs w:val="24"/>
        </w:rPr>
        <w:t xml:space="preserve"> </w:t>
      </w:r>
    </w:p>
    <w:p w:rsidR="00AC438F" w:rsidRDefault="00242947" w:rsidP="00242947">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B2DA9">
        <w:rPr>
          <w:rFonts w:ascii="Times New Roman" w:eastAsia="Calibri" w:hAnsi="Times New Roman" w:cs="Times New Roman"/>
          <w:color w:val="000000"/>
          <w:sz w:val="24"/>
          <w:szCs w:val="24"/>
        </w:rPr>
        <w:t xml:space="preserve">In the present case, the underlying trademarks were fully developed. They consisted of the general trademark with the logo of the owner and distinct trademarks for specified hybrid seed varieties. The general logo was used by all the subsidiaries on all the seeds that they sold. Three of the four distinct trademarks were used on the hybrid seeds to which they related, which were sold in Kenya, Malawi, Tanzania, Zambia and Zimbabwe. </w:t>
      </w:r>
      <w:r w:rsidR="00913E49" w:rsidRPr="00587896">
        <w:rPr>
          <w:rFonts w:ascii="Times New Roman" w:hAnsi="Times New Roman" w:cs="Times New Roman"/>
          <w:sz w:val="24"/>
          <w:szCs w:val="24"/>
        </w:rPr>
        <w:t>The 2010 variety register shows th</w:t>
      </w:r>
      <w:r w:rsidR="00587896">
        <w:rPr>
          <w:rFonts w:ascii="Times New Roman" w:hAnsi="Times New Roman" w:cs="Times New Roman"/>
          <w:sz w:val="24"/>
          <w:szCs w:val="24"/>
        </w:rPr>
        <w:t xml:space="preserve">at the early maturity variety trade mark was purportedly registered under SCI </w:t>
      </w:r>
      <w:r w:rsidR="00913E49" w:rsidRPr="00587896">
        <w:rPr>
          <w:rFonts w:ascii="Times New Roman" w:hAnsi="Times New Roman" w:cs="Times New Roman"/>
          <w:sz w:val="24"/>
          <w:szCs w:val="24"/>
        </w:rPr>
        <w:t xml:space="preserve">in 2001 </w:t>
      </w:r>
      <w:r w:rsidR="00587896">
        <w:rPr>
          <w:rFonts w:ascii="Times New Roman" w:hAnsi="Times New Roman" w:cs="Times New Roman"/>
          <w:sz w:val="24"/>
          <w:szCs w:val="24"/>
        </w:rPr>
        <w:t>while</w:t>
      </w:r>
      <w:r w:rsidR="00913E49" w:rsidRPr="00587896">
        <w:rPr>
          <w:rFonts w:ascii="Times New Roman" w:hAnsi="Times New Roman" w:cs="Times New Roman"/>
          <w:sz w:val="24"/>
          <w:szCs w:val="24"/>
        </w:rPr>
        <w:t xml:space="preserve"> the two medium maturity </w:t>
      </w:r>
      <w:r w:rsidR="00587896">
        <w:rPr>
          <w:rFonts w:ascii="Times New Roman" w:hAnsi="Times New Roman" w:cs="Times New Roman"/>
          <w:sz w:val="24"/>
          <w:szCs w:val="24"/>
        </w:rPr>
        <w:t>varieties were purportedly registered</w:t>
      </w:r>
      <w:r w:rsidR="00913E49" w:rsidRPr="00587896">
        <w:rPr>
          <w:rFonts w:ascii="Times New Roman" w:hAnsi="Times New Roman" w:cs="Times New Roman"/>
          <w:sz w:val="24"/>
          <w:szCs w:val="24"/>
        </w:rPr>
        <w:t xml:space="preserve"> </w:t>
      </w:r>
      <w:r w:rsidR="008C09D6">
        <w:rPr>
          <w:rFonts w:ascii="Times New Roman" w:hAnsi="Times New Roman" w:cs="Times New Roman"/>
          <w:sz w:val="24"/>
          <w:szCs w:val="24"/>
        </w:rPr>
        <w:t xml:space="preserve">in </w:t>
      </w:r>
      <w:r w:rsidR="00913E49" w:rsidRPr="00587896">
        <w:rPr>
          <w:rFonts w:ascii="Times New Roman" w:hAnsi="Times New Roman" w:cs="Times New Roman"/>
          <w:sz w:val="24"/>
          <w:szCs w:val="24"/>
        </w:rPr>
        <w:t>1999</w:t>
      </w:r>
      <w:r w:rsidR="00460775" w:rsidRPr="00587896">
        <w:rPr>
          <w:rFonts w:ascii="Times New Roman" w:hAnsi="Times New Roman" w:cs="Times New Roman"/>
          <w:sz w:val="24"/>
          <w:szCs w:val="24"/>
        </w:rPr>
        <w:t xml:space="preserve">. </w:t>
      </w:r>
    </w:p>
    <w:p w:rsidR="00F30519" w:rsidRPr="00242947" w:rsidRDefault="00AB3C80" w:rsidP="00242947">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B2DA9">
        <w:rPr>
          <w:rFonts w:ascii="Times New Roman" w:eastAsia="Calibri" w:hAnsi="Times New Roman" w:cs="Times New Roman"/>
          <w:color w:val="000000"/>
          <w:sz w:val="24"/>
          <w:szCs w:val="24"/>
        </w:rPr>
        <w:t>The suggestion that these trademarks were either unknown in these countries or were popularised by the marketing efforts of the local subsidiaries was contr</w:t>
      </w:r>
      <w:r w:rsidR="00FA213C">
        <w:rPr>
          <w:rFonts w:ascii="Times New Roman" w:eastAsia="Calibri" w:hAnsi="Times New Roman" w:cs="Times New Roman"/>
          <w:color w:val="000000"/>
          <w:sz w:val="24"/>
          <w:szCs w:val="24"/>
        </w:rPr>
        <w:t>ary to the</w:t>
      </w:r>
      <w:r w:rsidR="00587896">
        <w:rPr>
          <w:rFonts w:ascii="Times New Roman" w:eastAsia="Calibri" w:hAnsi="Times New Roman" w:cs="Times New Roman"/>
          <w:color w:val="000000"/>
          <w:sz w:val="24"/>
          <w:szCs w:val="24"/>
        </w:rPr>
        <w:t xml:space="preserve"> available</w:t>
      </w:r>
      <w:r w:rsidR="00FA213C">
        <w:rPr>
          <w:rFonts w:ascii="Times New Roman" w:eastAsia="Calibri" w:hAnsi="Times New Roman" w:cs="Times New Roman"/>
          <w:color w:val="000000"/>
          <w:sz w:val="24"/>
          <w:szCs w:val="24"/>
        </w:rPr>
        <w:t xml:space="preserve"> documentary evidence. The appellant’s annual report for the financial year ended 29 February 2004, showed that the appellant was already selling the trademarked seed varieties in these countries. This was fur</w:t>
      </w:r>
      <w:r w:rsidR="00580966">
        <w:rPr>
          <w:rFonts w:ascii="Times New Roman" w:eastAsia="Calibri" w:hAnsi="Times New Roman" w:cs="Times New Roman"/>
          <w:color w:val="000000"/>
          <w:sz w:val="24"/>
          <w:szCs w:val="24"/>
        </w:rPr>
        <w:t xml:space="preserve">ther confirmed by the letter </w:t>
      </w:r>
      <w:r w:rsidR="00FA213C">
        <w:rPr>
          <w:rFonts w:ascii="Times New Roman" w:eastAsia="Calibri" w:hAnsi="Times New Roman" w:cs="Times New Roman"/>
          <w:color w:val="000000"/>
          <w:sz w:val="24"/>
          <w:szCs w:val="24"/>
        </w:rPr>
        <w:t xml:space="preserve">from the appellant’s tax consultant to the </w:t>
      </w:r>
      <w:r w:rsidR="00487F11">
        <w:rPr>
          <w:rFonts w:ascii="Times New Roman" w:eastAsia="Calibri" w:hAnsi="Times New Roman" w:cs="Times New Roman"/>
          <w:color w:val="000000"/>
          <w:sz w:val="24"/>
          <w:szCs w:val="24"/>
        </w:rPr>
        <w:t>case manager which categorically</w:t>
      </w:r>
      <w:r w:rsidR="00587896">
        <w:rPr>
          <w:rFonts w:ascii="Times New Roman" w:eastAsia="Calibri" w:hAnsi="Times New Roman" w:cs="Times New Roman"/>
          <w:color w:val="000000"/>
          <w:sz w:val="24"/>
          <w:szCs w:val="24"/>
        </w:rPr>
        <w:t xml:space="preserve"> stated that the appellant sold</w:t>
      </w:r>
      <w:r w:rsidR="00487F11">
        <w:rPr>
          <w:rFonts w:ascii="Times New Roman" w:eastAsia="Calibri" w:hAnsi="Times New Roman" w:cs="Times New Roman"/>
          <w:color w:val="000000"/>
          <w:sz w:val="24"/>
          <w:szCs w:val="24"/>
        </w:rPr>
        <w:t xml:space="preserve"> trademarked seeds i</w:t>
      </w:r>
      <w:r w:rsidR="00D520BF">
        <w:rPr>
          <w:rFonts w:ascii="Times New Roman" w:eastAsia="Calibri" w:hAnsi="Times New Roman" w:cs="Times New Roman"/>
          <w:color w:val="000000"/>
          <w:sz w:val="24"/>
          <w:szCs w:val="24"/>
        </w:rPr>
        <w:t>n these countries</w:t>
      </w:r>
      <w:r w:rsidR="00580966">
        <w:rPr>
          <w:rStyle w:val="FootnoteReference"/>
          <w:rFonts w:ascii="Times New Roman" w:eastAsia="Calibri" w:hAnsi="Times New Roman" w:cs="Times New Roman"/>
          <w:color w:val="000000"/>
          <w:sz w:val="24"/>
          <w:szCs w:val="24"/>
        </w:rPr>
        <w:footnoteReference w:id="13"/>
      </w:r>
      <w:r w:rsidR="00D520BF">
        <w:rPr>
          <w:rFonts w:ascii="Times New Roman" w:eastAsia="Calibri" w:hAnsi="Times New Roman" w:cs="Times New Roman"/>
          <w:color w:val="000000"/>
          <w:sz w:val="24"/>
          <w:szCs w:val="24"/>
        </w:rPr>
        <w:t>. And again</w:t>
      </w:r>
      <w:r w:rsidR="00C35A10">
        <w:rPr>
          <w:rFonts w:ascii="Times New Roman" w:eastAsia="Calibri" w:hAnsi="Times New Roman" w:cs="Times New Roman"/>
          <w:color w:val="000000"/>
          <w:sz w:val="24"/>
          <w:szCs w:val="24"/>
        </w:rPr>
        <w:t xml:space="preserve"> reinforc</w:t>
      </w:r>
      <w:r w:rsidR="00487F11">
        <w:rPr>
          <w:rFonts w:ascii="Times New Roman" w:eastAsia="Calibri" w:hAnsi="Times New Roman" w:cs="Times New Roman"/>
          <w:color w:val="000000"/>
          <w:sz w:val="24"/>
          <w:szCs w:val="24"/>
        </w:rPr>
        <w:t xml:space="preserve">ed by the attempted simultaneous assignments of the trademarks made by the appellant to the flagship and the flagship to SCI purportedly on 1 April 2005. This was consistent with the appellant’s desire to create SCI, already in business since 2000, as its major special purpose vehicle for consolidating existing </w:t>
      </w:r>
      <w:r w:rsidR="00D73D42">
        <w:rPr>
          <w:rFonts w:ascii="Times New Roman" w:eastAsia="Calibri" w:hAnsi="Times New Roman" w:cs="Times New Roman"/>
          <w:color w:val="000000"/>
          <w:sz w:val="24"/>
          <w:szCs w:val="24"/>
        </w:rPr>
        <w:t xml:space="preserve">and opening new markets through the use of existing trademarks and the development of new ones, in Africa, outside Zimbabwe. So at the time of </w:t>
      </w:r>
      <w:r w:rsidR="00587896">
        <w:rPr>
          <w:rFonts w:ascii="Times New Roman" w:eastAsia="Calibri" w:hAnsi="Times New Roman" w:cs="Times New Roman"/>
          <w:color w:val="000000"/>
          <w:sz w:val="24"/>
          <w:szCs w:val="24"/>
        </w:rPr>
        <w:t>the 2005 reorganisation,</w:t>
      </w:r>
      <w:r w:rsidR="00D73D42">
        <w:rPr>
          <w:rFonts w:ascii="Times New Roman" w:eastAsia="Calibri" w:hAnsi="Times New Roman" w:cs="Times New Roman"/>
          <w:color w:val="000000"/>
          <w:sz w:val="24"/>
          <w:szCs w:val="24"/>
        </w:rPr>
        <w:t xml:space="preserve"> these trademarks and the products to wh</w:t>
      </w:r>
      <w:r w:rsidR="00C726FA">
        <w:rPr>
          <w:rFonts w:ascii="Times New Roman" w:eastAsia="Calibri" w:hAnsi="Times New Roman" w:cs="Times New Roman"/>
          <w:color w:val="000000"/>
          <w:sz w:val="24"/>
          <w:szCs w:val="24"/>
        </w:rPr>
        <w:t>ich they related were known and</w:t>
      </w:r>
      <w:r w:rsidR="00FA213C">
        <w:rPr>
          <w:rFonts w:ascii="Times New Roman" w:eastAsia="Calibri" w:hAnsi="Times New Roman" w:cs="Times New Roman"/>
          <w:color w:val="000000"/>
          <w:sz w:val="24"/>
          <w:szCs w:val="24"/>
        </w:rPr>
        <w:t xml:space="preserve"> sold in these markets.</w:t>
      </w:r>
      <w:r w:rsidR="00DF2FFA">
        <w:rPr>
          <w:rFonts w:ascii="Times New Roman" w:eastAsia="Calibri" w:hAnsi="Times New Roman" w:cs="Times New Roman"/>
          <w:color w:val="000000"/>
          <w:sz w:val="24"/>
          <w:szCs w:val="24"/>
        </w:rPr>
        <w:t xml:space="preserve"> The development, enhancement, maintenance, protection and exploitation functions of the trademarks had long been effected by the appellant before the </w:t>
      </w:r>
      <w:r w:rsidR="00587896">
        <w:rPr>
          <w:rFonts w:ascii="Times New Roman" w:eastAsia="Calibri" w:hAnsi="Times New Roman" w:cs="Times New Roman"/>
          <w:color w:val="000000"/>
          <w:sz w:val="24"/>
          <w:szCs w:val="24"/>
        </w:rPr>
        <w:t>reorganisation</w:t>
      </w:r>
      <w:r w:rsidR="00DF2FFA">
        <w:rPr>
          <w:rFonts w:ascii="Times New Roman" w:eastAsia="Calibri" w:hAnsi="Times New Roman" w:cs="Times New Roman"/>
          <w:color w:val="000000"/>
          <w:sz w:val="24"/>
          <w:szCs w:val="24"/>
        </w:rPr>
        <w:t xml:space="preserve"> exercise. </w:t>
      </w:r>
      <w:r w:rsidR="00701C61">
        <w:rPr>
          <w:rFonts w:ascii="Times New Roman" w:eastAsia="Calibri" w:hAnsi="Times New Roman" w:cs="Times New Roman"/>
          <w:color w:val="000000"/>
          <w:sz w:val="24"/>
          <w:szCs w:val="24"/>
        </w:rPr>
        <w:t xml:space="preserve">There was no basis for the products which were already on </w:t>
      </w:r>
      <w:r w:rsidR="00701C61">
        <w:rPr>
          <w:rFonts w:ascii="Times New Roman" w:eastAsia="Calibri" w:hAnsi="Times New Roman" w:cs="Times New Roman"/>
          <w:color w:val="000000"/>
          <w:sz w:val="24"/>
          <w:szCs w:val="24"/>
        </w:rPr>
        <w:lastRenderedPageBreak/>
        <w:t>sale to undergo new trials and testing as suggested by all the witnesses called by the appellant.</w:t>
      </w:r>
      <w:r w:rsidR="00DF2FFA">
        <w:rPr>
          <w:rFonts w:ascii="Times New Roman" w:eastAsia="Calibri" w:hAnsi="Times New Roman" w:cs="Times New Roman"/>
          <w:color w:val="000000"/>
          <w:sz w:val="24"/>
          <w:szCs w:val="24"/>
        </w:rPr>
        <w:t xml:space="preserve"> </w:t>
      </w:r>
      <w:r w:rsidR="004C375D">
        <w:rPr>
          <w:rFonts w:ascii="Times New Roman" w:eastAsia="Calibri" w:hAnsi="Times New Roman" w:cs="Times New Roman"/>
          <w:color w:val="000000"/>
          <w:sz w:val="24"/>
          <w:szCs w:val="24"/>
        </w:rPr>
        <w:t>The</w:t>
      </w:r>
      <w:r w:rsidR="00701C61">
        <w:rPr>
          <w:rFonts w:ascii="Times New Roman" w:eastAsia="Calibri" w:hAnsi="Times New Roman" w:cs="Times New Roman"/>
          <w:color w:val="000000"/>
          <w:sz w:val="24"/>
          <w:szCs w:val="24"/>
        </w:rPr>
        <w:t xml:space="preserve"> evidence </w:t>
      </w:r>
      <w:r w:rsidR="004C375D">
        <w:rPr>
          <w:rFonts w:ascii="Times New Roman" w:eastAsia="Calibri" w:hAnsi="Times New Roman" w:cs="Times New Roman"/>
          <w:color w:val="000000"/>
          <w:sz w:val="24"/>
          <w:szCs w:val="24"/>
        </w:rPr>
        <w:t xml:space="preserve">of the appellant’s witnesses </w:t>
      </w:r>
      <w:r w:rsidR="00701C61">
        <w:rPr>
          <w:rFonts w:ascii="Times New Roman" w:eastAsia="Calibri" w:hAnsi="Times New Roman" w:cs="Times New Roman"/>
          <w:color w:val="000000"/>
          <w:sz w:val="24"/>
          <w:szCs w:val="24"/>
        </w:rPr>
        <w:t xml:space="preserve">related to new trademarks and their related plant </w:t>
      </w:r>
      <w:r w:rsidR="00B100BE">
        <w:rPr>
          <w:rFonts w:ascii="Times New Roman" w:eastAsia="Calibri" w:hAnsi="Times New Roman" w:cs="Times New Roman"/>
          <w:color w:val="000000"/>
          <w:sz w:val="24"/>
          <w:szCs w:val="24"/>
        </w:rPr>
        <w:t>breeders’</w:t>
      </w:r>
      <w:r w:rsidR="00613354">
        <w:rPr>
          <w:rFonts w:ascii="Times New Roman" w:eastAsia="Calibri" w:hAnsi="Times New Roman" w:cs="Times New Roman"/>
          <w:color w:val="000000"/>
          <w:sz w:val="24"/>
          <w:szCs w:val="24"/>
        </w:rPr>
        <w:t xml:space="preserve"> rights</w:t>
      </w:r>
      <w:r w:rsidR="00397E79">
        <w:rPr>
          <w:rFonts w:ascii="Times New Roman" w:eastAsia="Calibri" w:hAnsi="Times New Roman" w:cs="Times New Roman"/>
          <w:color w:val="000000"/>
          <w:sz w:val="24"/>
          <w:szCs w:val="24"/>
        </w:rPr>
        <w:t xml:space="preserve"> or </w:t>
      </w:r>
      <w:r w:rsidR="001A46A0">
        <w:rPr>
          <w:rFonts w:ascii="Times New Roman" w:eastAsia="Calibri" w:hAnsi="Times New Roman" w:cs="Times New Roman"/>
          <w:color w:val="000000"/>
          <w:sz w:val="24"/>
          <w:szCs w:val="24"/>
        </w:rPr>
        <w:t>plant intangibles</w:t>
      </w:r>
      <w:r w:rsidR="00613354">
        <w:rPr>
          <w:rFonts w:ascii="Times New Roman" w:eastAsia="Calibri" w:hAnsi="Times New Roman" w:cs="Times New Roman"/>
          <w:color w:val="000000"/>
          <w:sz w:val="24"/>
          <w:szCs w:val="24"/>
        </w:rPr>
        <w:t xml:space="preserve"> and not the trademarks we are</w:t>
      </w:r>
      <w:r w:rsidR="00C44315">
        <w:rPr>
          <w:rFonts w:ascii="Times New Roman" w:eastAsia="Calibri" w:hAnsi="Times New Roman" w:cs="Times New Roman"/>
          <w:color w:val="000000"/>
          <w:sz w:val="24"/>
          <w:szCs w:val="24"/>
        </w:rPr>
        <w:t xml:space="preserve"> </w:t>
      </w:r>
      <w:r w:rsidR="00C44315" w:rsidRPr="00F30519">
        <w:rPr>
          <w:rFonts w:ascii="Times New Roman" w:eastAsia="Calibri" w:hAnsi="Times New Roman" w:cs="Times New Roman"/>
          <w:color w:val="000000"/>
          <w:sz w:val="24"/>
          <w:szCs w:val="24"/>
        </w:rPr>
        <w:t>concerned with in this appeal</w:t>
      </w:r>
      <w:r w:rsidR="004D5F73">
        <w:rPr>
          <w:rFonts w:ascii="Times New Roman" w:eastAsia="Calibri" w:hAnsi="Times New Roman" w:cs="Times New Roman"/>
          <w:color w:val="000000"/>
          <w:sz w:val="24"/>
          <w:szCs w:val="24"/>
        </w:rPr>
        <w:t>, other than the general trademark</w:t>
      </w:r>
      <w:r w:rsidR="00397E79">
        <w:rPr>
          <w:rFonts w:ascii="Times New Roman" w:eastAsia="Calibri" w:hAnsi="Times New Roman" w:cs="Times New Roman"/>
          <w:color w:val="000000"/>
          <w:sz w:val="24"/>
          <w:szCs w:val="24"/>
        </w:rPr>
        <w:t>, which attaches to all varieties, new and old as the signature mark of the appellant</w:t>
      </w:r>
      <w:r w:rsidR="004D5F73">
        <w:rPr>
          <w:rFonts w:ascii="Times New Roman" w:eastAsia="Calibri" w:hAnsi="Times New Roman" w:cs="Times New Roman"/>
          <w:color w:val="000000"/>
          <w:sz w:val="24"/>
          <w:szCs w:val="24"/>
        </w:rPr>
        <w:t xml:space="preserve">. </w:t>
      </w:r>
    </w:p>
    <w:p w:rsidR="00AB4D22" w:rsidRPr="005D2486" w:rsidRDefault="00AB4D22" w:rsidP="00360871">
      <w:pPr>
        <w:tabs>
          <w:tab w:val="left" w:pos="2160"/>
        </w:tabs>
        <w:spacing w:before="240" w:beforeAutospacing="1" w:line="240" w:lineRule="auto"/>
        <w:jc w:val="both"/>
        <w:rPr>
          <w:rFonts w:ascii="Times New Roman" w:eastAsia="Calibri" w:hAnsi="Times New Roman" w:cs="Times New Roman"/>
          <w:i/>
          <w:color w:val="000000"/>
          <w:sz w:val="24"/>
          <w:szCs w:val="24"/>
        </w:rPr>
      </w:pPr>
      <w:r w:rsidRPr="005D2486">
        <w:rPr>
          <w:rFonts w:ascii="Times New Roman" w:eastAsia="Calibri" w:hAnsi="Times New Roman" w:cs="Times New Roman"/>
          <w:i/>
          <w:color w:val="000000"/>
          <w:sz w:val="24"/>
          <w:szCs w:val="24"/>
        </w:rPr>
        <w:t xml:space="preserve">The Chief Investigations Officer. </w:t>
      </w:r>
    </w:p>
    <w:p w:rsidR="00234699" w:rsidRPr="00B16AA8" w:rsidRDefault="00AB4D22" w:rsidP="00B16AA8">
      <w:pPr>
        <w:tabs>
          <w:tab w:val="left" w:pos="2160"/>
        </w:tabs>
        <w:spacing w:after="0" w:line="360" w:lineRule="auto"/>
        <w:jc w:val="both"/>
        <w:rPr>
          <w:rFonts w:ascii="Times New Roman" w:eastAsia="Calibri" w:hAnsi="Times New Roman" w:cs="Times New Roman"/>
          <w:color w:val="000000"/>
          <w:sz w:val="24"/>
          <w:szCs w:val="24"/>
        </w:rPr>
      </w:pPr>
      <w:r w:rsidRPr="00B16AA8">
        <w:rPr>
          <w:rFonts w:ascii="Times New Roman" w:eastAsia="Calibri" w:hAnsi="Times New Roman" w:cs="Times New Roman"/>
          <w:color w:val="000000"/>
          <w:sz w:val="24"/>
          <w:szCs w:val="24"/>
        </w:rPr>
        <w:t xml:space="preserve">He was the point man of the respondent in the interactions with the appellant. He made the key decisions which led to the invocation of s 98 and the imputation of the taxable income </w:t>
      </w:r>
      <w:r w:rsidR="008C3551" w:rsidRPr="00B16AA8">
        <w:rPr>
          <w:rFonts w:ascii="Times New Roman" w:eastAsia="Calibri" w:hAnsi="Times New Roman" w:cs="Times New Roman"/>
          <w:color w:val="000000"/>
          <w:sz w:val="24"/>
          <w:szCs w:val="24"/>
        </w:rPr>
        <w:t xml:space="preserve">from management fees and royalties </w:t>
      </w:r>
      <w:r w:rsidRPr="00B16AA8">
        <w:rPr>
          <w:rFonts w:ascii="Times New Roman" w:eastAsia="Calibri" w:hAnsi="Times New Roman" w:cs="Times New Roman"/>
          <w:color w:val="000000"/>
          <w:sz w:val="24"/>
          <w:szCs w:val="24"/>
        </w:rPr>
        <w:t xml:space="preserve">to the appellant. </w:t>
      </w:r>
      <w:r w:rsidR="006152F0" w:rsidRPr="00B16AA8">
        <w:rPr>
          <w:rFonts w:ascii="Times New Roman" w:eastAsia="Calibri" w:hAnsi="Times New Roman" w:cs="Times New Roman"/>
          <w:color w:val="000000"/>
          <w:sz w:val="24"/>
          <w:szCs w:val="24"/>
        </w:rPr>
        <w:t>He confirmed that i</w:t>
      </w:r>
      <w:r w:rsidR="00C347B4" w:rsidRPr="00B16AA8">
        <w:rPr>
          <w:rFonts w:ascii="Times New Roman" w:eastAsia="Calibri" w:hAnsi="Times New Roman" w:cs="Times New Roman"/>
          <w:color w:val="000000"/>
          <w:sz w:val="24"/>
          <w:szCs w:val="24"/>
        </w:rPr>
        <w:t xml:space="preserve">n minuted discussions, correspondence and official documents </w:t>
      </w:r>
      <w:r w:rsidR="006152F0" w:rsidRPr="00B16AA8">
        <w:rPr>
          <w:rFonts w:ascii="Times New Roman" w:eastAsia="Calibri" w:hAnsi="Times New Roman" w:cs="Times New Roman"/>
          <w:color w:val="000000"/>
          <w:sz w:val="24"/>
          <w:szCs w:val="24"/>
        </w:rPr>
        <w:t xml:space="preserve">between the parties, </w:t>
      </w:r>
      <w:r w:rsidR="00C347B4" w:rsidRPr="00B16AA8">
        <w:rPr>
          <w:rFonts w:ascii="Times New Roman" w:eastAsia="Calibri" w:hAnsi="Times New Roman" w:cs="Times New Roman"/>
          <w:color w:val="000000"/>
          <w:sz w:val="24"/>
          <w:szCs w:val="24"/>
        </w:rPr>
        <w:t>the app</w:t>
      </w:r>
      <w:r w:rsidR="006152F0" w:rsidRPr="00B16AA8">
        <w:rPr>
          <w:rFonts w:ascii="Times New Roman" w:eastAsia="Calibri" w:hAnsi="Times New Roman" w:cs="Times New Roman"/>
          <w:color w:val="000000"/>
          <w:sz w:val="24"/>
          <w:szCs w:val="24"/>
        </w:rPr>
        <w:t xml:space="preserve">ellant referred to the </w:t>
      </w:r>
      <w:r w:rsidR="00C347B4" w:rsidRPr="00B16AA8">
        <w:rPr>
          <w:rFonts w:ascii="Times New Roman" w:eastAsia="Calibri" w:hAnsi="Times New Roman" w:cs="Times New Roman"/>
          <w:color w:val="000000"/>
          <w:sz w:val="24"/>
          <w:szCs w:val="24"/>
        </w:rPr>
        <w:t xml:space="preserve">research fees </w:t>
      </w:r>
      <w:r w:rsidR="006152F0" w:rsidRPr="00B16AA8">
        <w:rPr>
          <w:rFonts w:ascii="Times New Roman" w:eastAsia="Calibri" w:hAnsi="Times New Roman" w:cs="Times New Roman"/>
          <w:color w:val="000000"/>
          <w:sz w:val="24"/>
          <w:szCs w:val="24"/>
        </w:rPr>
        <w:t>in the SCI-Malawi agreement which covered</w:t>
      </w:r>
      <w:r w:rsidR="00C347B4" w:rsidRPr="00B16AA8">
        <w:rPr>
          <w:rFonts w:ascii="Times New Roman" w:eastAsia="Calibri" w:hAnsi="Times New Roman" w:cs="Times New Roman"/>
          <w:color w:val="000000"/>
          <w:sz w:val="24"/>
          <w:szCs w:val="24"/>
        </w:rPr>
        <w:t xml:space="preserve"> research, development, trials, testing, registration of plant breeder rights and marketing of the res</w:t>
      </w:r>
      <w:r w:rsidR="006152F0" w:rsidRPr="00B16AA8">
        <w:rPr>
          <w:rFonts w:ascii="Times New Roman" w:eastAsia="Calibri" w:hAnsi="Times New Roman" w:cs="Times New Roman"/>
          <w:color w:val="000000"/>
          <w:sz w:val="24"/>
          <w:szCs w:val="24"/>
        </w:rPr>
        <w:t xml:space="preserve">ultant hybrid seed varieties </w:t>
      </w:r>
      <w:r w:rsidR="00C347B4" w:rsidRPr="00B16AA8">
        <w:rPr>
          <w:rFonts w:ascii="Times New Roman" w:eastAsia="Calibri" w:hAnsi="Times New Roman" w:cs="Times New Roman"/>
          <w:color w:val="000000"/>
          <w:sz w:val="24"/>
          <w:szCs w:val="24"/>
        </w:rPr>
        <w:t xml:space="preserve">during the first 3 to 4 years </w:t>
      </w:r>
      <w:r w:rsidR="006152F0" w:rsidRPr="00B16AA8">
        <w:rPr>
          <w:rFonts w:ascii="Times New Roman" w:eastAsia="Calibri" w:hAnsi="Times New Roman" w:cs="Times New Roman"/>
          <w:color w:val="000000"/>
          <w:sz w:val="24"/>
          <w:szCs w:val="24"/>
        </w:rPr>
        <w:t xml:space="preserve">performed in conjunction with the subsidiaries </w:t>
      </w:r>
      <w:r w:rsidR="00B70FA3" w:rsidRPr="00B16AA8">
        <w:rPr>
          <w:rFonts w:ascii="Times New Roman" w:eastAsia="Calibri" w:hAnsi="Times New Roman" w:cs="Times New Roman"/>
          <w:color w:val="000000"/>
          <w:sz w:val="24"/>
          <w:szCs w:val="24"/>
        </w:rPr>
        <w:t>as royalties.  In other correspondence</w:t>
      </w:r>
      <w:r w:rsidR="006152F0" w:rsidRPr="00B16AA8">
        <w:rPr>
          <w:rFonts w:ascii="Times New Roman" w:eastAsia="Calibri" w:hAnsi="Times New Roman" w:cs="Times New Roman"/>
          <w:color w:val="000000"/>
          <w:sz w:val="24"/>
          <w:szCs w:val="24"/>
        </w:rPr>
        <w:t>, the appellant disputed the accrual of royalties to SCI from the five trademarks in question maintaining that royalties were not chargeable for the use of trademar</w:t>
      </w:r>
      <w:r w:rsidR="00BF619A" w:rsidRPr="00B16AA8">
        <w:rPr>
          <w:rFonts w:ascii="Times New Roman" w:eastAsia="Calibri" w:hAnsi="Times New Roman" w:cs="Times New Roman"/>
          <w:color w:val="000000"/>
          <w:sz w:val="24"/>
          <w:szCs w:val="24"/>
        </w:rPr>
        <w:t xml:space="preserve">ks in the seed hybrid industry. </w:t>
      </w:r>
      <w:r w:rsidR="000E70A5" w:rsidRPr="00B16AA8">
        <w:rPr>
          <w:rFonts w:ascii="Times New Roman" w:eastAsia="Calibri" w:hAnsi="Times New Roman" w:cs="Times New Roman"/>
          <w:color w:val="000000"/>
          <w:sz w:val="24"/>
          <w:szCs w:val="24"/>
        </w:rPr>
        <w:t>The essence of his testimony was that the Commissioner repositioned and corrected the flow of management fees and royalty income to the appellant, to whom such income accrued before it was diverted to the flagship and SCI, respectively. The computations based on the average profit before tax as opposed to 2% of group turnover resulted in additional accrual of US$ 665 724 instead of US$ 1 539 807.06.</w:t>
      </w:r>
    </w:p>
    <w:p w:rsidR="00321E03" w:rsidRPr="00B16AA8" w:rsidRDefault="00B16AA8" w:rsidP="00B16AA8">
      <w:pPr>
        <w:tabs>
          <w:tab w:val="left" w:pos="720"/>
        </w:tabs>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321E03" w:rsidRPr="00B16AA8">
        <w:rPr>
          <w:rFonts w:ascii="Times New Roman" w:eastAsia="Calibri" w:hAnsi="Times New Roman" w:cs="Times New Roman"/>
          <w:color w:val="000000"/>
          <w:sz w:val="24"/>
          <w:szCs w:val="24"/>
        </w:rPr>
        <w:t xml:space="preserve">The Chief Investigation Officer’s testimony was factual. </w:t>
      </w:r>
      <w:r w:rsidR="0040667E" w:rsidRPr="00B16AA8">
        <w:rPr>
          <w:rFonts w:ascii="Times New Roman" w:eastAsia="Calibri" w:hAnsi="Times New Roman" w:cs="Times New Roman"/>
          <w:color w:val="000000"/>
          <w:sz w:val="24"/>
          <w:szCs w:val="24"/>
        </w:rPr>
        <w:t xml:space="preserve">It was supported by the documentary evidence at hand. </w:t>
      </w:r>
      <w:r w:rsidR="00C35A10">
        <w:rPr>
          <w:rFonts w:ascii="Times New Roman" w:eastAsia="Calibri" w:hAnsi="Times New Roman" w:cs="Times New Roman"/>
          <w:color w:val="000000"/>
          <w:sz w:val="24"/>
          <w:szCs w:val="24"/>
        </w:rPr>
        <w:t>It was not discredited</w:t>
      </w:r>
      <w:r w:rsidR="00321E03" w:rsidRPr="00B16AA8">
        <w:rPr>
          <w:rFonts w:ascii="Times New Roman" w:eastAsia="Calibri" w:hAnsi="Times New Roman" w:cs="Times New Roman"/>
          <w:color w:val="000000"/>
          <w:sz w:val="24"/>
          <w:szCs w:val="24"/>
        </w:rPr>
        <w:t xml:space="preserve"> during cross examination. I </w:t>
      </w:r>
      <w:r w:rsidR="0040667E" w:rsidRPr="00B16AA8">
        <w:rPr>
          <w:rFonts w:ascii="Times New Roman" w:eastAsia="Calibri" w:hAnsi="Times New Roman" w:cs="Times New Roman"/>
          <w:color w:val="000000"/>
          <w:sz w:val="24"/>
          <w:szCs w:val="24"/>
        </w:rPr>
        <w:t>accept</w:t>
      </w:r>
      <w:r w:rsidR="00321E03" w:rsidRPr="00B16AA8">
        <w:rPr>
          <w:rFonts w:ascii="Times New Roman" w:eastAsia="Calibri" w:hAnsi="Times New Roman" w:cs="Times New Roman"/>
          <w:color w:val="000000"/>
          <w:sz w:val="24"/>
          <w:szCs w:val="24"/>
        </w:rPr>
        <w:t xml:space="preserve"> it as the truth of what transpired during his interactions with the appellant.</w:t>
      </w:r>
    </w:p>
    <w:p w:rsidR="0064474F" w:rsidRPr="00B16AA8" w:rsidRDefault="0064474F" w:rsidP="00B16AA8">
      <w:pPr>
        <w:spacing w:after="0" w:line="360" w:lineRule="auto"/>
        <w:jc w:val="both"/>
        <w:rPr>
          <w:rFonts w:ascii="Times New Roman" w:hAnsi="Times New Roman" w:cs="Times New Roman"/>
          <w:b/>
          <w:sz w:val="24"/>
          <w:szCs w:val="24"/>
        </w:rPr>
      </w:pPr>
      <w:r w:rsidRPr="00B16AA8">
        <w:rPr>
          <w:rFonts w:ascii="Times New Roman" w:hAnsi="Times New Roman" w:cs="Times New Roman"/>
          <w:b/>
          <w:sz w:val="24"/>
          <w:szCs w:val="24"/>
        </w:rPr>
        <w:t>The application of OECD TPGs in Zimbabwe.</w:t>
      </w:r>
    </w:p>
    <w:p w:rsidR="0088756F" w:rsidRPr="00B16AA8" w:rsidRDefault="0088756F" w:rsidP="00B16AA8">
      <w:pPr>
        <w:spacing w:after="0" w:line="360" w:lineRule="auto"/>
        <w:ind w:firstLine="720"/>
        <w:jc w:val="both"/>
        <w:rPr>
          <w:rFonts w:ascii="Times New Roman" w:hAnsi="Times New Roman" w:cs="Times New Roman"/>
          <w:b/>
          <w:sz w:val="24"/>
          <w:szCs w:val="24"/>
        </w:rPr>
      </w:pPr>
      <w:r w:rsidRPr="00B16AA8">
        <w:rPr>
          <w:rFonts w:ascii="Times New Roman" w:hAnsi="Times New Roman" w:cs="Times New Roman"/>
          <w:sz w:val="24"/>
          <w:szCs w:val="24"/>
        </w:rPr>
        <w:t xml:space="preserve">It was common cause that OECD TPGs were not legislated in Zimbabwe at the time the assessments were raised. The appellant established that at the time of the assessments the guidelines had been adopted by 34 members of the </w:t>
      </w:r>
      <w:r w:rsidR="00ED7465" w:rsidRPr="00B16AA8">
        <w:rPr>
          <w:rFonts w:ascii="Times New Roman" w:hAnsi="Times New Roman" w:cs="Times New Roman"/>
          <w:sz w:val="24"/>
          <w:szCs w:val="24"/>
        </w:rPr>
        <w:t xml:space="preserve">OECD, </w:t>
      </w:r>
      <w:r w:rsidRPr="00B16AA8">
        <w:rPr>
          <w:rFonts w:ascii="Times New Roman" w:hAnsi="Times New Roman" w:cs="Times New Roman"/>
          <w:sz w:val="24"/>
          <w:szCs w:val="24"/>
        </w:rPr>
        <w:t>legislated by only 11 African countries</w:t>
      </w:r>
      <w:r w:rsidR="00ED7465" w:rsidRPr="00B16AA8">
        <w:rPr>
          <w:rFonts w:ascii="Times New Roman" w:hAnsi="Times New Roman" w:cs="Times New Roman"/>
          <w:sz w:val="24"/>
          <w:szCs w:val="24"/>
        </w:rPr>
        <w:t xml:space="preserve"> and po</w:t>
      </w:r>
      <w:r w:rsidR="00476A4C" w:rsidRPr="00B16AA8">
        <w:rPr>
          <w:rFonts w:ascii="Times New Roman" w:hAnsi="Times New Roman" w:cs="Times New Roman"/>
          <w:sz w:val="24"/>
          <w:szCs w:val="24"/>
        </w:rPr>
        <w:t>ssibly applied by a total of 85</w:t>
      </w:r>
      <w:r w:rsidR="00ED7465" w:rsidRPr="00B16AA8">
        <w:rPr>
          <w:rFonts w:ascii="Times New Roman" w:hAnsi="Times New Roman" w:cs="Times New Roman"/>
          <w:sz w:val="24"/>
          <w:szCs w:val="24"/>
        </w:rPr>
        <w:t xml:space="preserve"> countries</w:t>
      </w:r>
      <w:r w:rsidR="005A72E6" w:rsidRPr="00B16AA8">
        <w:rPr>
          <w:rFonts w:ascii="Times New Roman" w:hAnsi="Times New Roman" w:cs="Times New Roman"/>
          <w:sz w:val="24"/>
          <w:szCs w:val="24"/>
        </w:rPr>
        <w:t xml:space="preserve"> in the whole wide world, including Kenya through</w:t>
      </w:r>
      <w:r w:rsidR="00ED7465" w:rsidRPr="00B16AA8">
        <w:rPr>
          <w:rFonts w:ascii="Times New Roman" w:hAnsi="Times New Roman" w:cs="Times New Roman"/>
          <w:sz w:val="24"/>
          <w:szCs w:val="24"/>
        </w:rPr>
        <w:t xml:space="preserve"> the </w:t>
      </w:r>
      <w:r w:rsidRPr="00B16AA8">
        <w:rPr>
          <w:rFonts w:ascii="Times New Roman" w:hAnsi="Times New Roman" w:cs="Times New Roman"/>
          <w:sz w:val="24"/>
          <w:szCs w:val="24"/>
        </w:rPr>
        <w:t xml:space="preserve">case of </w:t>
      </w:r>
      <w:r w:rsidRPr="00B16AA8">
        <w:rPr>
          <w:rFonts w:ascii="Times New Roman" w:hAnsi="Times New Roman" w:cs="Times New Roman"/>
          <w:i/>
          <w:sz w:val="24"/>
          <w:szCs w:val="24"/>
        </w:rPr>
        <w:t xml:space="preserve">Unilever Kenya Ltd </w:t>
      </w:r>
      <w:r w:rsidRPr="00B16AA8">
        <w:rPr>
          <w:rFonts w:ascii="Times New Roman" w:hAnsi="Times New Roman" w:cs="Times New Roman"/>
          <w:sz w:val="24"/>
          <w:szCs w:val="24"/>
        </w:rPr>
        <w:t xml:space="preserve">v </w:t>
      </w:r>
      <w:r w:rsidRPr="00B16AA8">
        <w:rPr>
          <w:rFonts w:ascii="Times New Roman" w:hAnsi="Times New Roman" w:cs="Times New Roman"/>
          <w:i/>
          <w:sz w:val="24"/>
          <w:szCs w:val="24"/>
        </w:rPr>
        <w:t>Commissioner of Income Tax</w:t>
      </w:r>
      <w:r w:rsidRPr="00B16AA8">
        <w:rPr>
          <w:rFonts w:ascii="Times New Roman" w:hAnsi="Times New Roman" w:cs="Times New Roman"/>
          <w:sz w:val="24"/>
          <w:szCs w:val="24"/>
        </w:rPr>
        <w:t xml:space="preserve"> [2006] 2 EA 334 (HCK)</w:t>
      </w:r>
      <w:r w:rsidR="00FE559A" w:rsidRPr="00B16AA8">
        <w:rPr>
          <w:rFonts w:ascii="Times New Roman" w:hAnsi="Times New Roman" w:cs="Times New Roman"/>
          <w:sz w:val="24"/>
          <w:szCs w:val="24"/>
        </w:rPr>
        <w:t>,</w:t>
      </w:r>
      <w:r w:rsidR="00FE559A" w:rsidRPr="00B16AA8">
        <w:rPr>
          <w:rFonts w:ascii="Times New Roman" w:eastAsia="Calibri" w:hAnsi="Times New Roman" w:cs="Times New Roman"/>
          <w:color w:val="000000"/>
          <w:sz w:val="24"/>
          <w:szCs w:val="24"/>
        </w:rPr>
        <w:t xml:space="preserve"> which incidentally, the local case of </w:t>
      </w:r>
      <w:r w:rsidR="00FE559A" w:rsidRPr="00B16AA8">
        <w:rPr>
          <w:rFonts w:ascii="Times New Roman" w:eastAsia="Calibri" w:hAnsi="Times New Roman" w:cs="Times New Roman"/>
          <w:i/>
          <w:color w:val="000000"/>
          <w:sz w:val="24"/>
          <w:szCs w:val="24"/>
        </w:rPr>
        <w:t xml:space="preserve">S </w:t>
      </w:r>
      <w:r w:rsidR="00FE559A" w:rsidRPr="00B16AA8">
        <w:rPr>
          <w:rFonts w:ascii="Times New Roman" w:eastAsia="Calibri" w:hAnsi="Times New Roman" w:cs="Times New Roman"/>
          <w:color w:val="000000"/>
          <w:sz w:val="24"/>
          <w:szCs w:val="24"/>
        </w:rPr>
        <w:t>v</w:t>
      </w:r>
      <w:r w:rsidR="00FE559A" w:rsidRPr="00B16AA8">
        <w:rPr>
          <w:rFonts w:ascii="Times New Roman" w:eastAsia="Calibri" w:hAnsi="Times New Roman" w:cs="Times New Roman"/>
          <w:i/>
          <w:color w:val="000000"/>
          <w:sz w:val="24"/>
          <w:szCs w:val="24"/>
        </w:rPr>
        <w:t xml:space="preserve"> A Juvenile</w:t>
      </w:r>
      <w:r w:rsidR="00FE559A" w:rsidRPr="00B16AA8">
        <w:rPr>
          <w:rFonts w:ascii="Times New Roman" w:eastAsia="Calibri" w:hAnsi="Times New Roman" w:cs="Times New Roman"/>
          <w:color w:val="000000"/>
          <w:sz w:val="24"/>
          <w:szCs w:val="24"/>
        </w:rPr>
        <w:t xml:space="preserve"> 1989 (2) ZLR 61 (S) at 72, regarded as a pacesetter in the use and grafting of international soft law to local law, which could only enrich local law rather than side line it. </w:t>
      </w:r>
      <w:r w:rsidR="005A72E6" w:rsidRPr="00B16AA8">
        <w:rPr>
          <w:rFonts w:ascii="Times New Roman" w:eastAsia="Calibri" w:hAnsi="Times New Roman" w:cs="Times New Roman"/>
          <w:i/>
          <w:color w:val="000000"/>
          <w:sz w:val="24"/>
          <w:szCs w:val="24"/>
        </w:rPr>
        <w:t>Per contra</w:t>
      </w:r>
      <w:r w:rsidR="005A72E6" w:rsidRPr="00B16AA8">
        <w:rPr>
          <w:rFonts w:ascii="Times New Roman" w:eastAsia="Calibri" w:hAnsi="Times New Roman" w:cs="Times New Roman"/>
          <w:color w:val="000000"/>
          <w:sz w:val="24"/>
          <w:szCs w:val="24"/>
        </w:rPr>
        <w:t xml:space="preserve">, </w:t>
      </w:r>
      <w:r w:rsidR="005A72E6" w:rsidRPr="00B16AA8">
        <w:rPr>
          <w:rFonts w:ascii="Times New Roman" w:hAnsi="Times New Roman" w:cs="Times New Roman"/>
          <w:sz w:val="24"/>
          <w:szCs w:val="24"/>
        </w:rPr>
        <w:t>the respondent</w:t>
      </w:r>
      <w:r w:rsidR="00ED7465" w:rsidRPr="00B16AA8">
        <w:rPr>
          <w:rFonts w:ascii="Times New Roman" w:hAnsi="Times New Roman" w:cs="Times New Roman"/>
          <w:sz w:val="24"/>
          <w:szCs w:val="24"/>
        </w:rPr>
        <w:t xml:space="preserve"> estab</w:t>
      </w:r>
      <w:r w:rsidR="005A72E6" w:rsidRPr="00B16AA8">
        <w:rPr>
          <w:rFonts w:ascii="Times New Roman" w:hAnsi="Times New Roman" w:cs="Times New Roman"/>
          <w:sz w:val="24"/>
          <w:szCs w:val="24"/>
        </w:rPr>
        <w:t xml:space="preserve">lished that </w:t>
      </w:r>
      <w:r w:rsidR="005A72E6" w:rsidRPr="00B16AA8">
        <w:rPr>
          <w:rFonts w:ascii="Times New Roman" w:hAnsi="Times New Roman" w:cs="Times New Roman"/>
          <w:sz w:val="24"/>
          <w:szCs w:val="24"/>
        </w:rPr>
        <w:lastRenderedPageBreak/>
        <w:t xml:space="preserve">Malawi rejected the </w:t>
      </w:r>
      <w:r w:rsidR="00D17148" w:rsidRPr="00B16AA8">
        <w:rPr>
          <w:rFonts w:ascii="Times New Roman" w:hAnsi="Times New Roman" w:cs="Times New Roman"/>
          <w:sz w:val="24"/>
          <w:szCs w:val="24"/>
        </w:rPr>
        <w:t xml:space="preserve">use of the </w:t>
      </w:r>
      <w:r w:rsidR="005A72E6" w:rsidRPr="00B16AA8">
        <w:rPr>
          <w:rFonts w:ascii="Times New Roman" w:hAnsi="Times New Roman" w:cs="Times New Roman"/>
          <w:sz w:val="24"/>
          <w:szCs w:val="24"/>
        </w:rPr>
        <w:t>guidelines</w:t>
      </w:r>
      <w:r w:rsidR="00D17148" w:rsidRPr="00B16AA8">
        <w:rPr>
          <w:rFonts w:ascii="Times New Roman" w:hAnsi="Times New Roman" w:cs="Times New Roman"/>
          <w:sz w:val="24"/>
          <w:szCs w:val="24"/>
        </w:rPr>
        <w:t xml:space="preserve"> to overshadow local law</w:t>
      </w:r>
      <w:r w:rsidR="00B00DCC" w:rsidRPr="00B16AA8">
        <w:rPr>
          <w:rFonts w:ascii="Times New Roman" w:hAnsi="Times New Roman" w:cs="Times New Roman"/>
          <w:sz w:val="24"/>
          <w:szCs w:val="24"/>
        </w:rPr>
        <w:t xml:space="preserve"> </w:t>
      </w:r>
      <w:r w:rsidR="00ED7465" w:rsidRPr="00B16AA8">
        <w:rPr>
          <w:rFonts w:ascii="Times New Roman" w:hAnsi="Times New Roman" w:cs="Times New Roman"/>
          <w:sz w:val="24"/>
          <w:szCs w:val="24"/>
        </w:rPr>
        <w:t>in</w:t>
      </w:r>
      <w:r w:rsidRPr="00B16AA8">
        <w:rPr>
          <w:rFonts w:ascii="Times New Roman" w:hAnsi="Times New Roman" w:cs="Times New Roman"/>
          <w:sz w:val="24"/>
          <w:szCs w:val="24"/>
        </w:rPr>
        <w:t xml:space="preserve"> </w:t>
      </w:r>
      <w:r w:rsidRPr="00B16AA8">
        <w:rPr>
          <w:rFonts w:ascii="Times New Roman" w:hAnsi="Times New Roman" w:cs="Times New Roman"/>
          <w:i/>
          <w:sz w:val="24"/>
          <w:szCs w:val="24"/>
        </w:rPr>
        <w:t xml:space="preserve">The State </w:t>
      </w:r>
      <w:r w:rsidRPr="00B16AA8">
        <w:rPr>
          <w:rFonts w:ascii="Times New Roman" w:hAnsi="Times New Roman" w:cs="Times New Roman"/>
          <w:sz w:val="24"/>
          <w:szCs w:val="24"/>
        </w:rPr>
        <w:t xml:space="preserve">v </w:t>
      </w:r>
      <w:r w:rsidRPr="00B16AA8">
        <w:rPr>
          <w:rFonts w:ascii="Times New Roman" w:hAnsi="Times New Roman" w:cs="Times New Roman"/>
          <w:i/>
          <w:sz w:val="24"/>
          <w:szCs w:val="24"/>
        </w:rPr>
        <w:t>Commissioner General of Malawi Revenue Authority, Ex parte Eastern Produce Malawi Ltd</w:t>
      </w:r>
      <w:r w:rsidRPr="00B16AA8">
        <w:rPr>
          <w:rFonts w:ascii="Times New Roman" w:hAnsi="Times New Roman" w:cs="Times New Roman"/>
          <w:sz w:val="24"/>
          <w:szCs w:val="24"/>
        </w:rPr>
        <w:t xml:space="preserve"> Judicial Review Number 43/2016</w:t>
      </w:r>
      <w:r w:rsidR="00B00DCC" w:rsidRPr="00B16AA8">
        <w:rPr>
          <w:rFonts w:ascii="Times New Roman" w:hAnsi="Times New Roman" w:cs="Times New Roman"/>
          <w:sz w:val="24"/>
          <w:szCs w:val="24"/>
        </w:rPr>
        <w:t xml:space="preserve"> at pp 11-12</w:t>
      </w:r>
      <w:r w:rsidR="00DD6FB4" w:rsidRPr="00B16AA8">
        <w:rPr>
          <w:rStyle w:val="FootnoteReference"/>
          <w:rFonts w:ascii="Times New Roman" w:hAnsi="Times New Roman" w:cs="Times New Roman"/>
          <w:sz w:val="24"/>
          <w:szCs w:val="24"/>
        </w:rPr>
        <w:footnoteReference w:id="14"/>
      </w:r>
      <w:r w:rsidRPr="00B16AA8">
        <w:rPr>
          <w:rFonts w:ascii="Times New Roman" w:hAnsi="Times New Roman" w:cs="Times New Roman"/>
          <w:sz w:val="24"/>
          <w:szCs w:val="24"/>
        </w:rPr>
        <w:t xml:space="preserve">. </w:t>
      </w:r>
    </w:p>
    <w:p w:rsidR="00C12E6C" w:rsidRPr="00B16AA8" w:rsidRDefault="00ED7465" w:rsidP="00B16AA8">
      <w:pPr>
        <w:spacing w:after="0" w:line="360" w:lineRule="auto"/>
        <w:ind w:firstLine="720"/>
        <w:jc w:val="both"/>
        <w:rPr>
          <w:rFonts w:ascii="Times New Roman" w:hAnsi="Times New Roman" w:cs="Times New Roman"/>
          <w:sz w:val="24"/>
          <w:szCs w:val="24"/>
        </w:rPr>
      </w:pPr>
      <w:r w:rsidRPr="00B16AA8">
        <w:rPr>
          <w:rFonts w:ascii="Times New Roman" w:hAnsi="Times New Roman" w:cs="Times New Roman"/>
          <w:sz w:val="24"/>
          <w:szCs w:val="24"/>
        </w:rPr>
        <w:t>On the basis of the above facts, the</w:t>
      </w:r>
      <w:r w:rsidR="00C12E6C" w:rsidRPr="00B16AA8">
        <w:rPr>
          <w:rFonts w:ascii="Times New Roman" w:hAnsi="Times New Roman" w:cs="Times New Roman"/>
          <w:sz w:val="24"/>
          <w:szCs w:val="24"/>
        </w:rPr>
        <w:t xml:space="preserve"> appellant </w:t>
      </w:r>
      <w:r w:rsidR="00CB399E" w:rsidRPr="00B16AA8">
        <w:rPr>
          <w:rFonts w:ascii="Times New Roman" w:hAnsi="Times New Roman" w:cs="Times New Roman"/>
          <w:sz w:val="24"/>
          <w:szCs w:val="24"/>
        </w:rPr>
        <w:t>submitted that the OECD TPGs were applicable in Zimbabwe because they had achi</w:t>
      </w:r>
      <w:r w:rsidR="00494121" w:rsidRPr="00B16AA8">
        <w:rPr>
          <w:rFonts w:ascii="Times New Roman" w:hAnsi="Times New Roman" w:cs="Times New Roman"/>
          <w:sz w:val="24"/>
          <w:szCs w:val="24"/>
        </w:rPr>
        <w:t>eved the status of</w:t>
      </w:r>
      <w:r w:rsidR="00CB399E" w:rsidRPr="00B16AA8">
        <w:rPr>
          <w:rFonts w:ascii="Times New Roman" w:hAnsi="Times New Roman" w:cs="Times New Roman"/>
          <w:sz w:val="24"/>
          <w:szCs w:val="24"/>
        </w:rPr>
        <w:t xml:space="preserve"> customary </w:t>
      </w:r>
      <w:r w:rsidR="00494121" w:rsidRPr="00B16AA8">
        <w:rPr>
          <w:rFonts w:ascii="Times New Roman" w:hAnsi="Times New Roman" w:cs="Times New Roman"/>
          <w:sz w:val="24"/>
          <w:szCs w:val="24"/>
        </w:rPr>
        <w:t xml:space="preserve">international </w:t>
      </w:r>
      <w:r w:rsidR="00CB399E" w:rsidRPr="00B16AA8">
        <w:rPr>
          <w:rFonts w:ascii="Times New Roman" w:hAnsi="Times New Roman" w:cs="Times New Roman"/>
          <w:sz w:val="24"/>
          <w:szCs w:val="24"/>
        </w:rPr>
        <w:t>law. The Commissioner made the contrary submission that they were inapplicable in Zimbabwe as they had not achieved any such status. She argued that they could at b</w:t>
      </w:r>
      <w:r w:rsidR="00494121" w:rsidRPr="00B16AA8">
        <w:rPr>
          <w:rFonts w:ascii="Times New Roman" w:hAnsi="Times New Roman" w:cs="Times New Roman"/>
          <w:sz w:val="24"/>
          <w:szCs w:val="24"/>
        </w:rPr>
        <w:t>est be regarded as</w:t>
      </w:r>
      <w:r w:rsidR="00CB399E" w:rsidRPr="00B16AA8">
        <w:rPr>
          <w:rFonts w:ascii="Times New Roman" w:hAnsi="Times New Roman" w:cs="Times New Roman"/>
          <w:sz w:val="24"/>
          <w:szCs w:val="24"/>
        </w:rPr>
        <w:t xml:space="preserve"> customary </w:t>
      </w:r>
      <w:r w:rsidR="00494121" w:rsidRPr="00B16AA8">
        <w:rPr>
          <w:rFonts w:ascii="Times New Roman" w:hAnsi="Times New Roman" w:cs="Times New Roman"/>
          <w:sz w:val="24"/>
          <w:szCs w:val="24"/>
        </w:rPr>
        <w:t xml:space="preserve">international </w:t>
      </w:r>
      <w:r w:rsidR="00CB399E" w:rsidRPr="00B16AA8">
        <w:rPr>
          <w:rFonts w:ascii="Times New Roman" w:hAnsi="Times New Roman" w:cs="Times New Roman"/>
          <w:sz w:val="24"/>
          <w:szCs w:val="24"/>
        </w:rPr>
        <w:t xml:space="preserve">norms. </w:t>
      </w:r>
    </w:p>
    <w:p w:rsidR="00CB399E" w:rsidRPr="00B16AA8" w:rsidRDefault="00494121" w:rsidP="00B16AA8">
      <w:pPr>
        <w:spacing w:after="0" w:line="360" w:lineRule="auto"/>
        <w:ind w:firstLine="720"/>
        <w:jc w:val="both"/>
        <w:rPr>
          <w:rFonts w:ascii="Times New Roman" w:hAnsi="Times New Roman" w:cs="Times New Roman"/>
          <w:sz w:val="24"/>
          <w:szCs w:val="24"/>
        </w:rPr>
      </w:pPr>
      <w:r w:rsidRPr="00B16AA8">
        <w:rPr>
          <w:rFonts w:ascii="Times New Roman" w:hAnsi="Times New Roman" w:cs="Times New Roman"/>
          <w:sz w:val="24"/>
          <w:szCs w:val="24"/>
        </w:rPr>
        <w:t>Section 46 (1) (c)</w:t>
      </w:r>
      <w:r w:rsidR="00CB399E" w:rsidRPr="00B16AA8">
        <w:rPr>
          <w:rFonts w:ascii="Times New Roman" w:hAnsi="Times New Roman" w:cs="Times New Roman"/>
          <w:sz w:val="24"/>
          <w:szCs w:val="24"/>
        </w:rPr>
        <w:t xml:space="preserve"> of the Zimbabwe</w:t>
      </w:r>
      <w:r w:rsidR="00010F4B">
        <w:rPr>
          <w:rFonts w:ascii="Times New Roman" w:hAnsi="Times New Roman" w:cs="Times New Roman"/>
          <w:sz w:val="24"/>
          <w:szCs w:val="24"/>
        </w:rPr>
        <w:t>an</w:t>
      </w:r>
      <w:r w:rsidR="00CB399E" w:rsidRPr="00B16AA8">
        <w:rPr>
          <w:rFonts w:ascii="Times New Roman" w:hAnsi="Times New Roman" w:cs="Times New Roman"/>
          <w:sz w:val="24"/>
          <w:szCs w:val="24"/>
        </w:rPr>
        <w:t xml:space="preserve"> Constitution</w:t>
      </w:r>
      <w:r w:rsidR="00902967" w:rsidRPr="00B16AA8">
        <w:rPr>
          <w:rStyle w:val="FootnoteReference"/>
          <w:rFonts w:ascii="Times New Roman" w:hAnsi="Times New Roman" w:cs="Times New Roman"/>
          <w:sz w:val="24"/>
          <w:szCs w:val="24"/>
        </w:rPr>
        <w:footnoteReference w:id="15"/>
      </w:r>
      <w:r w:rsidRPr="00B16AA8">
        <w:rPr>
          <w:rFonts w:ascii="Times New Roman" w:hAnsi="Times New Roman" w:cs="Times New Roman"/>
          <w:sz w:val="24"/>
          <w:szCs w:val="24"/>
        </w:rPr>
        <w:t xml:space="preserve"> </w:t>
      </w:r>
      <w:r w:rsidR="00263789" w:rsidRPr="00B16AA8">
        <w:rPr>
          <w:rFonts w:ascii="Times New Roman" w:hAnsi="Times New Roman" w:cs="Times New Roman"/>
          <w:sz w:val="24"/>
          <w:szCs w:val="24"/>
        </w:rPr>
        <w:t>enjoins</w:t>
      </w:r>
      <w:r w:rsidRPr="00B16AA8">
        <w:rPr>
          <w:rFonts w:ascii="Times New Roman" w:hAnsi="Times New Roman" w:cs="Times New Roman"/>
          <w:sz w:val="24"/>
          <w:szCs w:val="24"/>
        </w:rPr>
        <w:t xml:space="preserve"> the use of international law </w:t>
      </w:r>
      <w:r w:rsidR="00263789" w:rsidRPr="00B16AA8">
        <w:rPr>
          <w:rFonts w:ascii="Times New Roman" w:hAnsi="Times New Roman" w:cs="Times New Roman"/>
          <w:sz w:val="24"/>
          <w:szCs w:val="24"/>
        </w:rPr>
        <w:t xml:space="preserve">in conjunction with other factors </w:t>
      </w:r>
      <w:r w:rsidRPr="00B16AA8">
        <w:rPr>
          <w:rFonts w:ascii="Times New Roman" w:hAnsi="Times New Roman" w:cs="Times New Roman"/>
          <w:sz w:val="24"/>
          <w:szCs w:val="24"/>
        </w:rPr>
        <w:t>in interpreting the Declaration of Rights in C</w:t>
      </w:r>
      <w:r w:rsidR="00263789" w:rsidRPr="00B16AA8">
        <w:rPr>
          <w:rFonts w:ascii="Times New Roman" w:hAnsi="Times New Roman" w:cs="Times New Roman"/>
          <w:sz w:val="24"/>
          <w:szCs w:val="24"/>
        </w:rPr>
        <w:t>hapter 4 thereof and all treaties and conventions to which Zimbabwe is a party. S</w:t>
      </w:r>
      <w:r w:rsidR="00B16AA8">
        <w:rPr>
          <w:rFonts w:ascii="Times New Roman" w:hAnsi="Times New Roman" w:cs="Times New Roman"/>
          <w:sz w:val="24"/>
          <w:szCs w:val="24"/>
        </w:rPr>
        <w:t>ection</w:t>
      </w:r>
      <w:r w:rsidR="00263789" w:rsidRPr="00B16AA8">
        <w:rPr>
          <w:rFonts w:ascii="Times New Roman" w:hAnsi="Times New Roman" w:cs="Times New Roman"/>
          <w:sz w:val="24"/>
          <w:szCs w:val="24"/>
        </w:rPr>
        <w:t xml:space="preserve"> 326 declares customary international law, as long as it is consistent with the Constitution a</w:t>
      </w:r>
      <w:r w:rsidR="00C43865" w:rsidRPr="00B16AA8">
        <w:rPr>
          <w:rFonts w:ascii="Times New Roman" w:hAnsi="Times New Roman" w:cs="Times New Roman"/>
          <w:sz w:val="24"/>
          <w:szCs w:val="24"/>
        </w:rPr>
        <w:t>nd local legislation, to be part of</w:t>
      </w:r>
      <w:r w:rsidR="001F225C" w:rsidRPr="00B16AA8">
        <w:rPr>
          <w:rFonts w:ascii="Times New Roman" w:hAnsi="Times New Roman" w:cs="Times New Roman"/>
          <w:sz w:val="24"/>
          <w:szCs w:val="24"/>
        </w:rPr>
        <w:t xml:space="preserve"> the</w:t>
      </w:r>
      <w:r w:rsidR="00C43865" w:rsidRPr="00B16AA8">
        <w:rPr>
          <w:rFonts w:ascii="Times New Roman" w:hAnsi="Times New Roman" w:cs="Times New Roman"/>
          <w:sz w:val="24"/>
          <w:szCs w:val="24"/>
        </w:rPr>
        <w:t xml:space="preserve"> </w:t>
      </w:r>
      <w:r w:rsidR="00C43865" w:rsidRPr="00B16AA8">
        <w:rPr>
          <w:rFonts w:ascii="Times New Roman" w:hAnsi="Times New Roman" w:cs="Times New Roman"/>
          <w:i/>
          <w:sz w:val="24"/>
          <w:szCs w:val="24"/>
        </w:rPr>
        <w:t>corpus juris</w:t>
      </w:r>
      <w:r w:rsidR="00C43865" w:rsidRPr="00B16AA8">
        <w:rPr>
          <w:rFonts w:ascii="Times New Roman" w:hAnsi="Times New Roman" w:cs="Times New Roman"/>
          <w:sz w:val="24"/>
          <w:szCs w:val="24"/>
        </w:rPr>
        <w:t xml:space="preserve"> of Zimbabwe and enjoins “every court and tribunal” to “adopt any reasonable interpretation of the legislation that is consistent with customary international law applicable in Zimbabwe, in preference to an alternative interpretation inconsistent with that law.” Lastly, s 327 excludes the </w:t>
      </w:r>
      <w:r w:rsidR="00607547" w:rsidRPr="00B16AA8">
        <w:rPr>
          <w:rFonts w:ascii="Times New Roman" w:hAnsi="Times New Roman" w:cs="Times New Roman"/>
          <w:sz w:val="24"/>
          <w:szCs w:val="24"/>
        </w:rPr>
        <w:t xml:space="preserve">incorporation </w:t>
      </w:r>
      <w:r w:rsidR="00C43865" w:rsidRPr="00B16AA8">
        <w:rPr>
          <w:rFonts w:ascii="Times New Roman" w:hAnsi="Times New Roman" w:cs="Times New Roman"/>
          <w:sz w:val="24"/>
          <w:szCs w:val="24"/>
        </w:rPr>
        <w:t xml:space="preserve">of international conventions, treaties and agreements </w:t>
      </w:r>
      <w:r w:rsidR="00607547" w:rsidRPr="00B16AA8">
        <w:rPr>
          <w:rFonts w:ascii="Times New Roman" w:hAnsi="Times New Roman" w:cs="Times New Roman"/>
          <w:sz w:val="24"/>
          <w:szCs w:val="24"/>
        </w:rPr>
        <w:t xml:space="preserve">that have not been domesticated into Zimbabwean law. </w:t>
      </w:r>
      <w:r w:rsidR="00C43865" w:rsidRPr="00B16AA8">
        <w:rPr>
          <w:rFonts w:ascii="Times New Roman" w:hAnsi="Times New Roman" w:cs="Times New Roman"/>
          <w:sz w:val="24"/>
          <w:szCs w:val="24"/>
        </w:rPr>
        <w:t xml:space="preserve"> </w:t>
      </w:r>
    </w:p>
    <w:p w:rsidR="00607547" w:rsidRPr="00B16AA8" w:rsidRDefault="00607547" w:rsidP="003263C1">
      <w:pPr>
        <w:spacing w:after="0" w:line="360" w:lineRule="auto"/>
        <w:ind w:firstLine="720"/>
        <w:jc w:val="both"/>
        <w:rPr>
          <w:rFonts w:ascii="Times New Roman" w:hAnsi="Times New Roman" w:cs="Times New Roman"/>
          <w:sz w:val="24"/>
          <w:szCs w:val="24"/>
        </w:rPr>
      </w:pPr>
      <w:r w:rsidRPr="00B16AA8">
        <w:rPr>
          <w:rFonts w:ascii="Times New Roman" w:hAnsi="Times New Roman" w:cs="Times New Roman"/>
          <w:sz w:val="24"/>
          <w:szCs w:val="24"/>
        </w:rPr>
        <w:t xml:space="preserve">The OECD TPGs are a derivative of the OECD Convention. </w:t>
      </w:r>
      <w:r w:rsidR="0088013C" w:rsidRPr="00B16AA8">
        <w:rPr>
          <w:rFonts w:ascii="Times New Roman" w:hAnsi="Times New Roman" w:cs="Times New Roman"/>
          <w:sz w:val="24"/>
          <w:szCs w:val="24"/>
        </w:rPr>
        <w:t>The</w:t>
      </w:r>
      <w:r w:rsidRPr="00B16AA8">
        <w:rPr>
          <w:rFonts w:ascii="Times New Roman" w:hAnsi="Times New Roman" w:cs="Times New Roman"/>
          <w:sz w:val="24"/>
          <w:szCs w:val="24"/>
        </w:rPr>
        <w:t>ir application to the interpretation of s 98 of the Income Tax A</w:t>
      </w:r>
      <w:r w:rsidR="0088013C" w:rsidRPr="00B16AA8">
        <w:rPr>
          <w:rFonts w:ascii="Times New Roman" w:hAnsi="Times New Roman" w:cs="Times New Roman"/>
          <w:sz w:val="24"/>
          <w:szCs w:val="24"/>
        </w:rPr>
        <w:t>ct is, therefore, specifically excluded by both s 46 (1) (c) and 327 of the Constitution. They can, however, be applied if they meet the requirements of s 326 of the Constitution.</w:t>
      </w:r>
    </w:p>
    <w:p w:rsidR="00E97E18" w:rsidRPr="00B16AA8" w:rsidRDefault="00225142" w:rsidP="00B16AA8">
      <w:pPr>
        <w:spacing w:after="0" w:line="360" w:lineRule="auto"/>
        <w:jc w:val="both"/>
        <w:rPr>
          <w:rFonts w:ascii="Times New Roman" w:hAnsi="Times New Roman" w:cs="Times New Roman"/>
          <w:sz w:val="24"/>
          <w:szCs w:val="24"/>
          <w:lang w:val="en-US"/>
        </w:rPr>
      </w:pPr>
      <w:r w:rsidRPr="00B16AA8">
        <w:rPr>
          <w:rFonts w:ascii="Times New Roman" w:hAnsi="Times New Roman" w:cs="Times New Roman"/>
          <w:sz w:val="24"/>
          <w:szCs w:val="24"/>
        </w:rPr>
        <w:t xml:space="preserve"> </w:t>
      </w:r>
      <w:r w:rsidR="003263C1">
        <w:rPr>
          <w:rFonts w:ascii="Times New Roman" w:hAnsi="Times New Roman" w:cs="Times New Roman"/>
          <w:sz w:val="24"/>
          <w:szCs w:val="24"/>
        </w:rPr>
        <w:tab/>
      </w:r>
      <w:r w:rsidRPr="00B16AA8">
        <w:rPr>
          <w:rFonts w:ascii="Times New Roman" w:hAnsi="Times New Roman" w:cs="Times New Roman"/>
          <w:sz w:val="24"/>
          <w:szCs w:val="24"/>
        </w:rPr>
        <w:t xml:space="preserve"> </w:t>
      </w:r>
      <w:r w:rsidR="0088013C" w:rsidRPr="00B16AA8">
        <w:rPr>
          <w:rFonts w:ascii="Times New Roman" w:hAnsi="Times New Roman" w:cs="Times New Roman"/>
          <w:sz w:val="24"/>
          <w:szCs w:val="24"/>
        </w:rPr>
        <w:t>The question of whether they constitute customary international law appears to have been author</w:t>
      </w:r>
      <w:r w:rsidR="004C6F25">
        <w:rPr>
          <w:rFonts w:ascii="Times New Roman" w:hAnsi="Times New Roman" w:cs="Times New Roman"/>
          <w:sz w:val="24"/>
          <w:szCs w:val="24"/>
        </w:rPr>
        <w:t>itatively answered by</w:t>
      </w:r>
      <w:r w:rsidR="0088013C" w:rsidRPr="00B16AA8">
        <w:rPr>
          <w:rFonts w:ascii="Times New Roman" w:hAnsi="Times New Roman" w:cs="Times New Roman"/>
          <w:sz w:val="24"/>
          <w:szCs w:val="24"/>
        </w:rPr>
        <w:t xml:space="preserve"> </w:t>
      </w:r>
      <w:r w:rsidR="0088013C" w:rsidRPr="00B94855">
        <w:rPr>
          <w:rFonts w:ascii="Times New Roman" w:hAnsi="Times New Roman" w:cs="Times New Roman"/>
          <w:sz w:val="24"/>
          <w:szCs w:val="24"/>
          <w:lang w:val="en-US"/>
        </w:rPr>
        <w:t>Jens Wittendor</w:t>
      </w:r>
      <w:r w:rsidR="004C6F25" w:rsidRPr="00B94855">
        <w:rPr>
          <w:rFonts w:ascii="Times New Roman" w:hAnsi="Times New Roman" w:cs="Times New Roman"/>
          <w:sz w:val="24"/>
          <w:szCs w:val="24"/>
          <w:lang w:val="en-US"/>
        </w:rPr>
        <w:t>f</w:t>
      </w:r>
      <w:r w:rsidR="0088013C" w:rsidRPr="00B94855">
        <w:rPr>
          <w:rFonts w:ascii="Times New Roman" w:hAnsi="Times New Roman" w:cs="Times New Roman"/>
          <w:sz w:val="24"/>
          <w:szCs w:val="24"/>
          <w:lang w:val="en-US"/>
        </w:rPr>
        <w:t>f</w:t>
      </w:r>
      <w:r w:rsidR="00E97E18" w:rsidRPr="00B16AA8">
        <w:rPr>
          <w:rFonts w:ascii="Times New Roman" w:hAnsi="Times New Roman" w:cs="Times New Roman"/>
          <w:sz w:val="24"/>
          <w:szCs w:val="24"/>
          <w:lang w:val="en-US"/>
        </w:rPr>
        <w:t xml:space="preserve"> </w:t>
      </w:r>
      <w:r w:rsidR="004C6F25">
        <w:rPr>
          <w:rFonts w:ascii="Times New Roman" w:hAnsi="Times New Roman" w:cs="Times New Roman"/>
          <w:sz w:val="24"/>
          <w:szCs w:val="24"/>
          <w:lang w:val="en-US"/>
        </w:rPr>
        <w:t xml:space="preserve">in his book </w:t>
      </w:r>
      <w:r w:rsidR="00E97E18" w:rsidRPr="00B16AA8">
        <w:rPr>
          <w:rFonts w:ascii="Times New Roman" w:hAnsi="Times New Roman" w:cs="Times New Roman"/>
          <w:sz w:val="24"/>
          <w:szCs w:val="24"/>
          <w:lang w:val="en-US"/>
        </w:rPr>
        <w:t>entitled</w:t>
      </w:r>
      <w:r w:rsidR="00F225EC" w:rsidRPr="00B16AA8">
        <w:rPr>
          <w:rFonts w:ascii="Times New Roman" w:hAnsi="Times New Roman" w:cs="Times New Roman"/>
          <w:i/>
          <w:sz w:val="24"/>
          <w:szCs w:val="24"/>
          <w:lang w:val="en-US"/>
        </w:rPr>
        <w:t xml:space="preserve"> </w:t>
      </w:r>
      <w:r w:rsidR="00F225EC" w:rsidRPr="009D7794">
        <w:rPr>
          <w:rFonts w:ascii="Times New Roman" w:hAnsi="Times New Roman" w:cs="Times New Roman"/>
          <w:sz w:val="24"/>
          <w:szCs w:val="24"/>
          <w:lang w:val="en-US"/>
        </w:rPr>
        <w:t>“</w:t>
      </w:r>
      <w:r w:rsidR="004C6F25" w:rsidRPr="00976707">
        <w:rPr>
          <w:rFonts w:ascii="Times New Roman" w:hAnsi="Times New Roman" w:cs="Times New Roman"/>
          <w:i/>
          <w:sz w:val="24"/>
          <w:szCs w:val="24"/>
          <w:lang w:val="en-US"/>
        </w:rPr>
        <w:t>Transfer Pricing and the Arm’s</w:t>
      </w:r>
      <w:r w:rsidR="0088013C" w:rsidRPr="00976707">
        <w:rPr>
          <w:rFonts w:ascii="Times New Roman" w:hAnsi="Times New Roman" w:cs="Times New Roman"/>
          <w:i/>
          <w:sz w:val="24"/>
          <w:szCs w:val="24"/>
          <w:lang w:val="en-US"/>
        </w:rPr>
        <w:t xml:space="preserve"> L</w:t>
      </w:r>
      <w:r w:rsidR="00F225EC" w:rsidRPr="00976707">
        <w:rPr>
          <w:rFonts w:ascii="Times New Roman" w:hAnsi="Times New Roman" w:cs="Times New Roman"/>
          <w:i/>
          <w:sz w:val="24"/>
          <w:szCs w:val="24"/>
          <w:lang w:val="en-US"/>
        </w:rPr>
        <w:t>ength</w:t>
      </w:r>
      <w:r w:rsidR="001F225C" w:rsidRPr="00976707">
        <w:rPr>
          <w:rFonts w:ascii="Times New Roman" w:hAnsi="Times New Roman" w:cs="Times New Roman"/>
          <w:i/>
          <w:sz w:val="24"/>
          <w:szCs w:val="24"/>
          <w:lang w:val="en-US"/>
        </w:rPr>
        <w:t xml:space="preserve"> Principle in International L</w:t>
      </w:r>
      <w:r w:rsidR="00F225EC" w:rsidRPr="00976707">
        <w:rPr>
          <w:rFonts w:ascii="Times New Roman" w:hAnsi="Times New Roman" w:cs="Times New Roman"/>
          <w:i/>
          <w:sz w:val="24"/>
          <w:szCs w:val="24"/>
          <w:lang w:val="en-US"/>
        </w:rPr>
        <w:t>aw”</w:t>
      </w:r>
      <w:r w:rsidR="004C6F25">
        <w:rPr>
          <w:rStyle w:val="FootnoteReference"/>
          <w:rFonts w:ascii="Times New Roman" w:hAnsi="Times New Roman" w:cs="Times New Roman"/>
          <w:sz w:val="24"/>
          <w:szCs w:val="24"/>
          <w:lang w:val="en-US"/>
        </w:rPr>
        <w:footnoteReference w:id="16"/>
      </w:r>
      <w:r w:rsidR="0088013C" w:rsidRPr="00B16AA8">
        <w:rPr>
          <w:rFonts w:ascii="Times New Roman" w:hAnsi="Times New Roman" w:cs="Times New Roman"/>
          <w:sz w:val="24"/>
          <w:szCs w:val="24"/>
          <w:lang w:val="en-US"/>
        </w:rPr>
        <w:t xml:space="preserve">. He makes the following </w:t>
      </w:r>
      <w:r w:rsidR="00E97E18" w:rsidRPr="00B16AA8">
        <w:rPr>
          <w:rFonts w:ascii="Times New Roman" w:hAnsi="Times New Roman" w:cs="Times New Roman"/>
          <w:sz w:val="24"/>
          <w:szCs w:val="24"/>
          <w:lang w:val="en-US"/>
        </w:rPr>
        <w:t xml:space="preserve">pertinent </w:t>
      </w:r>
      <w:r w:rsidR="0088013C" w:rsidRPr="00B16AA8">
        <w:rPr>
          <w:rFonts w:ascii="Times New Roman" w:hAnsi="Times New Roman" w:cs="Times New Roman"/>
          <w:sz w:val="24"/>
          <w:szCs w:val="24"/>
          <w:lang w:val="en-US"/>
        </w:rPr>
        <w:t>observation at p 287</w:t>
      </w:r>
      <w:r w:rsidR="00E97E18" w:rsidRPr="00B16AA8">
        <w:rPr>
          <w:rFonts w:ascii="Times New Roman" w:hAnsi="Times New Roman" w:cs="Times New Roman"/>
          <w:sz w:val="24"/>
          <w:szCs w:val="24"/>
          <w:lang w:val="en-US"/>
        </w:rPr>
        <w:t>:</w:t>
      </w:r>
    </w:p>
    <w:p w:rsidR="00F225EC" w:rsidRDefault="00F225EC" w:rsidP="001262C7">
      <w:pPr>
        <w:spacing w:after="0" w:line="240" w:lineRule="auto"/>
        <w:ind w:left="720"/>
        <w:jc w:val="both"/>
        <w:rPr>
          <w:rFonts w:ascii="Times New Roman" w:hAnsi="Times New Roman" w:cs="Times New Roman"/>
          <w:sz w:val="24"/>
          <w:szCs w:val="24"/>
          <w:lang w:val="en-US"/>
        </w:rPr>
      </w:pPr>
      <w:r w:rsidRPr="00B16AA8">
        <w:rPr>
          <w:rFonts w:ascii="Times New Roman" w:hAnsi="Times New Roman" w:cs="Times New Roman"/>
          <w:i/>
          <w:sz w:val="24"/>
          <w:szCs w:val="24"/>
          <w:lang w:val="en-US"/>
        </w:rPr>
        <w:t>“</w:t>
      </w:r>
      <w:r w:rsidRPr="00B16AA8">
        <w:rPr>
          <w:rFonts w:ascii="Times New Roman" w:hAnsi="Times New Roman" w:cs="Times New Roman"/>
          <w:sz w:val="24"/>
          <w:szCs w:val="24"/>
          <w:lang w:val="en-US"/>
        </w:rPr>
        <w:t>The customary international law has an objective element in the form of a uniform and consistent practice among States or at least a majority of them. The objective test is the cornerstone of customary international law. There is also the subjective element according to which States must act out of a sense of ob</w:t>
      </w:r>
      <w:r w:rsidR="00E97E18" w:rsidRPr="00B16AA8">
        <w:rPr>
          <w:rFonts w:ascii="Times New Roman" w:hAnsi="Times New Roman" w:cs="Times New Roman"/>
          <w:sz w:val="24"/>
          <w:szCs w:val="24"/>
          <w:lang w:val="en-US"/>
        </w:rPr>
        <w:t>ligation to do so</w:t>
      </w:r>
      <w:r w:rsidRPr="00B16AA8">
        <w:rPr>
          <w:rFonts w:ascii="Times New Roman" w:hAnsi="Times New Roman" w:cs="Times New Roman"/>
          <w:sz w:val="24"/>
          <w:szCs w:val="24"/>
          <w:lang w:val="en-US"/>
        </w:rPr>
        <w:t>.”</w:t>
      </w:r>
    </w:p>
    <w:p w:rsidR="001262C7" w:rsidRPr="00B16AA8" w:rsidRDefault="001262C7" w:rsidP="001262C7">
      <w:pPr>
        <w:spacing w:after="0" w:line="240" w:lineRule="auto"/>
        <w:ind w:left="720"/>
        <w:jc w:val="both"/>
        <w:rPr>
          <w:rFonts w:ascii="Times New Roman" w:hAnsi="Times New Roman" w:cs="Times New Roman"/>
          <w:sz w:val="24"/>
          <w:szCs w:val="24"/>
          <w:lang w:val="en-US"/>
        </w:rPr>
      </w:pPr>
    </w:p>
    <w:p w:rsidR="00E97E18" w:rsidRPr="00B16AA8" w:rsidRDefault="00E97E18" w:rsidP="00B16AA8">
      <w:pPr>
        <w:spacing w:after="0" w:line="360" w:lineRule="auto"/>
        <w:jc w:val="both"/>
        <w:rPr>
          <w:rFonts w:ascii="Times New Roman" w:hAnsi="Times New Roman" w:cs="Times New Roman"/>
          <w:sz w:val="24"/>
          <w:szCs w:val="24"/>
        </w:rPr>
      </w:pPr>
      <w:r w:rsidRPr="00B16AA8">
        <w:rPr>
          <w:rFonts w:ascii="Times New Roman" w:hAnsi="Times New Roman" w:cs="Times New Roman"/>
          <w:sz w:val="24"/>
          <w:szCs w:val="24"/>
          <w:lang w:val="en-US"/>
        </w:rPr>
        <w:t>And at p 290, he aptly states that:</w:t>
      </w:r>
    </w:p>
    <w:p w:rsidR="00F225EC" w:rsidRPr="001262C7" w:rsidRDefault="00F225EC" w:rsidP="001262C7">
      <w:pPr>
        <w:spacing w:after="0" w:line="240" w:lineRule="auto"/>
        <w:ind w:left="720"/>
        <w:jc w:val="both"/>
        <w:rPr>
          <w:rFonts w:ascii="Times New Roman" w:hAnsi="Times New Roman" w:cs="Times New Roman"/>
          <w:lang w:val="en-US"/>
        </w:rPr>
      </w:pPr>
      <w:r w:rsidRPr="001262C7">
        <w:rPr>
          <w:rFonts w:ascii="Times New Roman" w:hAnsi="Times New Roman" w:cs="Times New Roman"/>
          <w:lang w:val="en-US"/>
        </w:rPr>
        <w:t xml:space="preserve"> “At the international level, the OECD has never referred to the arm’s length principle as expressing customary international law. On the basis of the above</w:t>
      </w:r>
      <w:r w:rsidR="00E97E18" w:rsidRPr="001262C7">
        <w:rPr>
          <w:rFonts w:ascii="Times New Roman" w:hAnsi="Times New Roman" w:cs="Times New Roman"/>
          <w:lang w:val="en-US"/>
        </w:rPr>
        <w:t>,</w:t>
      </w:r>
      <w:r w:rsidRPr="001262C7">
        <w:rPr>
          <w:rFonts w:ascii="Times New Roman" w:hAnsi="Times New Roman" w:cs="Times New Roman"/>
          <w:lang w:val="en-US"/>
        </w:rPr>
        <w:t xml:space="preserve"> the arm’s length principle cannot be assumed to qualify as customary international law. This means that Article 9 does not have a special status in international law since the OECD model and Commentary are not regarded as being customary international law.” </w:t>
      </w:r>
    </w:p>
    <w:p w:rsidR="0055398B" w:rsidRPr="00B16AA8" w:rsidRDefault="001B6093" w:rsidP="00B16AA8">
      <w:pPr>
        <w:spacing w:after="0" w:line="360" w:lineRule="auto"/>
        <w:jc w:val="both"/>
        <w:rPr>
          <w:rFonts w:ascii="Times New Roman" w:hAnsi="Times New Roman" w:cs="Times New Roman"/>
          <w:sz w:val="24"/>
          <w:szCs w:val="24"/>
          <w:lang w:val="en-US"/>
        </w:rPr>
      </w:pPr>
      <w:r w:rsidRPr="00976707">
        <w:rPr>
          <w:rFonts w:ascii="Times New Roman" w:hAnsi="Times New Roman" w:cs="Times New Roman"/>
          <w:sz w:val="24"/>
          <w:szCs w:val="24"/>
          <w:lang w:val="en-US"/>
        </w:rPr>
        <w:t>Witte</w:t>
      </w:r>
      <w:r w:rsidR="008D4BB0" w:rsidRPr="00976707">
        <w:rPr>
          <w:rFonts w:ascii="Times New Roman" w:hAnsi="Times New Roman" w:cs="Times New Roman"/>
          <w:sz w:val="24"/>
          <w:szCs w:val="24"/>
          <w:lang w:val="en-US"/>
        </w:rPr>
        <w:t>n</w:t>
      </w:r>
      <w:r w:rsidRPr="00976707">
        <w:rPr>
          <w:rFonts w:ascii="Times New Roman" w:hAnsi="Times New Roman" w:cs="Times New Roman"/>
          <w:sz w:val="24"/>
          <w:szCs w:val="24"/>
          <w:lang w:val="en-US"/>
        </w:rPr>
        <w:t>dor</w:t>
      </w:r>
      <w:r w:rsidR="004C6F25" w:rsidRPr="00976707">
        <w:rPr>
          <w:rFonts w:ascii="Times New Roman" w:hAnsi="Times New Roman" w:cs="Times New Roman"/>
          <w:sz w:val="24"/>
          <w:szCs w:val="24"/>
          <w:lang w:val="en-US"/>
        </w:rPr>
        <w:t>f</w:t>
      </w:r>
      <w:r w:rsidRPr="00976707">
        <w:rPr>
          <w:rFonts w:ascii="Times New Roman" w:hAnsi="Times New Roman" w:cs="Times New Roman"/>
          <w:sz w:val="24"/>
          <w:szCs w:val="24"/>
          <w:lang w:val="en-US"/>
        </w:rPr>
        <w:t>f</w:t>
      </w:r>
      <w:r w:rsidR="008D4BB0" w:rsidRPr="00976707">
        <w:rPr>
          <w:rFonts w:ascii="Times New Roman" w:hAnsi="Times New Roman" w:cs="Times New Roman"/>
          <w:sz w:val="24"/>
          <w:szCs w:val="24"/>
          <w:lang w:val="en-US"/>
        </w:rPr>
        <w:t>’s</w:t>
      </w:r>
      <w:r w:rsidR="001F225C" w:rsidRPr="00B16AA8">
        <w:rPr>
          <w:rFonts w:ascii="Times New Roman" w:hAnsi="Times New Roman" w:cs="Times New Roman"/>
          <w:sz w:val="24"/>
          <w:szCs w:val="24"/>
          <w:lang w:val="en-US"/>
        </w:rPr>
        <w:t xml:space="preserve"> conclusion i</w:t>
      </w:r>
      <w:r w:rsidRPr="00B16AA8">
        <w:rPr>
          <w:rFonts w:ascii="Times New Roman" w:hAnsi="Times New Roman" w:cs="Times New Roman"/>
          <w:sz w:val="24"/>
          <w:szCs w:val="24"/>
          <w:lang w:val="en-US"/>
        </w:rPr>
        <w:t xml:space="preserve">s in consonance with the evidence of the purported expert witness on the point. She readily conceded under cross examination that the guidelines were not rules of law. </w:t>
      </w:r>
      <w:r w:rsidR="005422DE">
        <w:rPr>
          <w:rFonts w:ascii="Times New Roman" w:hAnsi="Times New Roman" w:cs="Times New Roman"/>
          <w:sz w:val="24"/>
          <w:szCs w:val="24"/>
          <w:lang w:val="en-US"/>
        </w:rPr>
        <w:t xml:space="preserve"> In my view, t</w:t>
      </w:r>
      <w:r w:rsidR="008D4BB0" w:rsidRPr="00B16AA8">
        <w:rPr>
          <w:rFonts w:ascii="Times New Roman" w:hAnsi="Times New Roman" w:cs="Times New Roman"/>
          <w:sz w:val="24"/>
          <w:szCs w:val="24"/>
          <w:lang w:val="en-US"/>
        </w:rPr>
        <w:t>he guidelines perpetually remain work-in-progress, being subject to unending and periodic rev</w:t>
      </w:r>
      <w:r w:rsidR="005422DE">
        <w:rPr>
          <w:rFonts w:ascii="Times New Roman" w:hAnsi="Times New Roman" w:cs="Times New Roman"/>
          <w:sz w:val="24"/>
          <w:szCs w:val="24"/>
          <w:lang w:val="en-US"/>
        </w:rPr>
        <w:t>iews, which</w:t>
      </w:r>
      <w:r w:rsidR="001F225C" w:rsidRPr="00B16AA8">
        <w:rPr>
          <w:rFonts w:ascii="Times New Roman" w:hAnsi="Times New Roman" w:cs="Times New Roman"/>
          <w:sz w:val="24"/>
          <w:szCs w:val="24"/>
          <w:lang w:val="en-US"/>
        </w:rPr>
        <w:t xml:space="preserve"> eschew</w:t>
      </w:r>
      <w:r w:rsidR="008D4BB0" w:rsidRPr="00B16AA8">
        <w:rPr>
          <w:rFonts w:ascii="Times New Roman" w:hAnsi="Times New Roman" w:cs="Times New Roman"/>
          <w:sz w:val="24"/>
          <w:szCs w:val="24"/>
          <w:lang w:val="en-US"/>
        </w:rPr>
        <w:t xml:space="preserve"> their ability to ever achieve the status </w:t>
      </w:r>
      <w:r w:rsidR="0055398B" w:rsidRPr="00B16AA8">
        <w:rPr>
          <w:rFonts w:ascii="Times New Roman" w:hAnsi="Times New Roman" w:cs="Times New Roman"/>
          <w:sz w:val="24"/>
          <w:szCs w:val="24"/>
          <w:lang w:val="en-US"/>
        </w:rPr>
        <w:t xml:space="preserve">of customary international law. Being subject to change with each periodic review, they lack the consistency and certainty required of customary international law. </w:t>
      </w:r>
    </w:p>
    <w:p w:rsidR="003F17C6" w:rsidRPr="00B16AA8" w:rsidRDefault="003F17C6" w:rsidP="009736FF">
      <w:pPr>
        <w:spacing w:after="0" w:line="360" w:lineRule="auto"/>
        <w:ind w:firstLine="720"/>
        <w:jc w:val="both"/>
        <w:rPr>
          <w:rFonts w:ascii="Times New Roman" w:hAnsi="Times New Roman" w:cs="Times New Roman"/>
          <w:sz w:val="24"/>
          <w:szCs w:val="24"/>
          <w:lang w:val="en-US"/>
        </w:rPr>
      </w:pPr>
      <w:r w:rsidRPr="00B16AA8">
        <w:rPr>
          <w:rFonts w:ascii="Times New Roman" w:hAnsi="Times New Roman" w:cs="Times New Roman"/>
          <w:sz w:val="24"/>
          <w:szCs w:val="24"/>
          <w:lang w:val="en-US"/>
        </w:rPr>
        <w:t xml:space="preserve">To the same effect was </w:t>
      </w:r>
      <w:r w:rsidR="009736FF" w:rsidRPr="009736FF">
        <w:rPr>
          <w:rFonts w:ascii="Times New Roman" w:hAnsi="Times New Roman" w:cs="Times New Roman"/>
          <w:smallCaps/>
          <w:sz w:val="24"/>
          <w:szCs w:val="24"/>
        </w:rPr>
        <w:t>visram</w:t>
      </w:r>
      <w:r w:rsidRPr="00B16AA8">
        <w:rPr>
          <w:rFonts w:ascii="Times New Roman" w:hAnsi="Times New Roman" w:cs="Times New Roman"/>
          <w:sz w:val="24"/>
          <w:szCs w:val="24"/>
        </w:rPr>
        <w:t xml:space="preserve"> J in the </w:t>
      </w:r>
      <w:r w:rsidRPr="00B16AA8">
        <w:rPr>
          <w:rFonts w:ascii="Times New Roman" w:hAnsi="Times New Roman" w:cs="Times New Roman"/>
          <w:i/>
          <w:sz w:val="24"/>
          <w:szCs w:val="24"/>
        </w:rPr>
        <w:t>Unilever Kenya</w:t>
      </w:r>
      <w:r w:rsidR="001F225C" w:rsidRPr="00B16AA8">
        <w:rPr>
          <w:rFonts w:ascii="Times New Roman" w:hAnsi="Times New Roman" w:cs="Times New Roman"/>
          <w:sz w:val="24"/>
          <w:szCs w:val="24"/>
        </w:rPr>
        <w:t xml:space="preserve"> case, </w:t>
      </w:r>
      <w:r w:rsidR="009736FF">
        <w:rPr>
          <w:rFonts w:ascii="Times New Roman" w:hAnsi="Times New Roman" w:cs="Times New Roman"/>
          <w:sz w:val="24"/>
          <w:szCs w:val="24"/>
        </w:rPr>
        <w:t>at p 12</w:t>
      </w:r>
      <w:r w:rsidR="00A007EB" w:rsidRPr="00B16AA8">
        <w:rPr>
          <w:rFonts w:ascii="Times New Roman" w:hAnsi="Times New Roman" w:cs="Times New Roman"/>
          <w:sz w:val="24"/>
          <w:szCs w:val="24"/>
        </w:rPr>
        <w:t xml:space="preserve"> </w:t>
      </w:r>
      <w:r w:rsidR="001F225C" w:rsidRPr="00B16AA8">
        <w:rPr>
          <w:rFonts w:ascii="Times New Roman" w:hAnsi="Times New Roman" w:cs="Times New Roman"/>
          <w:sz w:val="24"/>
          <w:szCs w:val="24"/>
        </w:rPr>
        <w:t>where he said:</w:t>
      </w:r>
    </w:p>
    <w:p w:rsidR="003F17C6" w:rsidRDefault="003F17C6" w:rsidP="00034CB6">
      <w:pPr>
        <w:spacing w:after="0" w:line="240" w:lineRule="auto"/>
        <w:ind w:left="720"/>
        <w:jc w:val="both"/>
        <w:rPr>
          <w:rFonts w:ascii="Times New Roman" w:hAnsi="Times New Roman" w:cs="Times New Roman"/>
        </w:rPr>
      </w:pPr>
      <w:r w:rsidRPr="00034CB6">
        <w:rPr>
          <w:rFonts w:ascii="Times New Roman" w:hAnsi="Times New Roman" w:cs="Times New Roman"/>
        </w:rPr>
        <w:t>“</w:t>
      </w:r>
      <w:r w:rsidRPr="00034CB6">
        <w:rPr>
          <w:rFonts w:ascii="Times New Roman" w:hAnsi="Times New Roman" w:cs="Times New Roman"/>
          <w:u w:val="single"/>
        </w:rPr>
        <w:t>Now these guidelines do not form the laws of the countries concerned. They are simply guidelines, guiding the world of business that is business enterprises and the taxing authorities of those countries in arriving at proper transfer pricing policy principles for the purposes of computation of income tax</w:t>
      </w:r>
      <w:r w:rsidRPr="00034CB6">
        <w:rPr>
          <w:rFonts w:ascii="Times New Roman" w:hAnsi="Times New Roman" w:cs="Times New Roman"/>
        </w:rPr>
        <w:t>. And especially because of the absence of any such guidelines in Kenya, we must look elsewhere. I have no doubt in my mind that the relevant guidelines such as the TP principles are not just here for relaxed reading. These have been evolved in other jurisdictions after considerable debates and taking into account appropriate factors to arrive at results that are equitable to all parties. It would be foolhardy for any court to disregard internationally accepted principles of business as long as these do not conflict with our own law. To do otherwise would be highly short-sighted.” (</w:t>
      </w:r>
      <w:r w:rsidR="00383307" w:rsidRPr="00034CB6">
        <w:rPr>
          <w:rFonts w:ascii="Times New Roman" w:hAnsi="Times New Roman" w:cs="Times New Roman"/>
        </w:rPr>
        <w:t>My</w:t>
      </w:r>
      <w:r w:rsidRPr="00034CB6">
        <w:rPr>
          <w:rFonts w:ascii="Times New Roman" w:hAnsi="Times New Roman" w:cs="Times New Roman"/>
        </w:rPr>
        <w:t xml:space="preserve"> underlining for emphasis)</w:t>
      </w:r>
      <w:r w:rsidR="000D691F" w:rsidRPr="00034CB6">
        <w:rPr>
          <w:rFonts w:ascii="Times New Roman" w:hAnsi="Times New Roman" w:cs="Times New Roman"/>
        </w:rPr>
        <w:t>.</w:t>
      </w:r>
    </w:p>
    <w:p w:rsidR="00034CB6" w:rsidRPr="00034CB6" w:rsidRDefault="00034CB6" w:rsidP="00034CB6">
      <w:pPr>
        <w:spacing w:after="0" w:line="240" w:lineRule="auto"/>
        <w:ind w:left="720"/>
        <w:jc w:val="both"/>
        <w:rPr>
          <w:rFonts w:ascii="Times New Roman" w:hAnsi="Times New Roman" w:cs="Times New Roman"/>
        </w:rPr>
      </w:pPr>
    </w:p>
    <w:p w:rsidR="001F225C" w:rsidRPr="00B16AA8" w:rsidRDefault="00555AE4" w:rsidP="00911296">
      <w:pPr>
        <w:spacing w:after="0" w:line="360" w:lineRule="auto"/>
        <w:ind w:firstLine="720"/>
        <w:jc w:val="both"/>
        <w:rPr>
          <w:rFonts w:ascii="Times New Roman" w:hAnsi="Times New Roman" w:cs="Times New Roman"/>
          <w:sz w:val="24"/>
          <w:szCs w:val="24"/>
        </w:rPr>
      </w:pPr>
      <w:r w:rsidRPr="00B16AA8">
        <w:rPr>
          <w:rFonts w:ascii="Times New Roman" w:hAnsi="Times New Roman" w:cs="Times New Roman"/>
          <w:sz w:val="24"/>
          <w:szCs w:val="24"/>
        </w:rPr>
        <w:t xml:space="preserve">See also </w:t>
      </w:r>
      <w:r w:rsidR="005422DE">
        <w:rPr>
          <w:rFonts w:ascii="Times New Roman" w:hAnsi="Times New Roman" w:cs="Times New Roman"/>
          <w:sz w:val="24"/>
          <w:szCs w:val="24"/>
        </w:rPr>
        <w:t xml:space="preserve">the </w:t>
      </w:r>
      <w:r w:rsidRPr="00B16AA8">
        <w:rPr>
          <w:rFonts w:ascii="Times New Roman" w:hAnsi="Times New Roman" w:cs="Times New Roman"/>
          <w:i/>
          <w:sz w:val="24"/>
          <w:szCs w:val="24"/>
        </w:rPr>
        <w:t>Glenister</w:t>
      </w:r>
      <w:r w:rsidR="00383307" w:rsidRPr="00B16AA8">
        <w:rPr>
          <w:rStyle w:val="FootnoteReference"/>
          <w:rFonts w:ascii="Times New Roman" w:hAnsi="Times New Roman" w:cs="Times New Roman"/>
          <w:sz w:val="24"/>
          <w:szCs w:val="24"/>
        </w:rPr>
        <w:footnoteReference w:id="17"/>
      </w:r>
      <w:r w:rsidRPr="00B16AA8">
        <w:rPr>
          <w:rFonts w:ascii="Times New Roman" w:hAnsi="Times New Roman" w:cs="Times New Roman"/>
          <w:sz w:val="24"/>
          <w:szCs w:val="24"/>
        </w:rPr>
        <w:t xml:space="preserve"> </w:t>
      </w:r>
      <w:r w:rsidR="00383307" w:rsidRPr="00B16AA8">
        <w:rPr>
          <w:rFonts w:ascii="Times New Roman" w:hAnsi="Times New Roman" w:cs="Times New Roman"/>
          <w:sz w:val="24"/>
          <w:szCs w:val="24"/>
        </w:rPr>
        <w:t xml:space="preserve">case where </w:t>
      </w:r>
      <w:r w:rsidR="00383307" w:rsidRPr="00911296">
        <w:rPr>
          <w:rFonts w:ascii="Times New Roman" w:hAnsi="Times New Roman" w:cs="Times New Roman"/>
          <w:smallCaps/>
          <w:sz w:val="24"/>
          <w:szCs w:val="24"/>
        </w:rPr>
        <w:t>Moseneke</w:t>
      </w:r>
      <w:r w:rsidR="00383307" w:rsidRPr="00B16AA8">
        <w:rPr>
          <w:rFonts w:ascii="Times New Roman" w:hAnsi="Times New Roman" w:cs="Times New Roman"/>
          <w:sz w:val="24"/>
          <w:szCs w:val="24"/>
        </w:rPr>
        <w:t xml:space="preserve"> DCJ and </w:t>
      </w:r>
      <w:r w:rsidR="00383307" w:rsidRPr="00911296">
        <w:rPr>
          <w:rFonts w:ascii="Times New Roman" w:hAnsi="Times New Roman" w:cs="Times New Roman"/>
          <w:smallCaps/>
          <w:sz w:val="24"/>
          <w:szCs w:val="24"/>
        </w:rPr>
        <w:t xml:space="preserve">Cameron </w:t>
      </w:r>
      <w:r w:rsidR="00383307" w:rsidRPr="00B16AA8">
        <w:rPr>
          <w:rFonts w:ascii="Times New Roman" w:hAnsi="Times New Roman" w:cs="Times New Roman"/>
          <w:sz w:val="24"/>
          <w:szCs w:val="24"/>
        </w:rPr>
        <w:t>J said of a kindred OECD Report</w:t>
      </w:r>
      <w:r w:rsidR="001F225C" w:rsidRPr="00B16AA8">
        <w:rPr>
          <w:rFonts w:ascii="Times New Roman" w:hAnsi="Times New Roman" w:cs="Times New Roman"/>
          <w:sz w:val="24"/>
          <w:szCs w:val="24"/>
        </w:rPr>
        <w:t>:</w:t>
      </w:r>
    </w:p>
    <w:p w:rsidR="00555AE4" w:rsidRDefault="00555AE4" w:rsidP="00034CB6">
      <w:pPr>
        <w:spacing w:after="0" w:line="240" w:lineRule="auto"/>
        <w:ind w:left="720"/>
        <w:jc w:val="both"/>
        <w:rPr>
          <w:rFonts w:ascii="Times New Roman" w:hAnsi="Times New Roman" w:cs="Times New Roman"/>
        </w:rPr>
      </w:pPr>
      <w:r w:rsidRPr="00034CB6">
        <w:rPr>
          <w:rFonts w:ascii="Times New Roman" w:hAnsi="Times New Roman" w:cs="Times New Roman"/>
        </w:rPr>
        <w:t>“The OECD Report is not in itself binding in international law but can be used to interpret and give content to the obligations in the Conventions</w:t>
      </w:r>
      <w:r w:rsidR="00383307" w:rsidRPr="00034CB6">
        <w:rPr>
          <w:rFonts w:ascii="Times New Roman" w:hAnsi="Times New Roman" w:cs="Times New Roman"/>
        </w:rPr>
        <w:t xml:space="preserve"> we have described.</w:t>
      </w:r>
      <w:r w:rsidRPr="00034CB6">
        <w:rPr>
          <w:rFonts w:ascii="Times New Roman" w:hAnsi="Times New Roman" w:cs="Times New Roman"/>
        </w:rPr>
        <w:t>”</w:t>
      </w:r>
    </w:p>
    <w:p w:rsidR="00034CB6" w:rsidRPr="00034CB6" w:rsidRDefault="00034CB6" w:rsidP="00034CB6">
      <w:pPr>
        <w:spacing w:after="0" w:line="240" w:lineRule="auto"/>
        <w:ind w:left="720"/>
        <w:jc w:val="both"/>
        <w:rPr>
          <w:rFonts w:ascii="Times New Roman" w:hAnsi="Times New Roman" w:cs="Times New Roman"/>
        </w:rPr>
      </w:pPr>
    </w:p>
    <w:p w:rsidR="008201B3" w:rsidRPr="00B16AA8" w:rsidRDefault="0055398B" w:rsidP="00034CB6">
      <w:pPr>
        <w:spacing w:after="0" w:line="360" w:lineRule="auto"/>
        <w:ind w:firstLine="720"/>
        <w:jc w:val="both"/>
        <w:rPr>
          <w:rFonts w:ascii="Times New Roman" w:hAnsi="Times New Roman" w:cs="Times New Roman"/>
          <w:sz w:val="24"/>
          <w:szCs w:val="24"/>
          <w:lang w:val="en-US"/>
        </w:rPr>
      </w:pPr>
      <w:r w:rsidRPr="00B16AA8">
        <w:rPr>
          <w:rFonts w:ascii="Times New Roman" w:hAnsi="Times New Roman" w:cs="Times New Roman"/>
          <w:sz w:val="24"/>
          <w:szCs w:val="24"/>
          <w:lang w:val="en-US"/>
        </w:rPr>
        <w:t xml:space="preserve">The appellant, thus failed to establish that the OECD TPGs are part of customary international law. </w:t>
      </w:r>
      <w:r w:rsidR="00551C32" w:rsidRPr="00B16AA8">
        <w:rPr>
          <w:rFonts w:ascii="Times New Roman" w:hAnsi="Times New Roman" w:cs="Times New Roman"/>
          <w:sz w:val="24"/>
          <w:szCs w:val="24"/>
          <w:lang w:val="en-US"/>
        </w:rPr>
        <w:t xml:space="preserve">It also failed to establish that its preferred application of the guidelines was consistent with s 98 of the Income Tax Act in the light of the </w:t>
      </w:r>
      <w:r w:rsidR="00BA1F49" w:rsidRPr="00B16AA8">
        <w:rPr>
          <w:rFonts w:ascii="Times New Roman" w:hAnsi="Times New Roman" w:cs="Times New Roman"/>
          <w:sz w:val="24"/>
          <w:szCs w:val="24"/>
          <w:lang w:val="en-US"/>
        </w:rPr>
        <w:t xml:space="preserve">apposite and </w:t>
      </w:r>
      <w:r w:rsidR="00551C32" w:rsidRPr="00B16AA8">
        <w:rPr>
          <w:rFonts w:ascii="Times New Roman" w:hAnsi="Times New Roman" w:cs="Times New Roman"/>
          <w:sz w:val="24"/>
          <w:szCs w:val="24"/>
          <w:lang w:val="en-US"/>
        </w:rPr>
        <w:t>binding interpretation rendered by the Rhodesian Appellate Division</w:t>
      </w:r>
      <w:r w:rsidR="00BA1F49" w:rsidRPr="00B16AA8">
        <w:rPr>
          <w:rFonts w:ascii="Times New Roman" w:hAnsi="Times New Roman" w:cs="Times New Roman"/>
          <w:sz w:val="24"/>
          <w:szCs w:val="24"/>
          <w:lang w:val="en-US"/>
        </w:rPr>
        <w:t>, the</w:t>
      </w:r>
      <w:r w:rsidR="00551C32" w:rsidRPr="00B16AA8">
        <w:rPr>
          <w:rFonts w:ascii="Times New Roman" w:hAnsi="Times New Roman" w:cs="Times New Roman"/>
          <w:sz w:val="24"/>
          <w:szCs w:val="24"/>
          <w:lang w:val="en-US"/>
        </w:rPr>
        <w:t xml:space="preserve"> precursor to our Supreme Court, </w:t>
      </w:r>
      <w:r w:rsidR="00BA1F49" w:rsidRPr="00B16AA8">
        <w:rPr>
          <w:rFonts w:ascii="Times New Roman" w:hAnsi="Times New Roman" w:cs="Times New Roman"/>
          <w:sz w:val="24"/>
          <w:szCs w:val="24"/>
          <w:lang w:val="en-US"/>
        </w:rPr>
        <w:t>to s 91, also the precursor to our s 98 of the Income Tax Act in</w:t>
      </w:r>
      <w:r w:rsidR="008201B3" w:rsidRPr="00B16AA8">
        <w:rPr>
          <w:rFonts w:ascii="Times New Roman" w:hAnsi="Times New Roman" w:cs="Times New Roman"/>
          <w:sz w:val="24"/>
          <w:szCs w:val="24"/>
          <w:lang w:val="en-US"/>
        </w:rPr>
        <w:t xml:space="preserve"> </w:t>
      </w:r>
      <w:r w:rsidR="008201B3" w:rsidRPr="00B16AA8">
        <w:rPr>
          <w:rFonts w:ascii="Times New Roman" w:hAnsi="Times New Roman" w:cs="Times New Roman"/>
          <w:i/>
          <w:sz w:val="24"/>
          <w:szCs w:val="24"/>
          <w:lang w:val="en-US"/>
        </w:rPr>
        <w:t xml:space="preserve">Commissioner of Taxes </w:t>
      </w:r>
      <w:r w:rsidR="008201B3" w:rsidRPr="00034CB6">
        <w:rPr>
          <w:rFonts w:ascii="Times New Roman" w:hAnsi="Times New Roman" w:cs="Times New Roman"/>
          <w:sz w:val="24"/>
          <w:szCs w:val="24"/>
          <w:lang w:val="en-US"/>
        </w:rPr>
        <w:t>v</w:t>
      </w:r>
      <w:r w:rsidR="008201B3" w:rsidRPr="00B16AA8">
        <w:rPr>
          <w:rFonts w:ascii="Times New Roman" w:hAnsi="Times New Roman" w:cs="Times New Roman"/>
          <w:i/>
          <w:sz w:val="24"/>
          <w:szCs w:val="24"/>
          <w:lang w:val="en-US"/>
        </w:rPr>
        <w:t xml:space="preserve"> Ferera</w:t>
      </w:r>
      <w:r w:rsidR="008201B3" w:rsidRPr="00B16AA8">
        <w:rPr>
          <w:rFonts w:ascii="Times New Roman" w:hAnsi="Times New Roman" w:cs="Times New Roman"/>
          <w:sz w:val="24"/>
          <w:szCs w:val="24"/>
          <w:lang w:val="en-US"/>
        </w:rPr>
        <w:t xml:space="preserve"> 1976 (2) SA 653 (RAD)</w:t>
      </w:r>
      <w:r w:rsidR="00BA1F49" w:rsidRPr="00B16AA8">
        <w:rPr>
          <w:rFonts w:ascii="Times New Roman" w:hAnsi="Times New Roman" w:cs="Times New Roman"/>
          <w:sz w:val="24"/>
          <w:szCs w:val="24"/>
          <w:lang w:val="en-US"/>
        </w:rPr>
        <w:t>.</w:t>
      </w:r>
      <w:r w:rsidR="008201B3" w:rsidRPr="00B16AA8">
        <w:rPr>
          <w:rFonts w:ascii="Times New Roman" w:hAnsi="Times New Roman" w:cs="Times New Roman"/>
          <w:sz w:val="24"/>
          <w:szCs w:val="24"/>
          <w:lang w:val="en-US"/>
        </w:rPr>
        <w:t xml:space="preserve"> </w:t>
      </w:r>
      <w:r w:rsidR="00BA1F49" w:rsidRPr="00B16AA8">
        <w:rPr>
          <w:rFonts w:ascii="Times New Roman" w:hAnsi="Times New Roman" w:cs="Times New Roman"/>
          <w:sz w:val="24"/>
          <w:szCs w:val="24"/>
          <w:lang w:val="en-US"/>
        </w:rPr>
        <w:t xml:space="preserve">At </w:t>
      </w:r>
      <w:r w:rsidR="00551C32" w:rsidRPr="00B16AA8">
        <w:rPr>
          <w:rFonts w:ascii="Times New Roman" w:hAnsi="Times New Roman" w:cs="Times New Roman"/>
          <w:sz w:val="24"/>
          <w:szCs w:val="24"/>
          <w:lang w:val="en-US"/>
        </w:rPr>
        <w:t>659A</w:t>
      </w:r>
      <w:r w:rsidR="00BA1F49" w:rsidRPr="00B16AA8">
        <w:rPr>
          <w:rFonts w:ascii="Times New Roman" w:hAnsi="Times New Roman" w:cs="Times New Roman"/>
          <w:sz w:val="24"/>
          <w:szCs w:val="24"/>
          <w:lang w:val="en-US"/>
        </w:rPr>
        <w:t xml:space="preserve">, </w:t>
      </w:r>
      <w:r w:rsidR="00034CB6" w:rsidRPr="00034CB6">
        <w:rPr>
          <w:rFonts w:ascii="Times New Roman" w:hAnsi="Times New Roman" w:cs="Times New Roman"/>
          <w:smallCaps/>
          <w:sz w:val="24"/>
          <w:szCs w:val="24"/>
          <w:lang w:val="en-US"/>
        </w:rPr>
        <w:t>macdonald</w:t>
      </w:r>
      <w:r w:rsidR="00BA1F49" w:rsidRPr="00B16AA8">
        <w:rPr>
          <w:rFonts w:ascii="Times New Roman" w:hAnsi="Times New Roman" w:cs="Times New Roman"/>
          <w:sz w:val="24"/>
          <w:szCs w:val="24"/>
          <w:lang w:val="en-US"/>
        </w:rPr>
        <w:t xml:space="preserve"> JP, as he then was, said:</w:t>
      </w:r>
    </w:p>
    <w:p w:rsidR="00BA1F49" w:rsidRDefault="00BA1F49" w:rsidP="00B27194">
      <w:pPr>
        <w:spacing w:after="0" w:line="240" w:lineRule="auto"/>
        <w:ind w:left="720"/>
        <w:jc w:val="both"/>
        <w:rPr>
          <w:rFonts w:ascii="Times New Roman" w:hAnsi="Times New Roman" w:cs="Times New Roman"/>
        </w:rPr>
      </w:pPr>
      <w:r w:rsidRPr="00B27194">
        <w:rPr>
          <w:rFonts w:ascii="Times New Roman" w:hAnsi="Times New Roman" w:cs="Times New Roman"/>
          <w:lang w:val="en-US"/>
        </w:rPr>
        <w:t>“</w:t>
      </w:r>
      <w:r w:rsidRPr="00B27194">
        <w:rPr>
          <w:rFonts w:ascii="Times New Roman" w:hAnsi="Times New Roman" w:cs="Times New Roman"/>
        </w:rPr>
        <w:t xml:space="preserve">It is </w:t>
      </w:r>
      <w:r w:rsidR="00F225EC" w:rsidRPr="00B27194">
        <w:rPr>
          <w:rFonts w:ascii="Times New Roman" w:hAnsi="Times New Roman" w:cs="Times New Roman"/>
        </w:rPr>
        <w:t>equally absurd to suggest that the Legislature could possibly have intended, as has sometimes been suggested</w:t>
      </w:r>
      <w:r w:rsidRPr="00B27194">
        <w:rPr>
          <w:rFonts w:ascii="Times New Roman" w:hAnsi="Times New Roman" w:cs="Times New Roman"/>
        </w:rPr>
        <w:t>, that taxpayers</w:t>
      </w:r>
      <w:r w:rsidR="00F225EC" w:rsidRPr="00B27194">
        <w:rPr>
          <w:rFonts w:ascii="Times New Roman" w:hAnsi="Times New Roman" w:cs="Times New Roman"/>
        </w:rPr>
        <w:t xml:space="preserve"> would not be subjected to those powers if the means or the manner employed to avoid, p</w:t>
      </w:r>
      <w:r w:rsidRPr="00B27194">
        <w:rPr>
          <w:rFonts w:ascii="Times New Roman" w:hAnsi="Times New Roman" w:cs="Times New Roman"/>
        </w:rPr>
        <w:t>ostpone</w:t>
      </w:r>
      <w:r w:rsidR="00F225EC" w:rsidRPr="00B27194">
        <w:rPr>
          <w:rFonts w:ascii="Times New Roman" w:hAnsi="Times New Roman" w:cs="Times New Roman"/>
        </w:rPr>
        <w:t xml:space="preserve"> or r</w:t>
      </w:r>
      <w:r w:rsidRPr="00B27194">
        <w:rPr>
          <w:rFonts w:ascii="Times New Roman" w:hAnsi="Times New Roman" w:cs="Times New Roman"/>
        </w:rPr>
        <w:t>educe</w:t>
      </w:r>
      <w:r w:rsidR="00F225EC" w:rsidRPr="00B27194">
        <w:rPr>
          <w:rFonts w:ascii="Times New Roman" w:hAnsi="Times New Roman" w:cs="Times New Roman"/>
        </w:rPr>
        <w:t xml:space="preserve"> tax </w:t>
      </w:r>
      <w:r w:rsidRPr="00B27194">
        <w:rPr>
          <w:rFonts w:ascii="Times New Roman" w:hAnsi="Times New Roman" w:cs="Times New Roman"/>
        </w:rPr>
        <w:t xml:space="preserve">was a means or manner normally employed for this purpose.” </w:t>
      </w:r>
    </w:p>
    <w:p w:rsidR="00B27194" w:rsidRPr="00B27194" w:rsidRDefault="00B27194" w:rsidP="00B27194">
      <w:pPr>
        <w:spacing w:after="0" w:line="240" w:lineRule="auto"/>
        <w:ind w:left="720"/>
        <w:jc w:val="both"/>
        <w:rPr>
          <w:rFonts w:ascii="Times New Roman" w:hAnsi="Times New Roman" w:cs="Times New Roman"/>
        </w:rPr>
      </w:pPr>
    </w:p>
    <w:p w:rsidR="00BA1F49" w:rsidRPr="00B16AA8" w:rsidRDefault="00493E98" w:rsidP="00B16AA8">
      <w:pPr>
        <w:spacing w:after="0" w:line="360" w:lineRule="auto"/>
        <w:jc w:val="both"/>
        <w:rPr>
          <w:rFonts w:ascii="Times New Roman" w:hAnsi="Times New Roman" w:cs="Times New Roman"/>
          <w:sz w:val="24"/>
          <w:szCs w:val="24"/>
        </w:rPr>
      </w:pPr>
      <w:r w:rsidRPr="00B16AA8">
        <w:rPr>
          <w:rFonts w:ascii="Times New Roman" w:hAnsi="Times New Roman" w:cs="Times New Roman"/>
          <w:sz w:val="24"/>
          <w:szCs w:val="24"/>
        </w:rPr>
        <w:t>And held at p 659F:</w:t>
      </w:r>
    </w:p>
    <w:p w:rsidR="00493E98" w:rsidRDefault="00493E98" w:rsidP="00911296">
      <w:pPr>
        <w:spacing w:after="0" w:line="240" w:lineRule="auto"/>
        <w:ind w:left="720"/>
        <w:jc w:val="both"/>
        <w:rPr>
          <w:rFonts w:ascii="Times New Roman" w:hAnsi="Times New Roman" w:cs="Times New Roman"/>
        </w:rPr>
      </w:pPr>
      <w:r w:rsidRPr="00911296">
        <w:rPr>
          <w:rFonts w:ascii="Times New Roman" w:hAnsi="Times New Roman" w:cs="Times New Roman"/>
        </w:rPr>
        <w:t>“When by a transaction, operation or scheme income has been prevented from accruing in a way it would “normally and naturally accrue”, it is no answer for the taxpayer to say that quite a normal method of tax avoidance was used to bring about this result. The acceptance of such an answer would defeat the purpose of the section.”</w:t>
      </w:r>
    </w:p>
    <w:p w:rsidR="00911296" w:rsidRPr="00911296" w:rsidRDefault="00911296" w:rsidP="00911296">
      <w:pPr>
        <w:spacing w:after="0" w:line="240" w:lineRule="auto"/>
        <w:ind w:left="720"/>
        <w:jc w:val="both"/>
        <w:rPr>
          <w:rFonts w:ascii="Times New Roman" w:hAnsi="Times New Roman" w:cs="Times New Roman"/>
        </w:rPr>
      </w:pPr>
    </w:p>
    <w:p w:rsidR="009264DB" w:rsidRPr="00B16AA8" w:rsidRDefault="00493E98" w:rsidP="004730C3">
      <w:pPr>
        <w:spacing w:after="0" w:line="360" w:lineRule="auto"/>
        <w:ind w:firstLine="720"/>
        <w:jc w:val="both"/>
        <w:rPr>
          <w:rFonts w:ascii="Times New Roman" w:hAnsi="Times New Roman" w:cs="Times New Roman"/>
          <w:sz w:val="24"/>
          <w:szCs w:val="24"/>
        </w:rPr>
      </w:pPr>
      <w:r w:rsidRPr="00B16AA8">
        <w:rPr>
          <w:rFonts w:ascii="Times New Roman" w:hAnsi="Times New Roman" w:cs="Times New Roman"/>
          <w:sz w:val="24"/>
          <w:szCs w:val="24"/>
        </w:rPr>
        <w:t>It is my finding that that the use o</w:t>
      </w:r>
      <w:r w:rsidR="007B484C" w:rsidRPr="00B16AA8">
        <w:rPr>
          <w:rFonts w:ascii="Times New Roman" w:hAnsi="Times New Roman" w:cs="Times New Roman"/>
          <w:sz w:val="24"/>
          <w:szCs w:val="24"/>
        </w:rPr>
        <w:t>f the guidelines by possibly 85</w:t>
      </w:r>
      <w:r w:rsidRPr="00B16AA8">
        <w:rPr>
          <w:rFonts w:ascii="Times New Roman" w:hAnsi="Times New Roman" w:cs="Times New Roman"/>
          <w:sz w:val="24"/>
          <w:szCs w:val="24"/>
        </w:rPr>
        <w:t xml:space="preserve"> countries, which regard them as normal, did not justify their adoption by the appellant in the face of a contrary interpretation rendered by our Supreme Court. In any event, the majority of these countries utilized them by dint of their </w:t>
      </w:r>
      <w:r w:rsidR="00ED2E56" w:rsidRPr="00B16AA8">
        <w:rPr>
          <w:rFonts w:ascii="Times New Roman" w:hAnsi="Times New Roman" w:cs="Times New Roman"/>
          <w:sz w:val="24"/>
          <w:szCs w:val="24"/>
        </w:rPr>
        <w:t>respective treaty obligations and</w:t>
      </w:r>
      <w:r w:rsidR="00931E69" w:rsidRPr="00B16AA8">
        <w:rPr>
          <w:rFonts w:ascii="Times New Roman" w:hAnsi="Times New Roman" w:cs="Times New Roman"/>
          <w:sz w:val="24"/>
          <w:szCs w:val="24"/>
        </w:rPr>
        <w:t xml:space="preserve"> domestic legislation. </w:t>
      </w:r>
      <w:r w:rsidR="009264DB" w:rsidRPr="00B16AA8">
        <w:rPr>
          <w:rFonts w:ascii="Times New Roman" w:hAnsi="Times New Roman" w:cs="Times New Roman"/>
          <w:sz w:val="24"/>
          <w:szCs w:val="24"/>
        </w:rPr>
        <w:t xml:space="preserve">I am satisfied that the appellant failed to establish that the guidelines had the force of law in Zimbabwe. The Commissioner correctly disregarded them in raising the assessments and in his determination of the objection. </w:t>
      </w:r>
      <w:r w:rsidR="00BF38D4" w:rsidRPr="00B16AA8">
        <w:rPr>
          <w:rFonts w:ascii="Times New Roman" w:hAnsi="Times New Roman" w:cs="Times New Roman"/>
          <w:sz w:val="24"/>
          <w:szCs w:val="24"/>
        </w:rPr>
        <w:t xml:space="preserve"> </w:t>
      </w:r>
    </w:p>
    <w:p w:rsidR="0049672F" w:rsidRPr="00B16AA8" w:rsidRDefault="004D6ABA" w:rsidP="00B16AA8">
      <w:pPr>
        <w:spacing w:after="0" w:line="360" w:lineRule="auto"/>
        <w:jc w:val="both"/>
        <w:rPr>
          <w:rFonts w:ascii="Times New Roman" w:hAnsi="Times New Roman" w:cs="Times New Roman"/>
          <w:sz w:val="24"/>
          <w:szCs w:val="24"/>
          <w:u w:val="single"/>
        </w:rPr>
      </w:pPr>
      <w:r w:rsidRPr="00B16AA8">
        <w:rPr>
          <w:rFonts w:ascii="Times New Roman" w:hAnsi="Times New Roman" w:cs="Times New Roman"/>
          <w:sz w:val="24"/>
          <w:szCs w:val="24"/>
          <w:u w:val="single"/>
        </w:rPr>
        <w:t>The relevant legislative provisions</w:t>
      </w:r>
    </w:p>
    <w:p w:rsidR="0049672F" w:rsidRPr="00B16AA8" w:rsidRDefault="0049672F" w:rsidP="004730C3">
      <w:pPr>
        <w:spacing w:after="0" w:line="360" w:lineRule="auto"/>
        <w:ind w:firstLine="720"/>
        <w:jc w:val="both"/>
        <w:rPr>
          <w:rFonts w:ascii="Times New Roman" w:hAnsi="Times New Roman" w:cs="Times New Roman"/>
          <w:sz w:val="24"/>
          <w:szCs w:val="24"/>
        </w:rPr>
      </w:pPr>
      <w:r w:rsidRPr="00B16AA8">
        <w:rPr>
          <w:rFonts w:ascii="Times New Roman" w:hAnsi="Times New Roman" w:cs="Times New Roman"/>
          <w:sz w:val="24"/>
          <w:szCs w:val="24"/>
        </w:rPr>
        <w:t xml:space="preserve">The power of the respondent to levy and collect tax is provided in s 6 of the Income Tax Act </w:t>
      </w:r>
      <w:r w:rsidRPr="004730C3">
        <w:rPr>
          <w:rFonts w:ascii="Times New Roman" w:hAnsi="Times New Roman" w:cs="Times New Roman"/>
          <w:sz w:val="24"/>
          <w:szCs w:val="24"/>
        </w:rPr>
        <w:t>[</w:t>
      </w:r>
      <w:r w:rsidRPr="00B16AA8">
        <w:rPr>
          <w:rFonts w:ascii="Times New Roman" w:hAnsi="Times New Roman" w:cs="Times New Roman"/>
          <w:i/>
          <w:sz w:val="24"/>
          <w:szCs w:val="24"/>
        </w:rPr>
        <w:t>Chapter 23:06</w:t>
      </w:r>
      <w:r w:rsidRPr="004730C3">
        <w:rPr>
          <w:rFonts w:ascii="Times New Roman" w:hAnsi="Times New Roman" w:cs="Times New Roman"/>
          <w:sz w:val="24"/>
          <w:szCs w:val="24"/>
        </w:rPr>
        <w:t>]</w:t>
      </w:r>
      <w:r w:rsidRPr="00B16AA8">
        <w:rPr>
          <w:rFonts w:ascii="Times New Roman" w:hAnsi="Times New Roman" w:cs="Times New Roman"/>
          <w:i/>
          <w:sz w:val="24"/>
          <w:szCs w:val="24"/>
        </w:rPr>
        <w:t>,</w:t>
      </w:r>
      <w:r w:rsidRPr="00B16AA8">
        <w:rPr>
          <w:rFonts w:ascii="Times New Roman" w:hAnsi="Times New Roman" w:cs="Times New Roman"/>
          <w:sz w:val="24"/>
          <w:szCs w:val="24"/>
        </w:rPr>
        <w:t xml:space="preserve"> which states:</w:t>
      </w:r>
    </w:p>
    <w:p w:rsidR="0049672F" w:rsidRPr="00CD19C5" w:rsidRDefault="0049672F" w:rsidP="00CD19C5">
      <w:pPr>
        <w:autoSpaceDE w:val="0"/>
        <w:autoSpaceDN w:val="0"/>
        <w:adjustRightInd w:val="0"/>
        <w:spacing w:after="0" w:line="240" w:lineRule="auto"/>
        <w:ind w:firstLine="720"/>
        <w:jc w:val="both"/>
        <w:rPr>
          <w:rFonts w:ascii="Times New Roman" w:hAnsi="Times New Roman" w:cs="Times New Roman"/>
          <w:b/>
          <w:bCs/>
          <w:lang w:val="en-US"/>
        </w:rPr>
      </w:pPr>
      <w:r w:rsidRPr="00CD19C5">
        <w:rPr>
          <w:rFonts w:ascii="Times New Roman" w:hAnsi="Times New Roman" w:cs="Times New Roman"/>
          <w:b/>
          <w:bCs/>
          <w:lang w:val="en-US"/>
        </w:rPr>
        <w:t>“6 Levy of income tax</w:t>
      </w:r>
    </w:p>
    <w:p w:rsidR="0049672F" w:rsidRDefault="0049672F" w:rsidP="00CD19C5">
      <w:pPr>
        <w:autoSpaceDE w:val="0"/>
        <w:autoSpaceDN w:val="0"/>
        <w:adjustRightInd w:val="0"/>
        <w:spacing w:after="0" w:line="240" w:lineRule="auto"/>
        <w:ind w:left="720"/>
        <w:jc w:val="both"/>
        <w:rPr>
          <w:rFonts w:ascii="Times New Roman" w:hAnsi="Times New Roman" w:cs="Times New Roman"/>
          <w:lang w:val="en-US"/>
        </w:rPr>
      </w:pPr>
      <w:r w:rsidRPr="00CD19C5">
        <w:rPr>
          <w:rFonts w:ascii="Times New Roman" w:hAnsi="Times New Roman" w:cs="Times New Roman"/>
          <w:lang w:val="en-US"/>
        </w:rPr>
        <w:t xml:space="preserve">There shall be charged, levied and collected throughout Zimbabwe for the benefit of the Consolidated Revenue Fund an income tax in respect of the taxable income, as defined in this Part, received by or accrued to or in favour of any person during the year of assessment ending the 31st March, 1968, and each succeeding year of assessment thereafter.” </w:t>
      </w:r>
    </w:p>
    <w:p w:rsidR="00CD19C5" w:rsidRPr="00CD19C5" w:rsidRDefault="00CD19C5" w:rsidP="00CD19C5">
      <w:pPr>
        <w:autoSpaceDE w:val="0"/>
        <w:autoSpaceDN w:val="0"/>
        <w:adjustRightInd w:val="0"/>
        <w:spacing w:after="0" w:line="240" w:lineRule="auto"/>
        <w:ind w:left="720"/>
        <w:jc w:val="both"/>
        <w:rPr>
          <w:rFonts w:ascii="Times New Roman" w:hAnsi="Times New Roman" w:cs="Times New Roman"/>
          <w:lang w:val="en-US"/>
        </w:rPr>
      </w:pPr>
    </w:p>
    <w:p w:rsidR="0049672F" w:rsidRDefault="0049672F" w:rsidP="0049672F">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Royalties are charged in terms of s 8 (1)</w:t>
      </w:r>
      <w:r w:rsidR="00FB505F">
        <w:rPr>
          <w:rFonts w:ascii="Times New Roman" w:hAnsi="Times New Roman" w:cs="Times New Roman"/>
          <w:sz w:val="24"/>
          <w:szCs w:val="24"/>
          <w:lang w:val="en-US"/>
        </w:rPr>
        <w:t xml:space="preserve"> (d)</w:t>
      </w:r>
      <w:r>
        <w:rPr>
          <w:rFonts w:ascii="Times New Roman" w:hAnsi="Times New Roman" w:cs="Times New Roman"/>
          <w:sz w:val="24"/>
          <w:szCs w:val="24"/>
          <w:lang w:val="en-US"/>
        </w:rPr>
        <w:t xml:space="preserve"> (iii)</w:t>
      </w:r>
      <w:r w:rsidR="002A3E79">
        <w:rPr>
          <w:rFonts w:ascii="Times New Roman" w:hAnsi="Times New Roman" w:cs="Times New Roman"/>
          <w:sz w:val="24"/>
          <w:szCs w:val="24"/>
          <w:lang w:val="en-US"/>
        </w:rPr>
        <w:t xml:space="preserve"> of the same Act,</w:t>
      </w:r>
      <w:r>
        <w:rPr>
          <w:rFonts w:ascii="Times New Roman" w:hAnsi="Times New Roman" w:cs="Times New Roman"/>
          <w:sz w:val="24"/>
          <w:szCs w:val="24"/>
          <w:lang w:val="en-US"/>
        </w:rPr>
        <w:t xml:space="preserve"> which provides that:</w:t>
      </w:r>
    </w:p>
    <w:p w:rsidR="00CD19C5" w:rsidRDefault="0049672F" w:rsidP="00161596">
      <w:pPr>
        <w:autoSpaceDE w:val="0"/>
        <w:autoSpaceDN w:val="0"/>
        <w:adjustRightInd w:val="0"/>
        <w:spacing w:after="0" w:line="240" w:lineRule="auto"/>
        <w:jc w:val="both"/>
        <w:rPr>
          <w:rFonts w:ascii="Times New Roman" w:hAnsi="Times New Roman" w:cs="Times New Roman"/>
          <w:lang w:val="en-US"/>
        </w:rPr>
      </w:pPr>
      <w:r w:rsidRPr="00804AE0">
        <w:rPr>
          <w:rFonts w:ascii="Times New Roman" w:hAnsi="Times New Roman" w:cs="Times New Roman"/>
          <w:lang w:val="en-US"/>
        </w:rPr>
        <w:tab/>
      </w:r>
    </w:p>
    <w:p w:rsidR="0093799D" w:rsidRPr="00804AE0" w:rsidRDefault="0049672F" w:rsidP="00CD19C5">
      <w:pPr>
        <w:autoSpaceDE w:val="0"/>
        <w:autoSpaceDN w:val="0"/>
        <w:adjustRightInd w:val="0"/>
        <w:spacing w:after="0" w:line="240" w:lineRule="auto"/>
        <w:ind w:firstLine="720"/>
        <w:jc w:val="both"/>
        <w:rPr>
          <w:rFonts w:ascii="Times New Roman" w:hAnsi="Times New Roman" w:cs="Times New Roman"/>
          <w:b/>
          <w:bCs/>
          <w:color w:val="000000"/>
          <w:lang w:val="en-US"/>
        </w:rPr>
      </w:pPr>
      <w:r w:rsidRPr="00804AE0">
        <w:rPr>
          <w:rFonts w:ascii="Times New Roman" w:hAnsi="Times New Roman" w:cs="Times New Roman"/>
          <w:lang w:val="en-US"/>
        </w:rPr>
        <w:t>“</w:t>
      </w:r>
      <w:r w:rsidR="0093799D" w:rsidRPr="00804AE0">
        <w:rPr>
          <w:rFonts w:ascii="Times New Roman" w:hAnsi="Times New Roman" w:cs="Times New Roman"/>
          <w:b/>
          <w:bCs/>
          <w:color w:val="000000"/>
          <w:lang w:val="en-US"/>
        </w:rPr>
        <w:t>8 Interpretation of terms relating to income tax</w:t>
      </w:r>
    </w:p>
    <w:p w:rsidR="0093799D" w:rsidRPr="00804AE0" w:rsidRDefault="0093799D" w:rsidP="00161596">
      <w:pPr>
        <w:autoSpaceDE w:val="0"/>
        <w:autoSpaceDN w:val="0"/>
        <w:adjustRightInd w:val="0"/>
        <w:spacing w:after="0" w:line="240" w:lineRule="auto"/>
        <w:ind w:firstLine="720"/>
        <w:jc w:val="both"/>
        <w:rPr>
          <w:rFonts w:ascii="Times New Roman" w:hAnsi="Times New Roman" w:cs="Times New Roman"/>
          <w:color w:val="000000"/>
          <w:lang w:val="en-US"/>
        </w:rPr>
      </w:pPr>
      <w:r w:rsidRPr="00804AE0">
        <w:rPr>
          <w:rFonts w:ascii="Times New Roman" w:hAnsi="Times New Roman" w:cs="Times New Roman"/>
          <w:color w:val="000000"/>
          <w:lang w:val="en-US"/>
        </w:rPr>
        <w:t>(1) For the purposes of this Part—</w:t>
      </w:r>
    </w:p>
    <w:p w:rsidR="0049672F" w:rsidRPr="00804AE0" w:rsidRDefault="0093799D" w:rsidP="00161596">
      <w:pPr>
        <w:autoSpaceDE w:val="0"/>
        <w:autoSpaceDN w:val="0"/>
        <w:adjustRightInd w:val="0"/>
        <w:spacing w:after="0" w:line="240" w:lineRule="auto"/>
        <w:ind w:left="720"/>
        <w:jc w:val="both"/>
        <w:rPr>
          <w:rFonts w:ascii="Times New Roman" w:hAnsi="Times New Roman" w:cs="Times New Roman"/>
          <w:color w:val="000000"/>
          <w:lang w:val="en-US"/>
        </w:rPr>
      </w:pPr>
      <w:r w:rsidRPr="00804AE0">
        <w:rPr>
          <w:rFonts w:ascii="Times New Roman" w:hAnsi="Times New Roman" w:cs="Times New Roman"/>
          <w:color w:val="000000"/>
          <w:lang w:val="en-US"/>
        </w:rPr>
        <w:t>“gross income” means the total amount received by or accrued to or in favour of a person or deemed to have been received by or to have accrued to or in favour of a person in any year of assessment from a source within or deemed to be within Zimbabwe excluding any amount (not being an amount included in “gross income” by virtue of any of the following paragraphs of this definition) so received or accrued which is proved by the taxpayer to be of a capital nature and, without derogation from the generality of the foregoing, includes—</w:t>
      </w:r>
    </w:p>
    <w:p w:rsidR="00FB505F" w:rsidRPr="00804AE0" w:rsidRDefault="00FB505F" w:rsidP="00161596">
      <w:pPr>
        <w:autoSpaceDE w:val="0"/>
        <w:autoSpaceDN w:val="0"/>
        <w:adjustRightInd w:val="0"/>
        <w:spacing w:after="0" w:line="240" w:lineRule="auto"/>
        <w:ind w:left="1440" w:hanging="720"/>
        <w:jc w:val="both"/>
        <w:rPr>
          <w:rFonts w:ascii="Times New Roman" w:hAnsi="Times New Roman" w:cs="Times New Roman"/>
          <w:lang w:val="en-US"/>
        </w:rPr>
      </w:pPr>
      <w:r w:rsidRPr="00804AE0">
        <w:rPr>
          <w:rFonts w:ascii="Times New Roman" w:hAnsi="Times New Roman" w:cs="Times New Roman"/>
          <w:lang w:val="en-US"/>
        </w:rPr>
        <w:t>(</w:t>
      </w:r>
      <w:r w:rsidRPr="00804AE0">
        <w:rPr>
          <w:rFonts w:ascii="Times New Roman" w:hAnsi="Times New Roman" w:cs="Times New Roman"/>
          <w:i/>
          <w:iCs/>
          <w:lang w:val="en-US"/>
        </w:rPr>
        <w:t>d</w:t>
      </w:r>
      <w:r w:rsidRPr="00804AE0">
        <w:rPr>
          <w:rFonts w:ascii="Times New Roman" w:hAnsi="Times New Roman" w:cs="Times New Roman"/>
          <w:lang w:val="en-US"/>
        </w:rPr>
        <w:t xml:space="preserve">) </w:t>
      </w:r>
      <w:r w:rsidRPr="00804AE0">
        <w:rPr>
          <w:rFonts w:ascii="Times New Roman" w:hAnsi="Times New Roman" w:cs="Times New Roman"/>
          <w:lang w:val="en-US"/>
        </w:rPr>
        <w:tab/>
        <w:t>any amount so received or accrued from another person as a premium or like consideration paid by such other person—</w:t>
      </w:r>
    </w:p>
    <w:p w:rsidR="00FB505F" w:rsidRPr="00804AE0" w:rsidRDefault="00FB505F" w:rsidP="00161596">
      <w:pPr>
        <w:autoSpaceDE w:val="0"/>
        <w:autoSpaceDN w:val="0"/>
        <w:adjustRightInd w:val="0"/>
        <w:spacing w:after="0" w:line="240" w:lineRule="auto"/>
        <w:ind w:left="720" w:firstLine="720"/>
        <w:jc w:val="both"/>
        <w:rPr>
          <w:rFonts w:ascii="Times New Roman" w:hAnsi="Times New Roman" w:cs="Times New Roman"/>
          <w:lang w:val="en-US"/>
        </w:rPr>
      </w:pPr>
      <w:r w:rsidRPr="00804AE0">
        <w:rPr>
          <w:rFonts w:ascii="Times New Roman" w:hAnsi="Times New Roman" w:cs="Times New Roman"/>
          <w:lang w:val="en-US"/>
        </w:rPr>
        <w:t xml:space="preserve">(i) </w:t>
      </w:r>
      <w:r w:rsidRPr="00804AE0">
        <w:rPr>
          <w:rFonts w:ascii="Times New Roman" w:hAnsi="Times New Roman" w:cs="Times New Roman"/>
          <w:lang w:val="en-US"/>
        </w:rPr>
        <w:tab/>
      </w:r>
      <w:r w:rsidR="00161596" w:rsidRPr="00804AE0">
        <w:rPr>
          <w:rFonts w:ascii="Times New Roman" w:hAnsi="Times New Roman" w:cs="Times New Roman"/>
          <w:lang w:val="en-US"/>
        </w:rPr>
        <w:t>……</w:t>
      </w:r>
    </w:p>
    <w:p w:rsidR="00FB505F" w:rsidRPr="00804AE0" w:rsidRDefault="00FB505F" w:rsidP="00161596">
      <w:pPr>
        <w:autoSpaceDE w:val="0"/>
        <w:autoSpaceDN w:val="0"/>
        <w:adjustRightInd w:val="0"/>
        <w:spacing w:after="0" w:line="240" w:lineRule="auto"/>
        <w:ind w:left="720" w:firstLine="720"/>
        <w:jc w:val="both"/>
        <w:rPr>
          <w:rFonts w:ascii="Times New Roman" w:hAnsi="Times New Roman" w:cs="Times New Roman"/>
          <w:lang w:val="en-US"/>
        </w:rPr>
      </w:pPr>
      <w:r w:rsidRPr="00804AE0">
        <w:rPr>
          <w:rFonts w:ascii="Times New Roman" w:hAnsi="Times New Roman" w:cs="Times New Roman"/>
          <w:lang w:val="en-US"/>
        </w:rPr>
        <w:t xml:space="preserve">(ii) </w:t>
      </w:r>
      <w:r w:rsidRPr="00804AE0">
        <w:rPr>
          <w:rFonts w:ascii="Times New Roman" w:hAnsi="Times New Roman" w:cs="Times New Roman"/>
          <w:lang w:val="en-US"/>
        </w:rPr>
        <w:tab/>
      </w:r>
      <w:r w:rsidR="00161596" w:rsidRPr="00804AE0">
        <w:rPr>
          <w:rFonts w:ascii="Times New Roman" w:hAnsi="Times New Roman" w:cs="Times New Roman"/>
          <w:lang w:val="en-US"/>
        </w:rPr>
        <w:t>……</w:t>
      </w:r>
    </w:p>
    <w:p w:rsidR="0093799D" w:rsidRDefault="00FB505F" w:rsidP="00161596">
      <w:pPr>
        <w:autoSpaceDE w:val="0"/>
        <w:autoSpaceDN w:val="0"/>
        <w:adjustRightInd w:val="0"/>
        <w:spacing w:after="0" w:line="240" w:lineRule="auto"/>
        <w:ind w:left="2160" w:hanging="720"/>
        <w:jc w:val="both"/>
        <w:rPr>
          <w:rFonts w:ascii="Times New Roman" w:hAnsi="Times New Roman" w:cs="Times New Roman"/>
          <w:lang w:val="en-US"/>
        </w:rPr>
      </w:pPr>
      <w:r w:rsidRPr="00804AE0">
        <w:rPr>
          <w:rFonts w:ascii="Times New Roman" w:hAnsi="Times New Roman" w:cs="Times New Roman"/>
          <w:lang w:val="en-US"/>
        </w:rPr>
        <w:t xml:space="preserve">(iii) </w:t>
      </w:r>
      <w:r w:rsidRPr="00804AE0">
        <w:rPr>
          <w:rFonts w:ascii="Times New Roman" w:hAnsi="Times New Roman" w:cs="Times New Roman"/>
          <w:lang w:val="en-US"/>
        </w:rPr>
        <w:tab/>
        <w:t>for the right of use of any patent, design, trade mark, copyright, model, plan, secret process or formula</w:t>
      </w:r>
      <w:r w:rsidR="00A03D7F" w:rsidRPr="00804AE0">
        <w:rPr>
          <w:rFonts w:ascii="Times New Roman" w:hAnsi="Times New Roman" w:cs="Times New Roman"/>
          <w:lang w:val="en-US"/>
        </w:rPr>
        <w:t xml:space="preserve"> </w:t>
      </w:r>
      <w:r w:rsidRPr="00804AE0">
        <w:rPr>
          <w:rFonts w:ascii="Times New Roman" w:hAnsi="Times New Roman" w:cs="Times New Roman"/>
          <w:lang w:val="en-US"/>
        </w:rPr>
        <w:t>or any other property which, in the opinion of the Commissioner is of a similar nature;”</w:t>
      </w:r>
    </w:p>
    <w:p w:rsidR="00CD19C5" w:rsidRPr="00804AE0" w:rsidRDefault="00CD19C5" w:rsidP="00161596">
      <w:pPr>
        <w:autoSpaceDE w:val="0"/>
        <w:autoSpaceDN w:val="0"/>
        <w:adjustRightInd w:val="0"/>
        <w:spacing w:after="0" w:line="240" w:lineRule="auto"/>
        <w:ind w:left="2160" w:hanging="720"/>
        <w:jc w:val="both"/>
        <w:rPr>
          <w:rFonts w:ascii="Times New Roman" w:hAnsi="Times New Roman" w:cs="Times New Roman"/>
          <w:lang w:val="en-US"/>
        </w:rPr>
      </w:pPr>
    </w:p>
    <w:p w:rsidR="0069703A" w:rsidRPr="00804AE0" w:rsidRDefault="0069703A" w:rsidP="00CD19C5">
      <w:pPr>
        <w:autoSpaceDE w:val="0"/>
        <w:autoSpaceDN w:val="0"/>
        <w:adjustRightInd w:val="0"/>
        <w:spacing w:after="0" w:line="360" w:lineRule="auto"/>
        <w:ind w:firstLine="720"/>
        <w:jc w:val="both"/>
        <w:rPr>
          <w:rFonts w:ascii="Times New Roman" w:hAnsi="Times New Roman" w:cs="Times New Roman"/>
          <w:sz w:val="24"/>
          <w:szCs w:val="24"/>
          <w:lang w:val="en-US"/>
        </w:rPr>
      </w:pPr>
      <w:r w:rsidRPr="00804AE0">
        <w:rPr>
          <w:rFonts w:ascii="Times New Roman" w:hAnsi="Times New Roman" w:cs="Times New Roman"/>
          <w:sz w:val="24"/>
          <w:szCs w:val="24"/>
          <w:lang w:val="en-US"/>
        </w:rPr>
        <w:t xml:space="preserve">Section 2 (1) of the Income Tax Act incorporates by reference the definition of trademark in the Trade Marks Act </w:t>
      </w:r>
      <w:r w:rsidRPr="00CD19C5">
        <w:rPr>
          <w:rFonts w:ascii="Times New Roman" w:hAnsi="Times New Roman" w:cs="Times New Roman"/>
          <w:sz w:val="24"/>
          <w:szCs w:val="24"/>
          <w:lang w:val="en-US"/>
        </w:rPr>
        <w:t>[</w:t>
      </w:r>
      <w:r w:rsidRPr="00804AE0">
        <w:rPr>
          <w:rFonts w:ascii="Times New Roman" w:hAnsi="Times New Roman" w:cs="Times New Roman"/>
          <w:i/>
          <w:sz w:val="24"/>
          <w:szCs w:val="24"/>
          <w:lang w:val="en-US"/>
        </w:rPr>
        <w:t>Chapter 26:04</w:t>
      </w:r>
      <w:r w:rsidRPr="00CD19C5">
        <w:rPr>
          <w:rFonts w:ascii="Times New Roman" w:hAnsi="Times New Roman" w:cs="Times New Roman"/>
          <w:sz w:val="24"/>
          <w:szCs w:val="24"/>
          <w:lang w:val="en-US"/>
        </w:rPr>
        <w:t>]</w:t>
      </w:r>
      <w:r w:rsidRPr="00804AE0">
        <w:rPr>
          <w:rFonts w:ascii="Times New Roman" w:hAnsi="Times New Roman" w:cs="Times New Roman"/>
          <w:sz w:val="24"/>
          <w:szCs w:val="24"/>
          <w:lang w:val="en-US"/>
        </w:rPr>
        <w:t xml:space="preserve"> thus:</w:t>
      </w:r>
    </w:p>
    <w:p w:rsidR="00CD19C5" w:rsidRDefault="00CD19C5" w:rsidP="0069703A">
      <w:pPr>
        <w:autoSpaceDE w:val="0"/>
        <w:autoSpaceDN w:val="0"/>
        <w:adjustRightInd w:val="0"/>
        <w:spacing w:after="0" w:line="240" w:lineRule="auto"/>
        <w:ind w:left="720"/>
        <w:rPr>
          <w:rFonts w:ascii="Times New Roman" w:hAnsi="Times New Roman" w:cs="Times New Roman"/>
          <w:lang w:val="en-US"/>
        </w:rPr>
      </w:pPr>
    </w:p>
    <w:p w:rsidR="0069703A" w:rsidRPr="0081083B" w:rsidRDefault="0069703A" w:rsidP="0069703A">
      <w:pPr>
        <w:autoSpaceDE w:val="0"/>
        <w:autoSpaceDN w:val="0"/>
        <w:adjustRightInd w:val="0"/>
        <w:spacing w:after="0" w:line="240" w:lineRule="auto"/>
        <w:ind w:left="720"/>
        <w:rPr>
          <w:rFonts w:ascii="Times New Roman" w:hAnsi="Times New Roman" w:cs="Times New Roman"/>
          <w:lang w:val="en-US"/>
        </w:rPr>
      </w:pPr>
      <w:r w:rsidRPr="0081083B">
        <w:rPr>
          <w:rFonts w:ascii="Times New Roman" w:hAnsi="Times New Roman" w:cs="Times New Roman"/>
          <w:lang w:val="en-US"/>
        </w:rPr>
        <w:lastRenderedPageBreak/>
        <w:t>“trade mark” means a trade mark as defined in subsection (1) of section 2 of the Trade Marks Act [</w:t>
      </w:r>
      <w:r w:rsidRPr="0081083B">
        <w:rPr>
          <w:rFonts w:ascii="Times New Roman" w:hAnsi="Times New Roman" w:cs="Times New Roman"/>
          <w:i/>
          <w:iCs/>
          <w:lang w:val="en-US"/>
        </w:rPr>
        <w:t>Chapter 26:04</w:t>
      </w:r>
      <w:r w:rsidRPr="0081083B">
        <w:rPr>
          <w:rFonts w:ascii="Times New Roman" w:hAnsi="Times New Roman" w:cs="Times New Roman"/>
          <w:lang w:val="en-US"/>
        </w:rPr>
        <w:t>]”</w:t>
      </w:r>
    </w:p>
    <w:p w:rsidR="00CD19C5" w:rsidRDefault="00CD19C5" w:rsidP="00CD19C5">
      <w:pPr>
        <w:autoSpaceDE w:val="0"/>
        <w:autoSpaceDN w:val="0"/>
        <w:adjustRightInd w:val="0"/>
        <w:spacing w:after="0" w:line="240" w:lineRule="auto"/>
        <w:rPr>
          <w:rFonts w:ascii="Times New Roman" w:hAnsi="Times New Roman" w:cs="Times New Roman"/>
          <w:sz w:val="24"/>
          <w:szCs w:val="24"/>
          <w:lang w:val="en-US"/>
        </w:rPr>
      </w:pPr>
    </w:p>
    <w:p w:rsidR="00515028" w:rsidRPr="00D3005E" w:rsidRDefault="00515028" w:rsidP="00CD19C5">
      <w:pPr>
        <w:autoSpaceDE w:val="0"/>
        <w:autoSpaceDN w:val="0"/>
        <w:adjustRightInd w:val="0"/>
        <w:spacing w:after="0" w:line="240" w:lineRule="auto"/>
        <w:rPr>
          <w:rFonts w:ascii="Times New Roman" w:hAnsi="Times New Roman" w:cs="Times New Roman"/>
          <w:sz w:val="24"/>
          <w:szCs w:val="24"/>
          <w:lang w:val="en-US"/>
        </w:rPr>
      </w:pPr>
      <w:r w:rsidRPr="00D3005E">
        <w:rPr>
          <w:rFonts w:ascii="Times New Roman" w:hAnsi="Times New Roman" w:cs="Times New Roman"/>
          <w:sz w:val="24"/>
          <w:szCs w:val="24"/>
          <w:lang w:val="en-US"/>
        </w:rPr>
        <w:t>The relevant section in the Trade Marks Act states:</w:t>
      </w:r>
    </w:p>
    <w:p w:rsidR="00CD19C5" w:rsidRDefault="00CD19C5" w:rsidP="0081083B">
      <w:pPr>
        <w:autoSpaceDE w:val="0"/>
        <w:autoSpaceDN w:val="0"/>
        <w:adjustRightInd w:val="0"/>
        <w:spacing w:after="0" w:line="240" w:lineRule="auto"/>
        <w:ind w:left="720"/>
        <w:jc w:val="both"/>
        <w:rPr>
          <w:rFonts w:ascii="Times New Roman" w:hAnsi="Times New Roman" w:cs="Times New Roman"/>
          <w:lang w:val="en-US"/>
        </w:rPr>
      </w:pPr>
    </w:p>
    <w:p w:rsidR="004D6661" w:rsidRPr="0081083B" w:rsidRDefault="004D6661" w:rsidP="0081083B">
      <w:pPr>
        <w:autoSpaceDE w:val="0"/>
        <w:autoSpaceDN w:val="0"/>
        <w:adjustRightInd w:val="0"/>
        <w:spacing w:after="0" w:line="240" w:lineRule="auto"/>
        <w:ind w:left="720"/>
        <w:jc w:val="both"/>
        <w:rPr>
          <w:rFonts w:ascii="Times New Roman" w:hAnsi="Times New Roman" w:cs="Times New Roman"/>
          <w:lang w:val="en-US"/>
        </w:rPr>
      </w:pPr>
      <w:r w:rsidRPr="0081083B">
        <w:rPr>
          <w:rFonts w:ascii="Times New Roman" w:hAnsi="Times New Roman" w:cs="Times New Roman"/>
          <w:lang w:val="en-US"/>
        </w:rPr>
        <w:t>“trade mark” means a mark</w:t>
      </w:r>
      <w:r w:rsidR="00804AE0" w:rsidRPr="0081083B">
        <w:rPr>
          <w:rFonts w:ascii="Times New Roman" w:hAnsi="Times New Roman" w:cs="Times New Roman"/>
          <w:lang w:val="en-US"/>
        </w:rPr>
        <w:t xml:space="preserve"> </w:t>
      </w:r>
      <w:r w:rsidR="00671D71" w:rsidRPr="0081083B">
        <w:rPr>
          <w:rFonts w:ascii="Times New Roman" w:hAnsi="Times New Roman" w:cs="Times New Roman"/>
          <w:lang w:val="en-US"/>
        </w:rPr>
        <w:t>(any graphic sign capable of distinguishing goods/services of one undertaking from those of another undertaking)</w:t>
      </w:r>
      <w:r w:rsidRPr="0081083B">
        <w:rPr>
          <w:rFonts w:ascii="Times New Roman" w:hAnsi="Times New Roman" w:cs="Times New Roman"/>
          <w:lang w:val="en-US"/>
        </w:rPr>
        <w:t xml:space="preserve"> which is used or proposed to be used in relation to goods or services for the purpose of—</w:t>
      </w:r>
    </w:p>
    <w:p w:rsidR="004D6661" w:rsidRPr="0081083B" w:rsidRDefault="004D6661" w:rsidP="0081083B">
      <w:pPr>
        <w:autoSpaceDE w:val="0"/>
        <w:autoSpaceDN w:val="0"/>
        <w:adjustRightInd w:val="0"/>
        <w:spacing w:after="0" w:line="240" w:lineRule="auto"/>
        <w:ind w:left="2160" w:hanging="660"/>
        <w:jc w:val="both"/>
        <w:rPr>
          <w:rFonts w:ascii="Times New Roman" w:hAnsi="Times New Roman" w:cs="Times New Roman"/>
          <w:lang w:val="en-US"/>
        </w:rPr>
      </w:pPr>
      <w:r w:rsidRPr="0081083B">
        <w:rPr>
          <w:rFonts w:ascii="Times New Roman" w:hAnsi="Times New Roman" w:cs="Times New Roman"/>
          <w:lang w:val="en-US"/>
        </w:rPr>
        <w:t>(</w:t>
      </w:r>
      <w:r w:rsidRPr="0081083B">
        <w:rPr>
          <w:rFonts w:ascii="Times New Roman" w:hAnsi="Times New Roman" w:cs="Times New Roman"/>
          <w:i/>
          <w:iCs/>
          <w:lang w:val="en-US"/>
        </w:rPr>
        <w:t>a</w:t>
      </w:r>
      <w:r w:rsidRPr="0081083B">
        <w:rPr>
          <w:rFonts w:ascii="Times New Roman" w:hAnsi="Times New Roman" w:cs="Times New Roman"/>
          <w:lang w:val="en-US"/>
        </w:rPr>
        <w:t xml:space="preserve">) </w:t>
      </w:r>
      <w:r w:rsidRPr="0081083B">
        <w:rPr>
          <w:rFonts w:ascii="Times New Roman" w:hAnsi="Times New Roman" w:cs="Times New Roman"/>
          <w:lang w:val="en-US"/>
        </w:rPr>
        <w:tab/>
        <w:t>indicating a connection in the course of trade between the goods or services and some person having the right, either as proprietor or as registered user, to use the mark, whether with or without any indication of the identity of that person; and</w:t>
      </w:r>
    </w:p>
    <w:p w:rsidR="00515028" w:rsidRPr="0081083B" w:rsidRDefault="004D6661" w:rsidP="0081083B">
      <w:pPr>
        <w:autoSpaceDE w:val="0"/>
        <w:autoSpaceDN w:val="0"/>
        <w:adjustRightInd w:val="0"/>
        <w:spacing w:after="0" w:line="240" w:lineRule="auto"/>
        <w:ind w:left="2160" w:hanging="720"/>
        <w:jc w:val="both"/>
        <w:rPr>
          <w:rFonts w:ascii="Times New Roman" w:hAnsi="Times New Roman" w:cs="Times New Roman"/>
          <w:lang w:val="en-US"/>
        </w:rPr>
      </w:pPr>
      <w:r w:rsidRPr="0081083B">
        <w:rPr>
          <w:rFonts w:ascii="Times New Roman" w:hAnsi="Times New Roman" w:cs="Times New Roman"/>
          <w:lang w:val="en-US"/>
        </w:rPr>
        <w:t>(</w:t>
      </w:r>
      <w:r w:rsidRPr="0081083B">
        <w:rPr>
          <w:rFonts w:ascii="Times New Roman" w:hAnsi="Times New Roman" w:cs="Times New Roman"/>
          <w:i/>
          <w:iCs/>
          <w:lang w:val="en-US"/>
        </w:rPr>
        <w:t>b</w:t>
      </w:r>
      <w:r w:rsidRPr="0081083B">
        <w:rPr>
          <w:rFonts w:ascii="Times New Roman" w:hAnsi="Times New Roman" w:cs="Times New Roman"/>
          <w:lang w:val="en-US"/>
        </w:rPr>
        <w:t xml:space="preserve">) </w:t>
      </w:r>
      <w:r w:rsidRPr="0081083B">
        <w:rPr>
          <w:rFonts w:ascii="Times New Roman" w:hAnsi="Times New Roman" w:cs="Times New Roman"/>
          <w:lang w:val="en-US"/>
        </w:rPr>
        <w:tab/>
        <w:t>distinguishing the goods or services in relation to which the mark is used or proposed to be used, from the same kind of goods or services connected in the course of trade with any other person; but does not include a certification mark;</w:t>
      </w:r>
      <w:r w:rsidR="00671D71" w:rsidRPr="0081083B">
        <w:rPr>
          <w:rFonts w:ascii="Times New Roman" w:hAnsi="Times New Roman" w:cs="Times New Roman"/>
          <w:lang w:val="en-US"/>
        </w:rPr>
        <w:t>”</w:t>
      </w:r>
    </w:p>
    <w:p w:rsidR="00863533" w:rsidRPr="0009224A" w:rsidRDefault="00863533" w:rsidP="0009224A">
      <w:pPr>
        <w:autoSpaceDE w:val="0"/>
        <w:autoSpaceDN w:val="0"/>
        <w:adjustRightInd w:val="0"/>
        <w:spacing w:after="0" w:line="240" w:lineRule="auto"/>
        <w:jc w:val="both"/>
        <w:rPr>
          <w:rFonts w:ascii="Times New Roman" w:hAnsi="Times New Roman" w:cs="Times New Roman"/>
          <w:sz w:val="24"/>
          <w:szCs w:val="24"/>
          <w:lang w:val="en-US"/>
        </w:rPr>
      </w:pPr>
      <w:r w:rsidRPr="0009224A">
        <w:rPr>
          <w:rFonts w:ascii="Times New Roman" w:hAnsi="Times New Roman" w:cs="Times New Roman"/>
          <w:sz w:val="24"/>
          <w:szCs w:val="24"/>
          <w:lang w:val="en-US"/>
        </w:rPr>
        <w:t>Lastly, s 98 stipulates:</w:t>
      </w:r>
    </w:p>
    <w:p w:rsidR="00CD19C5" w:rsidRDefault="00863533" w:rsidP="0009224A">
      <w:pPr>
        <w:autoSpaceDE w:val="0"/>
        <w:autoSpaceDN w:val="0"/>
        <w:adjustRightInd w:val="0"/>
        <w:spacing w:after="0" w:line="240" w:lineRule="auto"/>
        <w:jc w:val="both"/>
        <w:rPr>
          <w:rFonts w:ascii="Times New Roman" w:hAnsi="Times New Roman" w:cs="Times New Roman"/>
          <w:sz w:val="24"/>
          <w:szCs w:val="24"/>
          <w:lang w:val="en-US"/>
        </w:rPr>
      </w:pPr>
      <w:r w:rsidRPr="0009224A">
        <w:rPr>
          <w:rFonts w:ascii="Times New Roman" w:hAnsi="Times New Roman" w:cs="Times New Roman"/>
          <w:sz w:val="24"/>
          <w:szCs w:val="24"/>
          <w:lang w:val="en-US"/>
        </w:rPr>
        <w:tab/>
      </w:r>
    </w:p>
    <w:p w:rsidR="003F1D8C" w:rsidRPr="00CD19C5" w:rsidRDefault="00863533" w:rsidP="00CD19C5">
      <w:pPr>
        <w:autoSpaceDE w:val="0"/>
        <w:autoSpaceDN w:val="0"/>
        <w:adjustRightInd w:val="0"/>
        <w:spacing w:after="0" w:line="240" w:lineRule="auto"/>
        <w:ind w:firstLine="720"/>
        <w:jc w:val="both"/>
        <w:rPr>
          <w:rFonts w:ascii="Times New Roman" w:hAnsi="Times New Roman" w:cs="Times New Roman"/>
          <w:b/>
          <w:bCs/>
          <w:lang w:val="en-US"/>
        </w:rPr>
      </w:pPr>
      <w:r w:rsidRPr="00CD19C5">
        <w:rPr>
          <w:rFonts w:ascii="Times New Roman" w:hAnsi="Times New Roman" w:cs="Times New Roman"/>
          <w:lang w:val="en-US"/>
        </w:rPr>
        <w:t>“</w:t>
      </w:r>
      <w:r w:rsidR="003F1D8C" w:rsidRPr="00CD19C5">
        <w:rPr>
          <w:rFonts w:ascii="Times New Roman" w:hAnsi="Times New Roman" w:cs="Times New Roman"/>
          <w:b/>
          <w:bCs/>
          <w:lang w:val="en-US"/>
        </w:rPr>
        <w:t>98 Tax avoidance generally</w:t>
      </w:r>
    </w:p>
    <w:p w:rsidR="003F1D8C" w:rsidRPr="00CD19C5" w:rsidRDefault="003F1D8C" w:rsidP="0009224A">
      <w:pPr>
        <w:autoSpaceDE w:val="0"/>
        <w:autoSpaceDN w:val="0"/>
        <w:adjustRightInd w:val="0"/>
        <w:spacing w:after="0" w:line="240" w:lineRule="auto"/>
        <w:ind w:left="720"/>
        <w:jc w:val="both"/>
        <w:rPr>
          <w:rFonts w:ascii="Times New Roman" w:hAnsi="Times New Roman" w:cs="Times New Roman"/>
          <w:lang w:val="en-US"/>
        </w:rPr>
      </w:pPr>
      <w:r w:rsidRPr="00CD19C5">
        <w:rPr>
          <w:rFonts w:ascii="Times New Roman" w:hAnsi="Times New Roman" w:cs="Times New Roman"/>
          <w:lang w:val="en-US"/>
        </w:rPr>
        <w:t>Where any transaction, operation or scheme (including a transaction, operation or scheme involving the alienation of property) has been entered into or carried out, which has the effect of avoiding or postponing liability for any tax or of reducing the amount of such liability, and which in the opinion of the Commissioner, having regard to the circumstances under which the transaction, operation or scheme was entered into or carried out—</w:t>
      </w:r>
    </w:p>
    <w:p w:rsidR="003F1D8C" w:rsidRPr="00CD19C5" w:rsidRDefault="003F1D8C" w:rsidP="00FD1D26">
      <w:pPr>
        <w:autoSpaceDE w:val="0"/>
        <w:autoSpaceDN w:val="0"/>
        <w:adjustRightInd w:val="0"/>
        <w:spacing w:after="0" w:line="240" w:lineRule="auto"/>
        <w:ind w:left="1440" w:hanging="720"/>
        <w:jc w:val="both"/>
        <w:rPr>
          <w:rFonts w:ascii="Times New Roman" w:hAnsi="Times New Roman" w:cs="Times New Roman"/>
          <w:lang w:val="en-US"/>
        </w:rPr>
      </w:pPr>
      <w:r w:rsidRPr="00CD19C5">
        <w:rPr>
          <w:rFonts w:ascii="Times New Roman" w:hAnsi="Times New Roman" w:cs="Times New Roman"/>
          <w:lang w:val="en-US"/>
        </w:rPr>
        <w:t>(</w:t>
      </w:r>
      <w:r w:rsidRPr="00CD19C5">
        <w:rPr>
          <w:rFonts w:ascii="Times New Roman" w:hAnsi="Times New Roman" w:cs="Times New Roman"/>
          <w:i/>
          <w:iCs/>
          <w:lang w:val="en-US"/>
        </w:rPr>
        <w:t>a</w:t>
      </w:r>
      <w:r w:rsidRPr="00CD19C5">
        <w:rPr>
          <w:rFonts w:ascii="Times New Roman" w:hAnsi="Times New Roman" w:cs="Times New Roman"/>
          <w:lang w:val="en-US"/>
        </w:rPr>
        <w:t xml:space="preserve">) </w:t>
      </w:r>
      <w:r w:rsidR="00FD1D26" w:rsidRPr="00CD19C5">
        <w:rPr>
          <w:rFonts w:ascii="Times New Roman" w:hAnsi="Times New Roman" w:cs="Times New Roman"/>
          <w:lang w:val="en-US"/>
        </w:rPr>
        <w:tab/>
      </w:r>
      <w:r w:rsidRPr="00CD19C5">
        <w:rPr>
          <w:rFonts w:ascii="Times New Roman" w:hAnsi="Times New Roman" w:cs="Times New Roman"/>
          <w:lang w:val="en-US"/>
        </w:rPr>
        <w:t xml:space="preserve">was entered into or carried out by means or in a manner which would </w:t>
      </w:r>
      <w:r w:rsidR="00FD1D26" w:rsidRPr="00CD19C5">
        <w:rPr>
          <w:rFonts w:ascii="Times New Roman" w:hAnsi="Times New Roman" w:cs="Times New Roman"/>
          <w:lang w:val="en-US"/>
        </w:rPr>
        <w:t xml:space="preserve">not normally be employed in the </w:t>
      </w:r>
      <w:r w:rsidRPr="00CD19C5">
        <w:rPr>
          <w:rFonts w:ascii="Times New Roman" w:hAnsi="Times New Roman" w:cs="Times New Roman"/>
          <w:lang w:val="en-US"/>
        </w:rPr>
        <w:t>entering into or carrying out of a transaction, operation or scheme of the nature of the transaction, operation or scheme in question; or</w:t>
      </w:r>
    </w:p>
    <w:p w:rsidR="002D571B" w:rsidRPr="00CD19C5" w:rsidRDefault="003F1D8C" w:rsidP="00FD1D26">
      <w:pPr>
        <w:autoSpaceDE w:val="0"/>
        <w:autoSpaceDN w:val="0"/>
        <w:adjustRightInd w:val="0"/>
        <w:spacing w:after="0" w:line="240" w:lineRule="auto"/>
        <w:ind w:left="1440" w:hanging="720"/>
        <w:jc w:val="both"/>
        <w:rPr>
          <w:rFonts w:ascii="Times New Roman" w:hAnsi="Times New Roman" w:cs="Times New Roman"/>
          <w:lang w:val="en-US"/>
        </w:rPr>
      </w:pPr>
      <w:r w:rsidRPr="00CD19C5">
        <w:rPr>
          <w:rFonts w:ascii="Times New Roman" w:hAnsi="Times New Roman" w:cs="Times New Roman"/>
          <w:lang w:val="en-US"/>
        </w:rPr>
        <w:t>(</w:t>
      </w:r>
      <w:r w:rsidRPr="00CD19C5">
        <w:rPr>
          <w:rFonts w:ascii="Times New Roman" w:hAnsi="Times New Roman" w:cs="Times New Roman"/>
          <w:i/>
          <w:iCs/>
          <w:lang w:val="en-US"/>
        </w:rPr>
        <w:t>b</w:t>
      </w:r>
      <w:r w:rsidRPr="00CD19C5">
        <w:rPr>
          <w:rFonts w:ascii="Times New Roman" w:hAnsi="Times New Roman" w:cs="Times New Roman"/>
          <w:lang w:val="en-US"/>
        </w:rPr>
        <w:t xml:space="preserve">) </w:t>
      </w:r>
      <w:r w:rsidR="00FD1D26" w:rsidRPr="00CD19C5">
        <w:rPr>
          <w:rFonts w:ascii="Times New Roman" w:hAnsi="Times New Roman" w:cs="Times New Roman"/>
          <w:lang w:val="en-US"/>
        </w:rPr>
        <w:tab/>
      </w:r>
      <w:r w:rsidRPr="00CD19C5">
        <w:rPr>
          <w:rFonts w:ascii="Times New Roman" w:hAnsi="Times New Roman" w:cs="Times New Roman"/>
          <w:lang w:val="en-US"/>
        </w:rPr>
        <w:t>has created rights or obligations which would not normally be created between persons dealing at arm’s</w:t>
      </w:r>
      <w:r w:rsidR="00FD1D26" w:rsidRPr="00CD19C5">
        <w:rPr>
          <w:rFonts w:ascii="Times New Roman" w:hAnsi="Times New Roman" w:cs="Times New Roman"/>
          <w:lang w:val="en-US"/>
        </w:rPr>
        <w:t xml:space="preserve"> </w:t>
      </w:r>
      <w:r w:rsidRPr="00CD19C5">
        <w:rPr>
          <w:rFonts w:ascii="Times New Roman" w:hAnsi="Times New Roman" w:cs="Times New Roman"/>
          <w:lang w:val="en-US"/>
        </w:rPr>
        <w:t>length under a transaction, operation or scheme of the nature of the tran</w:t>
      </w:r>
      <w:r w:rsidR="00FD1D26" w:rsidRPr="00CD19C5">
        <w:rPr>
          <w:rFonts w:ascii="Times New Roman" w:hAnsi="Times New Roman" w:cs="Times New Roman"/>
          <w:lang w:val="en-US"/>
        </w:rPr>
        <w:t>saction, operation or scheme in</w:t>
      </w:r>
      <w:r w:rsidR="002D571B" w:rsidRPr="00CD19C5">
        <w:rPr>
          <w:rFonts w:ascii="Times New Roman" w:hAnsi="Times New Roman" w:cs="Times New Roman"/>
          <w:lang w:val="en-US"/>
        </w:rPr>
        <w:t xml:space="preserve"> </w:t>
      </w:r>
      <w:r w:rsidRPr="00CD19C5">
        <w:rPr>
          <w:rFonts w:ascii="Times New Roman" w:hAnsi="Times New Roman" w:cs="Times New Roman"/>
          <w:lang w:val="en-US"/>
        </w:rPr>
        <w:t xml:space="preserve">question; </w:t>
      </w:r>
    </w:p>
    <w:p w:rsidR="002D571B" w:rsidRPr="00CD19C5" w:rsidRDefault="002D571B" w:rsidP="00FD1D26">
      <w:pPr>
        <w:autoSpaceDE w:val="0"/>
        <w:autoSpaceDN w:val="0"/>
        <w:adjustRightInd w:val="0"/>
        <w:spacing w:after="0" w:line="240" w:lineRule="auto"/>
        <w:ind w:left="1440" w:hanging="720"/>
        <w:jc w:val="both"/>
        <w:rPr>
          <w:rFonts w:ascii="Times New Roman" w:hAnsi="Times New Roman" w:cs="Times New Roman"/>
          <w:lang w:val="en-US"/>
        </w:rPr>
      </w:pPr>
    </w:p>
    <w:p w:rsidR="00863533" w:rsidRPr="00CD19C5" w:rsidRDefault="003F1D8C" w:rsidP="002D571B">
      <w:pPr>
        <w:autoSpaceDE w:val="0"/>
        <w:autoSpaceDN w:val="0"/>
        <w:adjustRightInd w:val="0"/>
        <w:spacing w:after="0" w:line="240" w:lineRule="auto"/>
        <w:ind w:left="720"/>
        <w:jc w:val="both"/>
        <w:rPr>
          <w:rFonts w:ascii="Times New Roman" w:hAnsi="Times New Roman" w:cs="Times New Roman"/>
          <w:lang w:val="en-US"/>
        </w:rPr>
      </w:pPr>
      <w:r w:rsidRPr="00CD19C5">
        <w:rPr>
          <w:rFonts w:ascii="Times New Roman" w:hAnsi="Times New Roman" w:cs="Times New Roman"/>
          <w:lang w:val="en-US"/>
        </w:rPr>
        <w:t>and the Commissioner is of the opinion that the avoidance or postponement of such liability or the reduction of the amount of such liability was the sole purpose or one of the main purposes of the transaction, operation or scheme, the Commissioner shall determine the liability for any tax and the amount thereof as if the transaction, operation or scheme had not been entered into or carried out, or in such manner as in the circumstances of the case he considers appropriate for the prevention or diminution of such avoidance, postponement or reduction.</w:t>
      </w:r>
      <w:r w:rsidR="009A4E22" w:rsidRPr="00CD19C5">
        <w:rPr>
          <w:rFonts w:ascii="Times New Roman" w:hAnsi="Times New Roman" w:cs="Times New Roman"/>
          <w:lang w:val="en-US"/>
        </w:rPr>
        <w:t>”</w:t>
      </w:r>
    </w:p>
    <w:p w:rsidR="00EE2BAB" w:rsidRPr="00CD19C5" w:rsidRDefault="00EE2BAB" w:rsidP="00EE2BAB">
      <w:pPr>
        <w:autoSpaceDE w:val="0"/>
        <w:autoSpaceDN w:val="0"/>
        <w:adjustRightInd w:val="0"/>
        <w:spacing w:after="0" w:line="240" w:lineRule="auto"/>
        <w:jc w:val="both"/>
        <w:rPr>
          <w:rFonts w:ascii="Times New Roman" w:hAnsi="Times New Roman" w:cs="Times New Roman"/>
          <w:lang w:val="en-US"/>
        </w:rPr>
      </w:pPr>
    </w:p>
    <w:p w:rsidR="00EE2BAB" w:rsidRPr="00CD19C5" w:rsidRDefault="00EE2BAB" w:rsidP="00EE2BAB">
      <w:pPr>
        <w:autoSpaceDE w:val="0"/>
        <w:autoSpaceDN w:val="0"/>
        <w:adjustRightInd w:val="0"/>
        <w:spacing w:after="0" w:line="240" w:lineRule="auto"/>
        <w:jc w:val="both"/>
        <w:rPr>
          <w:rFonts w:ascii="Times New Roman" w:hAnsi="Times New Roman" w:cs="Times New Roman"/>
          <w:sz w:val="24"/>
          <w:szCs w:val="24"/>
          <w:u w:val="single"/>
          <w:lang w:val="en-US"/>
        </w:rPr>
      </w:pPr>
      <w:r w:rsidRPr="00CD19C5">
        <w:rPr>
          <w:rFonts w:ascii="Times New Roman" w:hAnsi="Times New Roman" w:cs="Times New Roman"/>
          <w:sz w:val="24"/>
          <w:szCs w:val="24"/>
          <w:u w:val="single"/>
          <w:lang w:val="en-US"/>
        </w:rPr>
        <w:t>Application of the law to the facts</w:t>
      </w:r>
    </w:p>
    <w:p w:rsidR="00D260A9" w:rsidRDefault="00D260A9" w:rsidP="00EE2BAB">
      <w:pPr>
        <w:autoSpaceDE w:val="0"/>
        <w:autoSpaceDN w:val="0"/>
        <w:adjustRightInd w:val="0"/>
        <w:spacing w:after="0" w:line="240" w:lineRule="auto"/>
        <w:jc w:val="both"/>
        <w:rPr>
          <w:rFonts w:ascii="Times New Roman" w:hAnsi="Times New Roman" w:cs="Times New Roman"/>
          <w:sz w:val="24"/>
          <w:szCs w:val="24"/>
          <w:u w:val="single"/>
          <w:lang w:val="en-US"/>
        </w:rPr>
      </w:pPr>
      <w:r>
        <w:rPr>
          <w:rFonts w:ascii="Times New Roman" w:hAnsi="Times New Roman" w:cs="Times New Roman"/>
          <w:sz w:val="24"/>
          <w:szCs w:val="24"/>
          <w:u w:val="single"/>
          <w:lang w:val="en-US"/>
        </w:rPr>
        <w:t xml:space="preserve"> </w:t>
      </w:r>
    </w:p>
    <w:p w:rsidR="00D260A9" w:rsidRPr="00D260A9" w:rsidRDefault="00D260A9" w:rsidP="00EE2BAB">
      <w:pPr>
        <w:autoSpaceDE w:val="0"/>
        <w:autoSpaceDN w:val="0"/>
        <w:adjustRightInd w:val="0"/>
        <w:spacing w:after="0" w:line="240" w:lineRule="auto"/>
        <w:jc w:val="both"/>
        <w:rPr>
          <w:rFonts w:ascii="Times New Roman" w:hAnsi="Times New Roman" w:cs="Times New Roman"/>
          <w:i/>
          <w:sz w:val="24"/>
          <w:szCs w:val="24"/>
          <w:lang w:val="en-US"/>
        </w:rPr>
      </w:pPr>
      <w:r w:rsidRPr="00D260A9">
        <w:rPr>
          <w:rFonts w:ascii="Times New Roman" w:hAnsi="Times New Roman" w:cs="Times New Roman"/>
          <w:i/>
          <w:sz w:val="24"/>
          <w:szCs w:val="24"/>
          <w:lang w:val="en-US"/>
        </w:rPr>
        <w:t>The source of the management fees and royalties</w:t>
      </w:r>
    </w:p>
    <w:p w:rsidR="00863533" w:rsidRPr="0009224A" w:rsidRDefault="00863533" w:rsidP="002D571B">
      <w:pPr>
        <w:tabs>
          <w:tab w:val="left" w:pos="720"/>
          <w:tab w:val="left" w:pos="8224"/>
        </w:tabs>
        <w:autoSpaceDE w:val="0"/>
        <w:autoSpaceDN w:val="0"/>
        <w:adjustRightInd w:val="0"/>
        <w:spacing w:after="0" w:line="240" w:lineRule="auto"/>
        <w:ind w:left="-720"/>
        <w:jc w:val="both"/>
        <w:rPr>
          <w:rFonts w:ascii="Times New Roman" w:hAnsi="Times New Roman" w:cs="Times New Roman"/>
          <w:sz w:val="24"/>
          <w:szCs w:val="24"/>
          <w:lang w:val="en-US"/>
        </w:rPr>
      </w:pPr>
      <w:r w:rsidRPr="0009224A">
        <w:rPr>
          <w:rFonts w:ascii="Times New Roman" w:hAnsi="Times New Roman" w:cs="Times New Roman"/>
          <w:sz w:val="24"/>
          <w:szCs w:val="24"/>
          <w:lang w:val="en-US"/>
        </w:rPr>
        <w:tab/>
      </w:r>
      <w:r w:rsidR="0009224A">
        <w:rPr>
          <w:rFonts w:ascii="Times New Roman" w:hAnsi="Times New Roman" w:cs="Times New Roman"/>
          <w:sz w:val="24"/>
          <w:szCs w:val="24"/>
          <w:lang w:val="en-US"/>
        </w:rPr>
        <w:tab/>
      </w:r>
    </w:p>
    <w:p w:rsidR="00114708" w:rsidRPr="00CD19C5" w:rsidRDefault="00D260A9" w:rsidP="00CD19C5">
      <w:pPr>
        <w:autoSpaceDE w:val="0"/>
        <w:autoSpaceDN w:val="0"/>
        <w:adjustRightInd w:val="0"/>
        <w:spacing w:after="0" w:line="360" w:lineRule="auto"/>
        <w:ind w:firstLine="720"/>
        <w:jc w:val="both"/>
        <w:rPr>
          <w:rFonts w:ascii="Times New Roman" w:hAnsi="Times New Roman" w:cs="Times New Roman"/>
          <w:sz w:val="24"/>
          <w:szCs w:val="24"/>
          <w:lang w:val="en-US"/>
        </w:rPr>
      </w:pPr>
      <w:r w:rsidRPr="00CD19C5">
        <w:rPr>
          <w:rFonts w:ascii="Times New Roman" w:hAnsi="Times New Roman" w:cs="Times New Roman"/>
          <w:sz w:val="24"/>
          <w:szCs w:val="24"/>
          <w:lang w:val="en-US"/>
        </w:rPr>
        <w:t>It was common cause that the management fees were deemed to be from a source in Zimbabwe. The</w:t>
      </w:r>
      <w:r w:rsidR="00A03D7F" w:rsidRPr="00CD19C5">
        <w:rPr>
          <w:rFonts w:ascii="Times New Roman" w:hAnsi="Times New Roman" w:cs="Times New Roman"/>
          <w:sz w:val="24"/>
          <w:szCs w:val="24"/>
          <w:lang w:val="en-US"/>
        </w:rPr>
        <w:t xml:space="preserve"> appellant</w:t>
      </w:r>
      <w:r w:rsidRPr="00CD19C5">
        <w:rPr>
          <w:rFonts w:ascii="Times New Roman" w:hAnsi="Times New Roman" w:cs="Times New Roman"/>
          <w:sz w:val="24"/>
          <w:szCs w:val="24"/>
          <w:lang w:val="en-US"/>
        </w:rPr>
        <w:t xml:space="preserve"> disputed the source of royalties could be attributed to Zimbabwe.  The evidence led by the appellant showed that the scientist was not only the p</w:t>
      </w:r>
      <w:r w:rsidR="00D12314">
        <w:rPr>
          <w:rFonts w:ascii="Times New Roman" w:hAnsi="Times New Roman" w:cs="Times New Roman"/>
          <w:sz w:val="24"/>
          <w:szCs w:val="24"/>
          <w:lang w:val="en-US"/>
        </w:rPr>
        <w:t>ivot and brains behind all</w:t>
      </w:r>
      <w:r w:rsidRPr="00CD19C5">
        <w:rPr>
          <w:rFonts w:ascii="Times New Roman" w:hAnsi="Times New Roman" w:cs="Times New Roman"/>
          <w:sz w:val="24"/>
          <w:szCs w:val="24"/>
          <w:lang w:val="en-US"/>
        </w:rPr>
        <w:t xml:space="preserve"> hybrid seed research and development but in conjunction with the gr</w:t>
      </w:r>
      <w:r w:rsidR="00C913E6" w:rsidRPr="00CD19C5">
        <w:rPr>
          <w:rFonts w:ascii="Times New Roman" w:hAnsi="Times New Roman" w:cs="Times New Roman"/>
          <w:sz w:val="24"/>
          <w:szCs w:val="24"/>
          <w:lang w:val="en-US"/>
        </w:rPr>
        <w:t>oup marketing executive centrally managed, controlled and coordinated the skill, wits and labour of the in-coun</w:t>
      </w:r>
      <w:r w:rsidR="00D12314">
        <w:rPr>
          <w:rFonts w:ascii="Times New Roman" w:hAnsi="Times New Roman" w:cs="Times New Roman"/>
          <w:sz w:val="24"/>
          <w:szCs w:val="24"/>
          <w:lang w:val="en-US"/>
        </w:rPr>
        <w:t>try employees who partook</w:t>
      </w:r>
      <w:r w:rsidR="00C913E6" w:rsidRPr="00CD19C5">
        <w:rPr>
          <w:rFonts w:ascii="Times New Roman" w:hAnsi="Times New Roman" w:cs="Times New Roman"/>
          <w:sz w:val="24"/>
          <w:szCs w:val="24"/>
          <w:lang w:val="en-US"/>
        </w:rPr>
        <w:t xml:space="preserve"> in the research, development, propagation and marketing of new seed varieties to</w:t>
      </w:r>
      <w:r w:rsidR="00D12314">
        <w:rPr>
          <w:rFonts w:ascii="Times New Roman" w:hAnsi="Times New Roman" w:cs="Times New Roman"/>
          <w:sz w:val="24"/>
          <w:szCs w:val="24"/>
          <w:lang w:val="en-US"/>
        </w:rPr>
        <w:t xml:space="preserve"> which the general trademark</w:t>
      </w:r>
      <w:r w:rsidR="00C913E6" w:rsidRPr="00CD19C5">
        <w:rPr>
          <w:rFonts w:ascii="Times New Roman" w:hAnsi="Times New Roman" w:cs="Times New Roman"/>
          <w:sz w:val="24"/>
          <w:szCs w:val="24"/>
          <w:lang w:val="en-US"/>
        </w:rPr>
        <w:t xml:space="preserve"> attached. </w:t>
      </w:r>
      <w:r w:rsidR="0081083B" w:rsidRPr="00CD19C5">
        <w:rPr>
          <w:rFonts w:ascii="Times New Roman" w:hAnsi="Times New Roman" w:cs="Times New Roman"/>
          <w:sz w:val="24"/>
          <w:szCs w:val="24"/>
          <w:lang w:val="en-US"/>
        </w:rPr>
        <w:t xml:space="preserve">The appellant was </w:t>
      </w:r>
      <w:r w:rsidR="00A03D7F" w:rsidRPr="00CD19C5">
        <w:rPr>
          <w:rFonts w:ascii="Times New Roman" w:hAnsi="Times New Roman" w:cs="Times New Roman"/>
          <w:sz w:val="24"/>
          <w:szCs w:val="24"/>
          <w:lang w:val="en-US"/>
        </w:rPr>
        <w:t xml:space="preserve">entitled to </w:t>
      </w:r>
      <w:r w:rsidR="00A03D7F" w:rsidRPr="00CD19C5">
        <w:rPr>
          <w:rFonts w:ascii="Times New Roman" w:hAnsi="Times New Roman" w:cs="Times New Roman"/>
          <w:sz w:val="24"/>
          <w:szCs w:val="24"/>
          <w:lang w:val="en-US"/>
        </w:rPr>
        <w:lastRenderedPageBreak/>
        <w:t>royalties</w:t>
      </w:r>
      <w:r w:rsidR="009C003C" w:rsidRPr="00CD19C5">
        <w:rPr>
          <w:rFonts w:ascii="Times New Roman" w:hAnsi="Times New Roman" w:cs="Times New Roman"/>
          <w:sz w:val="24"/>
          <w:szCs w:val="24"/>
          <w:lang w:val="en-US"/>
        </w:rPr>
        <w:t xml:space="preserve"> </w:t>
      </w:r>
      <w:r w:rsidR="0081083B" w:rsidRPr="00CD19C5">
        <w:rPr>
          <w:rFonts w:ascii="Times New Roman" w:hAnsi="Times New Roman" w:cs="Times New Roman"/>
          <w:sz w:val="24"/>
          <w:szCs w:val="24"/>
          <w:lang w:val="en-US"/>
        </w:rPr>
        <w:t xml:space="preserve">calculated at an agreed percentage of net sales </w:t>
      </w:r>
      <w:r w:rsidR="009C003C" w:rsidRPr="00CD19C5">
        <w:rPr>
          <w:rFonts w:ascii="Times New Roman" w:hAnsi="Times New Roman" w:cs="Times New Roman"/>
          <w:sz w:val="24"/>
          <w:szCs w:val="24"/>
          <w:lang w:val="en-US"/>
        </w:rPr>
        <w:t xml:space="preserve">less the contributions of the non-title </w:t>
      </w:r>
      <w:r w:rsidR="00F27C06" w:rsidRPr="00CD19C5">
        <w:rPr>
          <w:rFonts w:ascii="Times New Roman" w:hAnsi="Times New Roman" w:cs="Times New Roman"/>
          <w:sz w:val="24"/>
          <w:szCs w:val="24"/>
          <w:lang w:val="en-US"/>
        </w:rPr>
        <w:t>holders</w:t>
      </w:r>
      <w:r w:rsidR="0081083B" w:rsidRPr="00CD19C5">
        <w:rPr>
          <w:rFonts w:ascii="Times New Roman" w:hAnsi="Times New Roman" w:cs="Times New Roman"/>
          <w:sz w:val="24"/>
          <w:szCs w:val="24"/>
          <w:lang w:val="en-US"/>
        </w:rPr>
        <w:t>. The source of the royalties was the country from which the initial skills</w:t>
      </w:r>
      <w:r w:rsidR="00C913E6" w:rsidRPr="00CD19C5">
        <w:rPr>
          <w:rFonts w:ascii="Times New Roman" w:hAnsi="Times New Roman" w:cs="Times New Roman"/>
          <w:sz w:val="24"/>
          <w:szCs w:val="24"/>
          <w:lang w:val="en-US"/>
        </w:rPr>
        <w:t>, wit and labour</w:t>
      </w:r>
      <w:r w:rsidR="0081083B" w:rsidRPr="00CD19C5">
        <w:rPr>
          <w:rFonts w:ascii="Times New Roman" w:hAnsi="Times New Roman" w:cs="Times New Roman"/>
          <w:sz w:val="24"/>
          <w:szCs w:val="24"/>
          <w:lang w:val="en-US"/>
        </w:rPr>
        <w:t xml:space="preserve"> originated. </w:t>
      </w:r>
      <w:r w:rsidR="00C913E6" w:rsidRPr="00CD19C5">
        <w:rPr>
          <w:rFonts w:ascii="Times New Roman" w:hAnsi="Times New Roman" w:cs="Times New Roman"/>
          <w:sz w:val="24"/>
          <w:szCs w:val="24"/>
          <w:lang w:val="en-US"/>
        </w:rPr>
        <w:t xml:space="preserve">Coincidentally, the formula specified in the SCI-Malawi agreement for research fees is the </w:t>
      </w:r>
      <w:r w:rsidR="00FB472C" w:rsidRPr="00CD19C5">
        <w:rPr>
          <w:rFonts w:ascii="Times New Roman" w:hAnsi="Times New Roman" w:cs="Times New Roman"/>
          <w:sz w:val="24"/>
          <w:szCs w:val="24"/>
          <w:lang w:val="en-US"/>
        </w:rPr>
        <w:t xml:space="preserve">one that abounds in all the Royaltystat agreements used by the appellant. </w:t>
      </w:r>
      <w:r w:rsidR="0081083B" w:rsidRPr="00CD19C5">
        <w:rPr>
          <w:rFonts w:ascii="Times New Roman" w:hAnsi="Times New Roman" w:cs="Times New Roman"/>
          <w:sz w:val="24"/>
          <w:szCs w:val="24"/>
          <w:lang w:val="en-US"/>
        </w:rPr>
        <w:t xml:space="preserve">The intellectual property attached to these trademarks originated in Zimbabwe in which the seed varieties attached to all the trademarks were sold and from which they were further registered </w:t>
      </w:r>
      <w:r w:rsidR="007F1384" w:rsidRPr="00CD19C5">
        <w:rPr>
          <w:rFonts w:ascii="Times New Roman" w:hAnsi="Times New Roman" w:cs="Times New Roman"/>
          <w:sz w:val="24"/>
          <w:szCs w:val="24"/>
          <w:lang w:val="en-US"/>
        </w:rPr>
        <w:t xml:space="preserve">or used as foundation material in developing new varieties registered as PBRs </w:t>
      </w:r>
      <w:r w:rsidR="0081083B" w:rsidRPr="00CD19C5">
        <w:rPr>
          <w:rFonts w:ascii="Times New Roman" w:hAnsi="Times New Roman" w:cs="Times New Roman"/>
          <w:sz w:val="24"/>
          <w:szCs w:val="24"/>
          <w:lang w:val="en-US"/>
        </w:rPr>
        <w:t>in the host countries</w:t>
      </w:r>
      <w:r w:rsidR="007F1384" w:rsidRPr="00CD19C5">
        <w:rPr>
          <w:rFonts w:ascii="Times New Roman" w:hAnsi="Times New Roman" w:cs="Times New Roman"/>
          <w:sz w:val="24"/>
          <w:szCs w:val="24"/>
          <w:lang w:val="en-US"/>
        </w:rPr>
        <w:t xml:space="preserve">. The source requirements prescribed in </w:t>
      </w:r>
      <w:r w:rsidR="008757EF" w:rsidRPr="00CD19C5">
        <w:rPr>
          <w:rFonts w:ascii="Times New Roman" w:hAnsi="Times New Roman" w:cs="Times New Roman"/>
          <w:sz w:val="24"/>
          <w:szCs w:val="24"/>
          <w:lang w:val="en-US"/>
        </w:rPr>
        <w:t xml:space="preserve">s </w:t>
      </w:r>
      <w:r w:rsidR="007F1384" w:rsidRPr="00CD19C5">
        <w:rPr>
          <w:rFonts w:ascii="Times New Roman" w:hAnsi="Times New Roman" w:cs="Times New Roman"/>
          <w:sz w:val="24"/>
          <w:szCs w:val="24"/>
          <w:lang w:val="en-US"/>
        </w:rPr>
        <w:t>12 (</w:t>
      </w:r>
      <w:r w:rsidR="008561DF" w:rsidRPr="00CD19C5">
        <w:rPr>
          <w:rFonts w:ascii="Times New Roman" w:hAnsi="Times New Roman" w:cs="Times New Roman"/>
          <w:sz w:val="24"/>
          <w:szCs w:val="24"/>
          <w:lang w:val="en-US"/>
        </w:rPr>
        <w:t xml:space="preserve">1) (a), (b) and (c) </w:t>
      </w:r>
      <w:r w:rsidR="007F1384" w:rsidRPr="00CD19C5">
        <w:rPr>
          <w:rFonts w:ascii="Times New Roman" w:hAnsi="Times New Roman" w:cs="Times New Roman"/>
          <w:sz w:val="24"/>
          <w:szCs w:val="24"/>
          <w:lang w:val="en-US"/>
        </w:rPr>
        <w:t>of the Income Tax were therefore met</w:t>
      </w:r>
      <w:r w:rsidR="007F1384" w:rsidRPr="00CD19C5">
        <w:rPr>
          <w:rStyle w:val="FootnoteReference"/>
          <w:rFonts w:ascii="Times New Roman" w:hAnsi="Times New Roman" w:cs="Times New Roman"/>
          <w:sz w:val="24"/>
          <w:szCs w:val="24"/>
          <w:lang w:val="en-US"/>
        </w:rPr>
        <w:footnoteReference w:id="18"/>
      </w:r>
      <w:r w:rsidR="00114708" w:rsidRPr="00CD19C5">
        <w:rPr>
          <w:rFonts w:ascii="Times New Roman" w:hAnsi="Times New Roman" w:cs="Times New Roman"/>
          <w:sz w:val="24"/>
          <w:szCs w:val="24"/>
          <w:lang w:val="en-US"/>
        </w:rPr>
        <w:t>.</w:t>
      </w:r>
    </w:p>
    <w:p w:rsidR="00355052" w:rsidRPr="00CD19C5" w:rsidRDefault="00114708" w:rsidP="00CD19C5">
      <w:pPr>
        <w:autoSpaceDE w:val="0"/>
        <w:autoSpaceDN w:val="0"/>
        <w:adjustRightInd w:val="0"/>
        <w:spacing w:after="0" w:line="360" w:lineRule="auto"/>
        <w:ind w:firstLine="720"/>
        <w:jc w:val="both"/>
        <w:rPr>
          <w:rFonts w:ascii="Times New Roman" w:hAnsi="Times New Roman" w:cs="Times New Roman"/>
          <w:sz w:val="24"/>
          <w:szCs w:val="24"/>
          <w:lang w:val="en-US"/>
        </w:rPr>
      </w:pPr>
      <w:r w:rsidRPr="00CD19C5">
        <w:rPr>
          <w:rFonts w:ascii="Times New Roman" w:hAnsi="Times New Roman" w:cs="Times New Roman"/>
          <w:sz w:val="24"/>
          <w:szCs w:val="24"/>
          <w:lang w:val="en-US"/>
        </w:rPr>
        <w:t xml:space="preserve">The contention advanced by the appellant that the phrase </w:t>
      </w:r>
      <w:r w:rsidR="00021B78" w:rsidRPr="00CD19C5">
        <w:rPr>
          <w:rFonts w:ascii="Times New Roman" w:hAnsi="Times New Roman" w:cs="Times New Roman"/>
          <w:sz w:val="24"/>
          <w:szCs w:val="24"/>
          <w:lang w:val="en-US"/>
        </w:rPr>
        <w:t>“premium or like consideration” in s</w:t>
      </w:r>
      <w:r w:rsidR="00B2282D" w:rsidRPr="00CD19C5">
        <w:rPr>
          <w:rFonts w:ascii="Times New Roman" w:hAnsi="Times New Roman" w:cs="Times New Roman"/>
          <w:sz w:val="24"/>
          <w:szCs w:val="24"/>
          <w:lang w:val="en-US"/>
        </w:rPr>
        <w:t xml:space="preserve"> 8 (1) (d) </w:t>
      </w:r>
      <w:r w:rsidR="00021B78" w:rsidRPr="00CD19C5">
        <w:rPr>
          <w:rFonts w:ascii="Times New Roman" w:hAnsi="Times New Roman" w:cs="Times New Roman"/>
          <w:sz w:val="24"/>
          <w:szCs w:val="24"/>
          <w:lang w:val="en-US"/>
        </w:rPr>
        <w:t xml:space="preserve">of the Income Tax Act </w:t>
      </w:r>
      <w:r w:rsidR="00B2282D" w:rsidRPr="00CD19C5">
        <w:rPr>
          <w:rFonts w:ascii="Times New Roman" w:hAnsi="Times New Roman" w:cs="Times New Roman"/>
          <w:sz w:val="24"/>
          <w:szCs w:val="24"/>
          <w:lang w:val="en-US"/>
        </w:rPr>
        <w:t xml:space="preserve">connotes a payment </w:t>
      </w:r>
      <w:r w:rsidR="00021B78" w:rsidRPr="00CD19C5">
        <w:rPr>
          <w:rFonts w:ascii="Times New Roman" w:hAnsi="Times New Roman" w:cs="Times New Roman"/>
          <w:sz w:val="24"/>
          <w:szCs w:val="24"/>
          <w:lang w:val="en-US"/>
        </w:rPr>
        <w:t xml:space="preserve">in excess of the royalty chargeable and not the royalty itself by reference to a similar phrase embodied in a lease agreement referred to by </w:t>
      </w:r>
      <w:r w:rsidR="00B2282D" w:rsidRPr="00CD19C5">
        <w:rPr>
          <w:rFonts w:ascii="Times New Roman" w:hAnsi="Times New Roman" w:cs="Times New Roman"/>
          <w:sz w:val="24"/>
          <w:szCs w:val="24"/>
          <w:lang w:val="en-US"/>
        </w:rPr>
        <w:t xml:space="preserve">Silke </w:t>
      </w:r>
      <w:r w:rsidR="00355052" w:rsidRPr="00CD19C5">
        <w:rPr>
          <w:rFonts w:ascii="Times New Roman" w:hAnsi="Times New Roman" w:cs="Times New Roman"/>
          <w:sz w:val="24"/>
          <w:szCs w:val="24"/>
          <w:lang w:val="en-US"/>
        </w:rPr>
        <w:t xml:space="preserve">para 4.56 Lexis Nexis </w:t>
      </w:r>
      <w:r w:rsidR="00021B78" w:rsidRPr="00CD19C5">
        <w:rPr>
          <w:rFonts w:ascii="Times New Roman" w:hAnsi="Times New Roman" w:cs="Times New Roman"/>
          <w:sz w:val="24"/>
          <w:szCs w:val="24"/>
          <w:lang w:val="en-US"/>
        </w:rPr>
        <w:t xml:space="preserve"> is incorrect. Silke states that:</w:t>
      </w:r>
    </w:p>
    <w:p w:rsidR="00B2282D" w:rsidRDefault="00B2282D" w:rsidP="00CD19C5">
      <w:pPr>
        <w:autoSpaceDE w:val="0"/>
        <w:autoSpaceDN w:val="0"/>
        <w:adjustRightInd w:val="0"/>
        <w:spacing w:after="0" w:line="240" w:lineRule="auto"/>
        <w:ind w:left="720"/>
        <w:jc w:val="both"/>
        <w:rPr>
          <w:rFonts w:ascii="Times New Roman" w:hAnsi="Times New Roman" w:cs="Times New Roman"/>
          <w:lang w:val="en-US"/>
        </w:rPr>
      </w:pPr>
      <w:r w:rsidRPr="00CD19C5">
        <w:rPr>
          <w:rFonts w:ascii="Times New Roman" w:hAnsi="Times New Roman" w:cs="Times New Roman"/>
          <w:lang w:val="en-US"/>
        </w:rPr>
        <w:t xml:space="preserve">“ the words ‘premium or like consideration’ in so far as they refer to the relations between a lessor and his lessee, refer to a consideration having an ascertainable money value passing from the lessee the lessor, whether in cash or otherwise, distinct from and in addition to rent….For example, if a lessor agrees to let to a lessee land for a lump-sum payment of R1000 000 in addition to a monthly rent of R25 000, the R100 000 is a premium….since it is a consideration passing from a lessee to a lessor in addition to the rent. </w:t>
      </w:r>
      <w:r w:rsidRPr="00CD19C5">
        <w:rPr>
          <w:rFonts w:ascii="Times New Roman" w:hAnsi="Times New Roman" w:cs="Times New Roman"/>
          <w:i/>
          <w:lang w:val="en-US"/>
        </w:rPr>
        <w:t>CIR v Butcher Bros (Pty) Ltd</w:t>
      </w:r>
      <w:r w:rsidRPr="00CD19C5">
        <w:rPr>
          <w:rFonts w:ascii="Times New Roman" w:hAnsi="Times New Roman" w:cs="Times New Roman"/>
          <w:lang w:val="en-US"/>
        </w:rPr>
        <w:t xml:space="preserve"> 1945 AD 301, 13 SATC 21; </w:t>
      </w:r>
      <w:r w:rsidRPr="00CD19C5">
        <w:rPr>
          <w:rFonts w:ascii="Times New Roman" w:hAnsi="Times New Roman" w:cs="Times New Roman"/>
          <w:i/>
          <w:lang w:val="en-US"/>
        </w:rPr>
        <w:t xml:space="preserve">Turnbull v CIR </w:t>
      </w:r>
      <w:r w:rsidRPr="00CD19C5">
        <w:rPr>
          <w:rFonts w:ascii="Times New Roman" w:hAnsi="Times New Roman" w:cs="Times New Roman"/>
          <w:lang w:val="en-US"/>
        </w:rPr>
        <w:t>1953 (2) SA 573 (A), 18 SATC 336</w:t>
      </w:r>
      <w:r w:rsidR="00CD19C5">
        <w:rPr>
          <w:rFonts w:ascii="Times New Roman" w:hAnsi="Times New Roman" w:cs="Times New Roman"/>
          <w:lang w:val="en-US"/>
        </w:rPr>
        <w:t>.</w:t>
      </w:r>
      <w:r w:rsidR="00013536" w:rsidRPr="00CD19C5">
        <w:rPr>
          <w:rFonts w:ascii="Times New Roman" w:hAnsi="Times New Roman" w:cs="Times New Roman"/>
          <w:lang w:val="en-US"/>
        </w:rPr>
        <w:t>”</w:t>
      </w:r>
    </w:p>
    <w:p w:rsidR="00CD19C5" w:rsidRPr="00CD19C5" w:rsidRDefault="00CD19C5" w:rsidP="00CD19C5">
      <w:pPr>
        <w:autoSpaceDE w:val="0"/>
        <w:autoSpaceDN w:val="0"/>
        <w:adjustRightInd w:val="0"/>
        <w:spacing w:after="0" w:line="240" w:lineRule="auto"/>
        <w:ind w:left="720"/>
        <w:jc w:val="both"/>
        <w:rPr>
          <w:rFonts w:ascii="Times New Roman" w:hAnsi="Times New Roman" w:cs="Times New Roman"/>
          <w:lang w:val="en-US"/>
        </w:rPr>
      </w:pPr>
    </w:p>
    <w:p w:rsidR="00473A60" w:rsidRPr="00CD19C5" w:rsidRDefault="00021B78" w:rsidP="00CD19C5">
      <w:pPr>
        <w:autoSpaceDE w:val="0"/>
        <w:autoSpaceDN w:val="0"/>
        <w:adjustRightInd w:val="0"/>
        <w:spacing w:after="0" w:line="360" w:lineRule="auto"/>
        <w:ind w:firstLine="720"/>
        <w:jc w:val="both"/>
        <w:rPr>
          <w:rFonts w:ascii="Times New Roman" w:hAnsi="Times New Roman" w:cs="Times New Roman"/>
          <w:sz w:val="24"/>
          <w:szCs w:val="24"/>
          <w:lang w:val="en-US"/>
        </w:rPr>
      </w:pPr>
      <w:r w:rsidRPr="00CD19C5">
        <w:rPr>
          <w:rFonts w:ascii="Times New Roman" w:hAnsi="Times New Roman" w:cs="Times New Roman"/>
          <w:sz w:val="24"/>
          <w:szCs w:val="24"/>
          <w:lang w:val="en-US"/>
        </w:rPr>
        <w:t xml:space="preserve">It is incorrect because a royalty chargeable for the use of trademarks is not analogous to rentals charged for the use of property. A royalty constitutes the premium or </w:t>
      </w:r>
      <w:r w:rsidR="006C78D6" w:rsidRPr="00CD19C5">
        <w:rPr>
          <w:rFonts w:ascii="Times New Roman" w:hAnsi="Times New Roman" w:cs="Times New Roman"/>
          <w:sz w:val="24"/>
          <w:szCs w:val="24"/>
          <w:lang w:val="en-US"/>
        </w:rPr>
        <w:t xml:space="preserve">like </w:t>
      </w:r>
      <w:r w:rsidRPr="00CD19C5">
        <w:rPr>
          <w:rFonts w:ascii="Times New Roman" w:hAnsi="Times New Roman" w:cs="Times New Roman"/>
          <w:sz w:val="24"/>
          <w:szCs w:val="24"/>
          <w:lang w:val="en-US"/>
        </w:rPr>
        <w:t xml:space="preserve">consideration </w:t>
      </w:r>
      <w:r w:rsidR="006C78D6" w:rsidRPr="00CD19C5">
        <w:rPr>
          <w:rFonts w:ascii="Times New Roman" w:hAnsi="Times New Roman" w:cs="Times New Roman"/>
          <w:sz w:val="24"/>
          <w:szCs w:val="24"/>
          <w:lang w:val="en-US"/>
        </w:rPr>
        <w:t xml:space="preserve">paid for the right to use the trademark or other intellectual property based on the value of sales. The royalty payable is in addition to any licence fees that may be charged annually. The rental in a lease agreement is analogous to the licence fees payable. The additional payment of a royalty on top of the licence fees is what constitutes the “premium or like consideration” referred to in s 8 (1) (d) of the Income Tax Act. </w:t>
      </w:r>
      <w:r w:rsidR="004A6FA9" w:rsidRPr="00CD19C5">
        <w:rPr>
          <w:rFonts w:ascii="Times New Roman" w:hAnsi="Times New Roman" w:cs="Times New Roman"/>
          <w:sz w:val="24"/>
          <w:szCs w:val="24"/>
          <w:lang w:val="en-US"/>
        </w:rPr>
        <w:t>The constructi</w:t>
      </w:r>
      <w:r w:rsidR="00D223C5" w:rsidRPr="00CD19C5">
        <w:rPr>
          <w:rFonts w:ascii="Times New Roman" w:hAnsi="Times New Roman" w:cs="Times New Roman"/>
          <w:sz w:val="24"/>
          <w:szCs w:val="24"/>
          <w:lang w:val="en-US"/>
        </w:rPr>
        <w:t xml:space="preserve">on of that phrase in the manner suggested </w:t>
      </w:r>
      <w:r w:rsidR="006C78D6" w:rsidRPr="00CD19C5">
        <w:rPr>
          <w:rFonts w:ascii="Times New Roman" w:hAnsi="Times New Roman" w:cs="Times New Roman"/>
          <w:sz w:val="24"/>
          <w:szCs w:val="24"/>
          <w:lang w:val="en-US"/>
        </w:rPr>
        <w:t>by the appellant would render nugatory the inclusion of royalties in t</w:t>
      </w:r>
      <w:r w:rsidR="00D223C5" w:rsidRPr="00CD19C5">
        <w:rPr>
          <w:rFonts w:ascii="Times New Roman" w:hAnsi="Times New Roman" w:cs="Times New Roman"/>
          <w:sz w:val="24"/>
          <w:szCs w:val="24"/>
          <w:lang w:val="en-US"/>
        </w:rPr>
        <w:t xml:space="preserve">he taxable income of a taxpayer, </w:t>
      </w:r>
      <w:r w:rsidR="006C78D6" w:rsidRPr="00CD19C5">
        <w:rPr>
          <w:rFonts w:ascii="Times New Roman" w:hAnsi="Times New Roman" w:cs="Times New Roman"/>
          <w:sz w:val="24"/>
          <w:szCs w:val="24"/>
          <w:lang w:val="en-US"/>
        </w:rPr>
        <w:t>emasculate the application of both the general wording of s 8 (1) and the specific wording of sub-</w:t>
      </w:r>
      <w:r w:rsidR="00D223C5" w:rsidRPr="00CD19C5">
        <w:rPr>
          <w:rFonts w:ascii="Times New Roman" w:hAnsi="Times New Roman" w:cs="Times New Roman"/>
          <w:sz w:val="24"/>
          <w:szCs w:val="24"/>
          <w:lang w:val="en-US"/>
        </w:rPr>
        <w:t xml:space="preserve">para (d) of s 8 (1) and defeat the intention of the Legislature to include royalties in a taxpayer’s taxable income. </w:t>
      </w:r>
    </w:p>
    <w:p w:rsidR="00546759" w:rsidRPr="00CD19C5" w:rsidRDefault="00FB472C" w:rsidP="00CD19C5">
      <w:pPr>
        <w:spacing w:line="360" w:lineRule="auto"/>
        <w:ind w:firstLine="720"/>
        <w:jc w:val="both"/>
        <w:rPr>
          <w:rFonts w:ascii="Times New Roman" w:hAnsi="Times New Roman" w:cs="Times New Roman"/>
          <w:sz w:val="24"/>
          <w:szCs w:val="24"/>
        </w:rPr>
      </w:pPr>
      <w:r w:rsidRPr="00CD19C5">
        <w:rPr>
          <w:rFonts w:ascii="Times New Roman" w:hAnsi="Times New Roman" w:cs="Times New Roman"/>
          <w:sz w:val="24"/>
          <w:szCs w:val="24"/>
        </w:rPr>
        <w:lastRenderedPageBreak/>
        <w:t xml:space="preserve">I proceed to determine whether </w:t>
      </w:r>
      <w:r w:rsidR="00F125CB" w:rsidRPr="00CD19C5">
        <w:rPr>
          <w:rFonts w:ascii="Times New Roman" w:hAnsi="Times New Roman" w:cs="Times New Roman"/>
          <w:sz w:val="24"/>
          <w:szCs w:val="24"/>
        </w:rPr>
        <w:t>the provisions of s 98 were properly invoked in respect of the transfer of the head office function, management fees and royalties</w:t>
      </w:r>
    </w:p>
    <w:p w:rsidR="0084318B" w:rsidRPr="00CD19C5" w:rsidRDefault="0084318B" w:rsidP="00CD19C5">
      <w:pPr>
        <w:spacing w:line="360" w:lineRule="auto"/>
        <w:jc w:val="both"/>
        <w:rPr>
          <w:rFonts w:ascii="Times New Roman" w:hAnsi="Times New Roman" w:cs="Times New Roman"/>
          <w:sz w:val="24"/>
          <w:szCs w:val="24"/>
          <w:u w:val="single"/>
        </w:rPr>
      </w:pPr>
      <w:r w:rsidRPr="00CD19C5">
        <w:rPr>
          <w:rFonts w:ascii="Times New Roman" w:hAnsi="Times New Roman" w:cs="Times New Roman"/>
          <w:sz w:val="24"/>
          <w:szCs w:val="24"/>
          <w:u w:val="single"/>
        </w:rPr>
        <w:t>The head office function</w:t>
      </w:r>
    </w:p>
    <w:p w:rsidR="00546759" w:rsidRPr="00CD19C5" w:rsidRDefault="00546759" w:rsidP="00207BBD">
      <w:pPr>
        <w:pStyle w:val="ListParagraph"/>
        <w:spacing w:line="360" w:lineRule="auto"/>
        <w:ind w:left="0"/>
        <w:jc w:val="both"/>
        <w:rPr>
          <w:rFonts w:ascii="Times New Roman" w:hAnsi="Times New Roman" w:cs="Times New Roman"/>
          <w:i/>
          <w:sz w:val="24"/>
          <w:szCs w:val="24"/>
        </w:rPr>
      </w:pPr>
      <w:r w:rsidRPr="00CD19C5">
        <w:rPr>
          <w:rFonts w:ascii="Times New Roman" w:hAnsi="Times New Roman" w:cs="Times New Roman"/>
          <w:i/>
          <w:sz w:val="24"/>
          <w:szCs w:val="24"/>
        </w:rPr>
        <w:t xml:space="preserve">Whether or not there was a transaction, operation or scheme </w:t>
      </w:r>
      <w:r w:rsidR="0084318B" w:rsidRPr="00CD19C5">
        <w:rPr>
          <w:rFonts w:ascii="Times New Roman" w:hAnsi="Times New Roman" w:cs="Times New Roman"/>
          <w:i/>
          <w:sz w:val="24"/>
          <w:szCs w:val="24"/>
        </w:rPr>
        <w:t xml:space="preserve">in respect of the head office function </w:t>
      </w:r>
      <w:r w:rsidRPr="00CD19C5">
        <w:rPr>
          <w:rFonts w:ascii="Times New Roman" w:hAnsi="Times New Roman" w:cs="Times New Roman"/>
          <w:i/>
          <w:sz w:val="24"/>
          <w:szCs w:val="24"/>
        </w:rPr>
        <w:t>and whether such transaction, operation or scheme had the effect of avoiding or reducing tax and was abnormal in the sense prescribed under s 98 of the Act.</w:t>
      </w:r>
    </w:p>
    <w:p w:rsidR="00686DFB" w:rsidRPr="00CD19C5" w:rsidRDefault="00546759" w:rsidP="00207BBD">
      <w:pPr>
        <w:spacing w:after="0" w:line="360" w:lineRule="auto"/>
        <w:ind w:firstLine="720"/>
        <w:jc w:val="both"/>
        <w:rPr>
          <w:rFonts w:ascii="Times New Roman" w:hAnsi="Times New Roman" w:cs="Times New Roman"/>
          <w:sz w:val="24"/>
          <w:szCs w:val="24"/>
          <w:lang w:val="en-US"/>
        </w:rPr>
      </w:pPr>
      <w:r w:rsidRPr="00CD19C5">
        <w:rPr>
          <w:rFonts w:ascii="Times New Roman" w:hAnsi="Times New Roman" w:cs="Times New Roman"/>
          <w:sz w:val="24"/>
          <w:szCs w:val="24"/>
        </w:rPr>
        <w:t>The provisions of s 98 have been judicially construed and applied in this country for a c</w:t>
      </w:r>
      <w:r w:rsidR="00121E5D" w:rsidRPr="00CD19C5">
        <w:rPr>
          <w:rFonts w:ascii="Times New Roman" w:hAnsi="Times New Roman" w:cs="Times New Roman"/>
          <w:sz w:val="24"/>
          <w:szCs w:val="24"/>
        </w:rPr>
        <w:t>onsiderable length of time. See</w:t>
      </w:r>
      <w:r w:rsidRPr="00CD19C5">
        <w:rPr>
          <w:rFonts w:ascii="Times New Roman" w:hAnsi="Times New Roman" w:cs="Times New Roman"/>
          <w:sz w:val="24"/>
          <w:szCs w:val="24"/>
        </w:rPr>
        <w:t xml:space="preserve"> </w:t>
      </w:r>
      <w:r w:rsidRPr="00CD19C5">
        <w:rPr>
          <w:rFonts w:ascii="Times New Roman" w:hAnsi="Times New Roman" w:cs="Times New Roman"/>
          <w:i/>
          <w:sz w:val="24"/>
          <w:szCs w:val="24"/>
        </w:rPr>
        <w:t xml:space="preserve">Commissioner of Taxes </w:t>
      </w:r>
      <w:r w:rsidRPr="00CD19C5">
        <w:rPr>
          <w:rFonts w:ascii="Times New Roman" w:hAnsi="Times New Roman" w:cs="Times New Roman"/>
          <w:sz w:val="24"/>
          <w:szCs w:val="24"/>
        </w:rPr>
        <w:t>v</w:t>
      </w:r>
      <w:r w:rsidRPr="00CD19C5">
        <w:rPr>
          <w:rFonts w:ascii="Times New Roman" w:hAnsi="Times New Roman" w:cs="Times New Roman"/>
          <w:i/>
          <w:sz w:val="24"/>
          <w:szCs w:val="24"/>
        </w:rPr>
        <w:t xml:space="preserve"> </w:t>
      </w:r>
      <w:r w:rsidR="00DF6D95" w:rsidRPr="00CD19C5">
        <w:rPr>
          <w:rFonts w:ascii="Times New Roman" w:hAnsi="Times New Roman" w:cs="Times New Roman"/>
          <w:i/>
          <w:sz w:val="24"/>
          <w:szCs w:val="24"/>
        </w:rPr>
        <w:t>Ferera</w:t>
      </w:r>
      <w:r w:rsidRPr="00CD19C5">
        <w:rPr>
          <w:rFonts w:ascii="Times New Roman" w:hAnsi="Times New Roman" w:cs="Times New Roman"/>
          <w:sz w:val="24"/>
          <w:szCs w:val="24"/>
        </w:rPr>
        <w:t xml:space="preserve"> 1976 (2) SA 653 (RAD), </w:t>
      </w:r>
      <w:r w:rsidR="009257F1" w:rsidRPr="00CD19C5">
        <w:rPr>
          <w:rFonts w:ascii="Times New Roman" w:hAnsi="Times New Roman" w:cs="Times New Roman"/>
          <w:i/>
          <w:sz w:val="24"/>
          <w:szCs w:val="24"/>
        </w:rPr>
        <w:t xml:space="preserve">G Bank Zimbabwe Ltd </w:t>
      </w:r>
      <w:r w:rsidR="009257F1" w:rsidRPr="00CD19C5">
        <w:rPr>
          <w:rFonts w:ascii="Times New Roman" w:hAnsi="Times New Roman" w:cs="Times New Roman"/>
          <w:sz w:val="24"/>
          <w:szCs w:val="24"/>
        </w:rPr>
        <w:t>v</w:t>
      </w:r>
      <w:r w:rsidR="009257F1" w:rsidRPr="00CD19C5">
        <w:rPr>
          <w:rFonts w:ascii="Times New Roman" w:hAnsi="Times New Roman" w:cs="Times New Roman"/>
          <w:i/>
          <w:sz w:val="24"/>
          <w:szCs w:val="24"/>
        </w:rPr>
        <w:t xml:space="preserve"> Zimbabwe Revenue Authority </w:t>
      </w:r>
      <w:r w:rsidR="009257F1" w:rsidRPr="00CD19C5">
        <w:rPr>
          <w:rFonts w:ascii="Times New Roman" w:hAnsi="Times New Roman" w:cs="Times New Roman"/>
          <w:sz w:val="24"/>
          <w:szCs w:val="24"/>
        </w:rPr>
        <w:t>2015 (1) ZLR 348 (H)</w:t>
      </w:r>
      <w:r w:rsidR="009257F1" w:rsidRPr="00CD19C5">
        <w:rPr>
          <w:rFonts w:ascii="Times New Roman" w:hAnsi="Times New Roman" w:cs="Times New Roman"/>
          <w:i/>
          <w:sz w:val="24"/>
          <w:szCs w:val="24"/>
        </w:rPr>
        <w:t xml:space="preserve"> and H Bank Zimbabwe Ltd</w:t>
      </w:r>
      <w:r w:rsidR="009257F1" w:rsidRPr="00CD19C5">
        <w:rPr>
          <w:rFonts w:ascii="Times New Roman" w:hAnsi="Times New Roman" w:cs="Times New Roman"/>
          <w:sz w:val="24"/>
          <w:szCs w:val="24"/>
        </w:rPr>
        <w:t xml:space="preserve"> v</w:t>
      </w:r>
      <w:r w:rsidR="009257F1" w:rsidRPr="00CD19C5">
        <w:rPr>
          <w:rFonts w:ascii="Times New Roman" w:hAnsi="Times New Roman" w:cs="Times New Roman"/>
          <w:i/>
          <w:sz w:val="24"/>
          <w:szCs w:val="24"/>
        </w:rPr>
        <w:t xml:space="preserve"> Zimbabwe Revenue Authority </w:t>
      </w:r>
      <w:r w:rsidR="009257F1" w:rsidRPr="00CD19C5">
        <w:rPr>
          <w:rFonts w:ascii="Times New Roman" w:hAnsi="Times New Roman" w:cs="Times New Roman"/>
          <w:sz w:val="24"/>
          <w:szCs w:val="24"/>
        </w:rPr>
        <w:t xml:space="preserve">2015 (1) ZLR 1007 (H). </w:t>
      </w:r>
      <w:r w:rsidR="00F70721" w:rsidRPr="00CD19C5">
        <w:rPr>
          <w:rFonts w:ascii="Times New Roman" w:hAnsi="Times New Roman" w:cs="Times New Roman"/>
          <w:sz w:val="24"/>
          <w:szCs w:val="24"/>
        </w:rPr>
        <w:t>The section deals with circumstances where there is an avoidance, postponement or reduction in tax liability and the Commissioner form</w:t>
      </w:r>
      <w:r w:rsidR="00DF6D95" w:rsidRPr="00CD19C5">
        <w:rPr>
          <w:rFonts w:ascii="Times New Roman" w:hAnsi="Times New Roman" w:cs="Times New Roman"/>
          <w:sz w:val="24"/>
          <w:szCs w:val="24"/>
        </w:rPr>
        <w:t>s</w:t>
      </w:r>
      <w:r w:rsidR="00F70721" w:rsidRPr="00CD19C5">
        <w:rPr>
          <w:rFonts w:ascii="Times New Roman" w:hAnsi="Times New Roman" w:cs="Times New Roman"/>
          <w:sz w:val="24"/>
          <w:szCs w:val="24"/>
        </w:rPr>
        <w:t xml:space="preserve"> the opinion that the avoidance, postponement or reduction was the sole or one of the main purposes of the transaction. He may then determine the tax liability by ignoring the offending transaction or reversing or limiting its impact. He is </w:t>
      </w:r>
      <w:r w:rsidR="00B432D6" w:rsidRPr="00CD19C5">
        <w:rPr>
          <w:rFonts w:ascii="Times New Roman" w:hAnsi="Times New Roman" w:cs="Times New Roman"/>
          <w:sz w:val="24"/>
          <w:szCs w:val="24"/>
        </w:rPr>
        <w:t>obliged to consider</w:t>
      </w:r>
      <w:r w:rsidR="00F70721" w:rsidRPr="00CD19C5">
        <w:rPr>
          <w:rFonts w:ascii="Times New Roman" w:hAnsi="Times New Roman" w:cs="Times New Roman"/>
          <w:sz w:val="24"/>
          <w:szCs w:val="24"/>
        </w:rPr>
        <w:t xml:space="preserve"> whether the transaction was conducted in a way (means and manner) </w:t>
      </w:r>
      <w:r w:rsidR="00B432D6" w:rsidRPr="00CD19C5">
        <w:rPr>
          <w:rFonts w:ascii="Times New Roman" w:hAnsi="Times New Roman" w:cs="Times New Roman"/>
          <w:sz w:val="24"/>
          <w:szCs w:val="24"/>
        </w:rPr>
        <w:t xml:space="preserve">that is </w:t>
      </w:r>
      <w:r w:rsidR="00F70721" w:rsidRPr="00CD19C5">
        <w:rPr>
          <w:rFonts w:ascii="Times New Roman" w:hAnsi="Times New Roman" w:cs="Times New Roman"/>
          <w:sz w:val="24"/>
          <w:szCs w:val="24"/>
        </w:rPr>
        <w:t xml:space="preserve">not normally employed </w:t>
      </w:r>
      <w:r w:rsidR="002C22AA" w:rsidRPr="00CD19C5">
        <w:rPr>
          <w:rFonts w:ascii="Times New Roman" w:hAnsi="Times New Roman" w:cs="Times New Roman"/>
          <w:sz w:val="24"/>
          <w:szCs w:val="24"/>
        </w:rPr>
        <w:t xml:space="preserve">or created </w:t>
      </w:r>
      <w:r w:rsidR="00F70721" w:rsidRPr="00CD19C5">
        <w:rPr>
          <w:rFonts w:ascii="Times New Roman" w:hAnsi="Times New Roman" w:cs="Times New Roman"/>
          <w:sz w:val="24"/>
          <w:szCs w:val="24"/>
        </w:rPr>
        <w:t>rights and obligations not normally created between independent parties dealing at arm’s length.</w:t>
      </w:r>
      <w:r w:rsidR="00686DFB" w:rsidRPr="00CD19C5">
        <w:rPr>
          <w:rFonts w:ascii="Times New Roman" w:hAnsi="Times New Roman" w:cs="Times New Roman"/>
          <w:sz w:val="24"/>
          <w:szCs w:val="24"/>
          <w:lang w:val="en-US"/>
        </w:rPr>
        <w:t xml:space="preserve"> The GAAP does not affect legitimate exemptions, deductions and credits but is concerned with the diversion of income by hook or crook, which would have accrued to the taxpayer, to a different entity.  </w:t>
      </w:r>
    </w:p>
    <w:p w:rsidR="00686DFB" w:rsidRPr="00CD19C5" w:rsidRDefault="00686DFB" w:rsidP="00207BBD">
      <w:pPr>
        <w:spacing w:after="0" w:line="360" w:lineRule="auto"/>
        <w:ind w:firstLine="720"/>
        <w:jc w:val="both"/>
        <w:rPr>
          <w:rFonts w:ascii="Times New Roman" w:hAnsi="Times New Roman" w:cs="Times New Roman"/>
          <w:sz w:val="24"/>
          <w:szCs w:val="24"/>
          <w:lang w:val="en-US"/>
        </w:rPr>
      </w:pPr>
      <w:r w:rsidRPr="00CD19C5">
        <w:rPr>
          <w:rFonts w:ascii="Times New Roman" w:hAnsi="Times New Roman" w:cs="Times New Roman"/>
          <w:sz w:val="24"/>
          <w:szCs w:val="24"/>
          <w:lang w:val="en-US"/>
        </w:rPr>
        <w:t xml:space="preserve">In the instant case, the Commissioner formed the opinion and was thus satisfied that both management fees and royalties accrued to the appellant but </w:t>
      </w:r>
      <w:r w:rsidR="003272A5" w:rsidRPr="00CD19C5">
        <w:rPr>
          <w:rFonts w:ascii="Times New Roman" w:hAnsi="Times New Roman" w:cs="Times New Roman"/>
          <w:sz w:val="24"/>
          <w:szCs w:val="24"/>
          <w:lang w:val="en-US"/>
        </w:rPr>
        <w:t>by sleight of hand by way</w:t>
      </w:r>
      <w:r w:rsidRPr="00CD19C5">
        <w:rPr>
          <w:rFonts w:ascii="Times New Roman" w:hAnsi="Times New Roman" w:cs="Times New Roman"/>
          <w:sz w:val="24"/>
          <w:szCs w:val="24"/>
          <w:lang w:val="en-US"/>
        </w:rPr>
        <w:t xml:space="preserve"> of fictionally placing group employees under the flagship an</w:t>
      </w:r>
      <w:r w:rsidR="003272A5" w:rsidRPr="00CD19C5">
        <w:rPr>
          <w:rFonts w:ascii="Times New Roman" w:hAnsi="Times New Roman" w:cs="Times New Roman"/>
          <w:sz w:val="24"/>
          <w:szCs w:val="24"/>
          <w:lang w:val="en-US"/>
        </w:rPr>
        <w:t>d the SCI-Malawi agreement, which</w:t>
      </w:r>
      <w:r w:rsidRPr="00CD19C5">
        <w:rPr>
          <w:rFonts w:ascii="Times New Roman" w:hAnsi="Times New Roman" w:cs="Times New Roman"/>
          <w:sz w:val="24"/>
          <w:szCs w:val="24"/>
          <w:lang w:val="en-US"/>
        </w:rPr>
        <w:t xml:space="preserve"> income was diverte</w:t>
      </w:r>
      <w:r w:rsidR="003272A5" w:rsidRPr="00CD19C5">
        <w:rPr>
          <w:rFonts w:ascii="Times New Roman" w:hAnsi="Times New Roman" w:cs="Times New Roman"/>
          <w:sz w:val="24"/>
          <w:szCs w:val="24"/>
          <w:lang w:val="en-US"/>
        </w:rPr>
        <w:t>d to the flagship and SCI, who</w:t>
      </w:r>
      <w:r w:rsidRPr="00CD19C5">
        <w:rPr>
          <w:rFonts w:ascii="Times New Roman" w:hAnsi="Times New Roman" w:cs="Times New Roman"/>
          <w:sz w:val="24"/>
          <w:szCs w:val="24"/>
          <w:lang w:val="en-US"/>
        </w:rPr>
        <w:t xml:space="preserve"> in reality had not earned any such income. This satisfaction connotes his justification for attaching liability to the taxpayer.  The Commissioner thus wields an extraordinary and far reaching pow</w:t>
      </w:r>
      <w:r w:rsidR="00BC3728">
        <w:rPr>
          <w:rFonts w:ascii="Times New Roman" w:hAnsi="Times New Roman" w:cs="Times New Roman"/>
          <w:sz w:val="24"/>
          <w:szCs w:val="24"/>
          <w:lang w:val="en-US"/>
        </w:rPr>
        <w:t>er, which negates the freedom of</w:t>
      </w:r>
      <w:r w:rsidRPr="00CD19C5">
        <w:rPr>
          <w:rFonts w:ascii="Times New Roman" w:hAnsi="Times New Roman" w:cs="Times New Roman"/>
          <w:sz w:val="24"/>
          <w:szCs w:val="24"/>
          <w:lang w:val="en-US"/>
        </w:rPr>
        <w:t xml:space="preserve"> contract enjoyed by taxpayers. The appeal attacks this satisfaction. </w:t>
      </w:r>
    </w:p>
    <w:p w:rsidR="0067189A" w:rsidRPr="00CD19C5" w:rsidRDefault="00EB4CD2" w:rsidP="00207BBD">
      <w:pPr>
        <w:spacing w:after="0" w:line="360" w:lineRule="auto"/>
        <w:ind w:firstLine="720"/>
        <w:jc w:val="both"/>
        <w:rPr>
          <w:rFonts w:ascii="Times New Roman" w:hAnsi="Times New Roman" w:cs="Times New Roman"/>
          <w:sz w:val="24"/>
          <w:szCs w:val="24"/>
        </w:rPr>
      </w:pPr>
      <w:r w:rsidRPr="00CD19C5">
        <w:rPr>
          <w:rFonts w:ascii="Times New Roman" w:hAnsi="Times New Roman" w:cs="Times New Roman"/>
          <w:sz w:val="24"/>
          <w:szCs w:val="24"/>
        </w:rPr>
        <w:t>The respondent assessed the appellant to income tax on the basis</w:t>
      </w:r>
      <w:r w:rsidR="00BA1290" w:rsidRPr="00CD19C5">
        <w:rPr>
          <w:rFonts w:ascii="Times New Roman" w:hAnsi="Times New Roman" w:cs="Times New Roman"/>
          <w:sz w:val="24"/>
          <w:szCs w:val="24"/>
        </w:rPr>
        <w:t xml:space="preserve"> that it</w:t>
      </w:r>
      <w:r w:rsidRPr="00CD19C5">
        <w:rPr>
          <w:rFonts w:ascii="Times New Roman" w:hAnsi="Times New Roman" w:cs="Times New Roman"/>
          <w:sz w:val="24"/>
          <w:szCs w:val="24"/>
        </w:rPr>
        <w:t xml:space="preserve"> created </w:t>
      </w:r>
      <w:r w:rsidR="00BA1290" w:rsidRPr="00CD19C5">
        <w:rPr>
          <w:rFonts w:ascii="Times New Roman" w:hAnsi="Times New Roman" w:cs="Times New Roman"/>
          <w:sz w:val="24"/>
          <w:szCs w:val="24"/>
        </w:rPr>
        <w:t xml:space="preserve">three </w:t>
      </w:r>
      <w:r w:rsidRPr="00CD19C5">
        <w:rPr>
          <w:rFonts w:ascii="Times New Roman" w:hAnsi="Times New Roman" w:cs="Times New Roman"/>
          <w:sz w:val="24"/>
          <w:szCs w:val="24"/>
        </w:rPr>
        <w:t>transaction</w:t>
      </w:r>
      <w:r w:rsidR="00BA1290" w:rsidRPr="00CD19C5">
        <w:rPr>
          <w:rFonts w:ascii="Times New Roman" w:hAnsi="Times New Roman" w:cs="Times New Roman"/>
          <w:sz w:val="24"/>
          <w:szCs w:val="24"/>
        </w:rPr>
        <w:t>s</w:t>
      </w:r>
      <w:r w:rsidRPr="00CD19C5">
        <w:rPr>
          <w:rFonts w:ascii="Times New Roman" w:hAnsi="Times New Roman" w:cs="Times New Roman"/>
          <w:sz w:val="24"/>
          <w:szCs w:val="24"/>
        </w:rPr>
        <w:t>, operation</w:t>
      </w:r>
      <w:r w:rsidR="00BA1290" w:rsidRPr="00CD19C5">
        <w:rPr>
          <w:rFonts w:ascii="Times New Roman" w:hAnsi="Times New Roman" w:cs="Times New Roman"/>
          <w:sz w:val="24"/>
          <w:szCs w:val="24"/>
        </w:rPr>
        <w:t>s</w:t>
      </w:r>
      <w:r w:rsidRPr="00CD19C5">
        <w:rPr>
          <w:rFonts w:ascii="Times New Roman" w:hAnsi="Times New Roman" w:cs="Times New Roman"/>
          <w:sz w:val="24"/>
          <w:szCs w:val="24"/>
        </w:rPr>
        <w:t xml:space="preserve"> or scheme</w:t>
      </w:r>
      <w:r w:rsidR="00BA1290" w:rsidRPr="00CD19C5">
        <w:rPr>
          <w:rFonts w:ascii="Times New Roman" w:hAnsi="Times New Roman" w:cs="Times New Roman"/>
          <w:sz w:val="24"/>
          <w:szCs w:val="24"/>
        </w:rPr>
        <w:t xml:space="preserve">s between 28 February 2005 and 25 November 2013, when the appealed assessments were issued. </w:t>
      </w:r>
      <w:r w:rsidRPr="00CD19C5">
        <w:rPr>
          <w:rFonts w:ascii="Times New Roman" w:hAnsi="Times New Roman" w:cs="Times New Roman"/>
          <w:sz w:val="24"/>
          <w:szCs w:val="24"/>
        </w:rPr>
        <w:t xml:space="preserve"> </w:t>
      </w:r>
      <w:r w:rsidR="00BA1290" w:rsidRPr="00CD19C5">
        <w:rPr>
          <w:rFonts w:ascii="Times New Roman" w:hAnsi="Times New Roman" w:cs="Times New Roman"/>
          <w:sz w:val="24"/>
          <w:szCs w:val="24"/>
        </w:rPr>
        <w:t xml:space="preserve">The first TOS was allegedly created </w:t>
      </w:r>
      <w:r w:rsidRPr="00CD19C5">
        <w:rPr>
          <w:rFonts w:ascii="Times New Roman" w:hAnsi="Times New Roman" w:cs="Times New Roman"/>
          <w:sz w:val="24"/>
          <w:szCs w:val="24"/>
        </w:rPr>
        <w:t xml:space="preserve">by virtue of the resolution unanimously passed </w:t>
      </w:r>
      <w:r w:rsidR="00BA1290" w:rsidRPr="00CD19C5">
        <w:rPr>
          <w:rFonts w:ascii="Times New Roman" w:hAnsi="Times New Roman" w:cs="Times New Roman"/>
          <w:sz w:val="24"/>
          <w:szCs w:val="24"/>
        </w:rPr>
        <w:t>by the appellant’s shareholders</w:t>
      </w:r>
      <w:r w:rsidRPr="00CD19C5">
        <w:rPr>
          <w:rFonts w:ascii="Times New Roman" w:hAnsi="Times New Roman" w:cs="Times New Roman"/>
          <w:sz w:val="24"/>
          <w:szCs w:val="24"/>
        </w:rPr>
        <w:t xml:space="preserve"> on 28 F</w:t>
      </w:r>
      <w:r w:rsidR="00E11454" w:rsidRPr="00CD19C5">
        <w:rPr>
          <w:rFonts w:ascii="Times New Roman" w:hAnsi="Times New Roman" w:cs="Times New Roman"/>
          <w:sz w:val="24"/>
          <w:szCs w:val="24"/>
        </w:rPr>
        <w:t xml:space="preserve">ebruary 2005 and implemented on 1 April 2005. The </w:t>
      </w:r>
      <w:r w:rsidR="00BA1290" w:rsidRPr="00CD19C5">
        <w:rPr>
          <w:rFonts w:ascii="Times New Roman" w:hAnsi="Times New Roman" w:cs="Times New Roman"/>
          <w:sz w:val="24"/>
          <w:szCs w:val="24"/>
        </w:rPr>
        <w:t xml:space="preserve">Commissioner found that this </w:t>
      </w:r>
      <w:r w:rsidR="00E11454" w:rsidRPr="00CD19C5">
        <w:rPr>
          <w:rFonts w:ascii="Times New Roman" w:hAnsi="Times New Roman" w:cs="Times New Roman"/>
          <w:sz w:val="24"/>
          <w:szCs w:val="24"/>
        </w:rPr>
        <w:t xml:space="preserve">TOS involved the </w:t>
      </w:r>
      <w:r w:rsidR="007C5D05" w:rsidRPr="00CD19C5">
        <w:rPr>
          <w:rFonts w:ascii="Times New Roman" w:hAnsi="Times New Roman" w:cs="Times New Roman"/>
          <w:sz w:val="24"/>
          <w:szCs w:val="24"/>
        </w:rPr>
        <w:t>formalistic</w:t>
      </w:r>
      <w:r w:rsidR="00EF0F2D" w:rsidRPr="00CD19C5">
        <w:rPr>
          <w:rFonts w:ascii="Times New Roman" w:hAnsi="Times New Roman" w:cs="Times New Roman"/>
          <w:sz w:val="24"/>
          <w:szCs w:val="24"/>
        </w:rPr>
        <w:t xml:space="preserve"> and not substantive transfer of </w:t>
      </w:r>
      <w:r w:rsidR="00E11454" w:rsidRPr="00CD19C5">
        <w:rPr>
          <w:rFonts w:ascii="Times New Roman" w:hAnsi="Times New Roman" w:cs="Times New Roman"/>
          <w:sz w:val="24"/>
          <w:szCs w:val="24"/>
        </w:rPr>
        <w:t>the head office functions of</w:t>
      </w:r>
      <w:r w:rsidR="007C5D05" w:rsidRPr="00CD19C5">
        <w:rPr>
          <w:rFonts w:ascii="Times New Roman" w:hAnsi="Times New Roman" w:cs="Times New Roman"/>
          <w:sz w:val="24"/>
          <w:szCs w:val="24"/>
        </w:rPr>
        <w:t xml:space="preserve"> the appellant to the flagship</w:t>
      </w:r>
      <w:r w:rsidR="00EF0F2D" w:rsidRPr="00CD19C5">
        <w:rPr>
          <w:rFonts w:ascii="Times New Roman" w:hAnsi="Times New Roman" w:cs="Times New Roman"/>
          <w:sz w:val="24"/>
          <w:szCs w:val="24"/>
        </w:rPr>
        <w:t>.</w:t>
      </w:r>
      <w:r w:rsidR="007C5D05" w:rsidRPr="00CD19C5">
        <w:rPr>
          <w:rFonts w:ascii="Times New Roman" w:hAnsi="Times New Roman" w:cs="Times New Roman"/>
          <w:sz w:val="24"/>
          <w:szCs w:val="24"/>
        </w:rPr>
        <w:t xml:space="preserve"> </w:t>
      </w:r>
      <w:r w:rsidR="0039295D" w:rsidRPr="00CD19C5">
        <w:rPr>
          <w:rFonts w:ascii="Times New Roman" w:hAnsi="Times New Roman" w:cs="Times New Roman"/>
          <w:sz w:val="24"/>
          <w:szCs w:val="24"/>
        </w:rPr>
        <w:t>T</w:t>
      </w:r>
      <w:r w:rsidR="00EE43D0" w:rsidRPr="00CD19C5">
        <w:rPr>
          <w:rFonts w:ascii="Times New Roman" w:hAnsi="Times New Roman" w:cs="Times New Roman"/>
          <w:sz w:val="24"/>
          <w:szCs w:val="24"/>
        </w:rPr>
        <w:t xml:space="preserve">he </w:t>
      </w:r>
      <w:r w:rsidR="00EE43D0" w:rsidRPr="00CD19C5">
        <w:rPr>
          <w:rFonts w:ascii="Times New Roman" w:hAnsi="Times New Roman" w:cs="Times New Roman"/>
          <w:sz w:val="24"/>
          <w:szCs w:val="24"/>
        </w:rPr>
        <w:lastRenderedPageBreak/>
        <w:t>secon</w:t>
      </w:r>
      <w:r w:rsidR="00BA1290" w:rsidRPr="00CD19C5">
        <w:rPr>
          <w:rFonts w:ascii="Times New Roman" w:hAnsi="Times New Roman" w:cs="Times New Roman"/>
          <w:sz w:val="24"/>
          <w:szCs w:val="24"/>
        </w:rPr>
        <w:t>d</w:t>
      </w:r>
      <w:r w:rsidR="0039295D" w:rsidRPr="00CD19C5">
        <w:rPr>
          <w:rFonts w:ascii="Times New Roman" w:hAnsi="Times New Roman" w:cs="Times New Roman"/>
          <w:sz w:val="24"/>
          <w:szCs w:val="24"/>
        </w:rPr>
        <w:t xml:space="preserve"> concerned the rendering of management services by the appellant to all its subsidiaries</w:t>
      </w:r>
      <w:r w:rsidR="0067189A" w:rsidRPr="00CD19C5">
        <w:rPr>
          <w:rFonts w:ascii="Times New Roman" w:hAnsi="Times New Roman" w:cs="Times New Roman"/>
          <w:sz w:val="24"/>
          <w:szCs w:val="24"/>
        </w:rPr>
        <w:t xml:space="preserve"> for which the management fees payable were charged at cost and diverted to the flagship. T</w:t>
      </w:r>
      <w:r w:rsidR="00BA1290" w:rsidRPr="00CD19C5">
        <w:rPr>
          <w:rFonts w:ascii="Times New Roman" w:hAnsi="Times New Roman" w:cs="Times New Roman"/>
          <w:sz w:val="24"/>
          <w:szCs w:val="24"/>
        </w:rPr>
        <w:t>he third was</w:t>
      </w:r>
      <w:r w:rsidR="0067189A" w:rsidRPr="00CD19C5">
        <w:rPr>
          <w:rFonts w:ascii="Times New Roman" w:hAnsi="Times New Roman" w:cs="Times New Roman"/>
          <w:sz w:val="24"/>
          <w:szCs w:val="24"/>
        </w:rPr>
        <w:t xml:space="preserve"> the utilization of the appellant’s general trade mark and 4 distinct trademarks by all its subsidiaries</w:t>
      </w:r>
      <w:r w:rsidR="00022795" w:rsidRPr="00CD19C5">
        <w:rPr>
          <w:rFonts w:ascii="Times New Roman" w:hAnsi="Times New Roman" w:cs="Times New Roman"/>
          <w:sz w:val="24"/>
          <w:szCs w:val="24"/>
        </w:rPr>
        <w:t xml:space="preserve"> without paying any accrued royalties to the appellant</w:t>
      </w:r>
      <w:r w:rsidR="00BA1290" w:rsidRPr="00CD19C5">
        <w:rPr>
          <w:rFonts w:ascii="Times New Roman" w:hAnsi="Times New Roman" w:cs="Times New Roman"/>
          <w:sz w:val="24"/>
          <w:szCs w:val="24"/>
        </w:rPr>
        <w:t xml:space="preserve">, which </w:t>
      </w:r>
      <w:r w:rsidR="00022795" w:rsidRPr="00CD19C5">
        <w:rPr>
          <w:rFonts w:ascii="Times New Roman" w:hAnsi="Times New Roman" w:cs="Times New Roman"/>
          <w:sz w:val="24"/>
          <w:szCs w:val="24"/>
        </w:rPr>
        <w:t>royalties</w:t>
      </w:r>
      <w:r w:rsidR="00F5420C" w:rsidRPr="00CD19C5">
        <w:rPr>
          <w:rFonts w:ascii="Times New Roman" w:hAnsi="Times New Roman" w:cs="Times New Roman"/>
          <w:sz w:val="24"/>
          <w:szCs w:val="24"/>
        </w:rPr>
        <w:t xml:space="preserve"> (compensation for </w:t>
      </w:r>
      <w:r w:rsidR="00B432D6" w:rsidRPr="00CD19C5">
        <w:rPr>
          <w:rFonts w:ascii="Times New Roman" w:hAnsi="Times New Roman" w:cs="Times New Roman"/>
          <w:sz w:val="24"/>
          <w:szCs w:val="24"/>
        </w:rPr>
        <w:t xml:space="preserve">the use of the </w:t>
      </w:r>
      <w:r w:rsidR="00F5420C" w:rsidRPr="00CD19C5">
        <w:rPr>
          <w:rFonts w:ascii="Times New Roman" w:hAnsi="Times New Roman" w:cs="Times New Roman"/>
          <w:sz w:val="24"/>
          <w:szCs w:val="24"/>
        </w:rPr>
        <w:t>intangible assets)</w:t>
      </w:r>
      <w:r w:rsidR="00022795" w:rsidRPr="00CD19C5">
        <w:rPr>
          <w:rFonts w:ascii="Times New Roman" w:hAnsi="Times New Roman" w:cs="Times New Roman"/>
          <w:sz w:val="24"/>
          <w:szCs w:val="24"/>
        </w:rPr>
        <w:t xml:space="preserve"> were, however, diverted to the Botswana subsidiary. </w:t>
      </w:r>
    </w:p>
    <w:p w:rsidR="00D10C7F" w:rsidRPr="00CD19C5" w:rsidRDefault="00DB51EF" w:rsidP="00207BBD">
      <w:pPr>
        <w:spacing w:after="0" w:line="360" w:lineRule="auto"/>
        <w:ind w:firstLine="720"/>
        <w:jc w:val="both"/>
        <w:rPr>
          <w:rFonts w:ascii="Times New Roman" w:hAnsi="Times New Roman" w:cs="Times New Roman"/>
          <w:sz w:val="24"/>
          <w:szCs w:val="24"/>
        </w:rPr>
      </w:pPr>
      <w:r w:rsidRPr="00CD19C5">
        <w:rPr>
          <w:rFonts w:ascii="Times New Roman" w:hAnsi="Times New Roman" w:cs="Times New Roman"/>
          <w:sz w:val="24"/>
          <w:szCs w:val="24"/>
        </w:rPr>
        <w:t>I find that the conduct of the appellant in each of these three respects constituted a TOS, despite its spirited denial</w:t>
      </w:r>
      <w:r w:rsidR="00967BD0" w:rsidRPr="00CD19C5">
        <w:rPr>
          <w:rFonts w:ascii="Times New Roman" w:hAnsi="Times New Roman" w:cs="Times New Roman"/>
          <w:sz w:val="24"/>
          <w:szCs w:val="24"/>
        </w:rPr>
        <w:t xml:space="preserve"> during the investigations,</w:t>
      </w:r>
      <w:r w:rsidRPr="00CD19C5">
        <w:rPr>
          <w:rFonts w:ascii="Times New Roman" w:hAnsi="Times New Roman" w:cs="Times New Roman"/>
          <w:sz w:val="24"/>
          <w:szCs w:val="24"/>
        </w:rPr>
        <w:t xml:space="preserve"> objection, on appeal and in argument. </w:t>
      </w:r>
      <w:r w:rsidR="00967BD0" w:rsidRPr="00CD19C5">
        <w:rPr>
          <w:rFonts w:ascii="Times New Roman" w:hAnsi="Times New Roman" w:cs="Times New Roman"/>
          <w:sz w:val="24"/>
          <w:szCs w:val="24"/>
        </w:rPr>
        <w:t>In his evidence in chief</w:t>
      </w:r>
      <w:r w:rsidR="00CB4E68" w:rsidRPr="00CD19C5">
        <w:rPr>
          <w:rFonts w:ascii="Times New Roman" w:hAnsi="Times New Roman" w:cs="Times New Roman"/>
          <w:sz w:val="24"/>
          <w:szCs w:val="24"/>
        </w:rPr>
        <w:t xml:space="preserve">, JM described the 2005 events as a “scheme of reconstruction” and “a scheme of internal reorganisation”. </w:t>
      </w:r>
      <w:r w:rsidR="003104BE" w:rsidRPr="00CD19C5">
        <w:rPr>
          <w:rFonts w:ascii="Times New Roman" w:hAnsi="Times New Roman" w:cs="Times New Roman"/>
          <w:sz w:val="24"/>
          <w:szCs w:val="24"/>
        </w:rPr>
        <w:t>It was therefore a scheme that was entered into</w:t>
      </w:r>
      <w:r w:rsidR="00967BD0" w:rsidRPr="00CD19C5">
        <w:rPr>
          <w:rFonts w:ascii="Times New Roman" w:hAnsi="Times New Roman" w:cs="Times New Roman"/>
          <w:sz w:val="24"/>
          <w:szCs w:val="24"/>
        </w:rPr>
        <w:t xml:space="preserve"> and executed by the appellant, which falls into the ambit of a TOS.</w:t>
      </w:r>
    </w:p>
    <w:p w:rsidR="003104BE" w:rsidRPr="00CD19C5" w:rsidRDefault="00D10C7F" w:rsidP="00CD19C5">
      <w:pPr>
        <w:spacing w:line="360" w:lineRule="auto"/>
        <w:jc w:val="both"/>
        <w:rPr>
          <w:rFonts w:ascii="Times New Roman" w:hAnsi="Times New Roman" w:cs="Times New Roman"/>
          <w:sz w:val="24"/>
          <w:szCs w:val="24"/>
        </w:rPr>
      </w:pPr>
      <w:r w:rsidRPr="00CD19C5">
        <w:rPr>
          <w:rFonts w:ascii="Times New Roman" w:hAnsi="Times New Roman" w:cs="Times New Roman"/>
          <w:i/>
          <w:sz w:val="24"/>
          <w:szCs w:val="24"/>
        </w:rPr>
        <w:t>Whether it had</w:t>
      </w:r>
      <w:r w:rsidRPr="00CD19C5">
        <w:rPr>
          <w:rFonts w:ascii="Times New Roman" w:hAnsi="Times New Roman" w:cs="Times New Roman"/>
          <w:sz w:val="24"/>
          <w:szCs w:val="24"/>
        </w:rPr>
        <w:t xml:space="preserve"> </w:t>
      </w:r>
      <w:r w:rsidR="00517256" w:rsidRPr="00CD19C5">
        <w:rPr>
          <w:rFonts w:ascii="Times New Roman" w:hAnsi="Times New Roman" w:cs="Times New Roman"/>
          <w:i/>
          <w:sz w:val="24"/>
          <w:szCs w:val="24"/>
        </w:rPr>
        <w:t>the effect of</w:t>
      </w:r>
      <w:r w:rsidR="00F072A9" w:rsidRPr="00CD19C5">
        <w:rPr>
          <w:rFonts w:ascii="Times New Roman" w:hAnsi="Times New Roman" w:cs="Times New Roman"/>
          <w:i/>
          <w:sz w:val="24"/>
          <w:szCs w:val="24"/>
          <w:lang w:val="en-US"/>
        </w:rPr>
        <w:t xml:space="preserve"> avoiding or postponing liability for any tax or of reduci</w:t>
      </w:r>
      <w:r w:rsidR="002868A5" w:rsidRPr="00CD19C5">
        <w:rPr>
          <w:rFonts w:ascii="Times New Roman" w:hAnsi="Times New Roman" w:cs="Times New Roman"/>
          <w:i/>
          <w:sz w:val="24"/>
          <w:szCs w:val="24"/>
          <w:lang w:val="en-US"/>
        </w:rPr>
        <w:t>ng the amount of such liability</w:t>
      </w:r>
      <w:r w:rsidR="00517256" w:rsidRPr="00CD19C5">
        <w:rPr>
          <w:rFonts w:ascii="Times New Roman" w:hAnsi="Times New Roman" w:cs="Times New Roman"/>
          <w:i/>
          <w:sz w:val="24"/>
          <w:szCs w:val="24"/>
          <w:lang w:val="en-US"/>
        </w:rPr>
        <w:t>.</w:t>
      </w:r>
    </w:p>
    <w:p w:rsidR="00F072A9" w:rsidRPr="00CD19C5" w:rsidRDefault="00F072A9" w:rsidP="00207BBD">
      <w:pPr>
        <w:spacing w:line="360" w:lineRule="auto"/>
        <w:ind w:firstLine="720"/>
        <w:jc w:val="both"/>
        <w:rPr>
          <w:rFonts w:ascii="Times New Roman" w:hAnsi="Times New Roman" w:cs="Times New Roman"/>
          <w:sz w:val="24"/>
          <w:szCs w:val="24"/>
          <w:lang w:val="en-US"/>
        </w:rPr>
      </w:pPr>
      <w:r w:rsidRPr="00CD19C5">
        <w:rPr>
          <w:rFonts w:ascii="Times New Roman" w:hAnsi="Times New Roman" w:cs="Times New Roman"/>
          <w:sz w:val="24"/>
          <w:szCs w:val="24"/>
          <w:lang w:val="en-US"/>
        </w:rPr>
        <w:t>The scheme of reconstruction undoubtedly had the eff</w:t>
      </w:r>
      <w:r w:rsidR="003272A5" w:rsidRPr="00CD19C5">
        <w:rPr>
          <w:rFonts w:ascii="Times New Roman" w:hAnsi="Times New Roman" w:cs="Times New Roman"/>
          <w:sz w:val="24"/>
          <w:szCs w:val="24"/>
          <w:lang w:val="en-US"/>
        </w:rPr>
        <w:t xml:space="preserve">ect of avoiding or reducing the </w:t>
      </w:r>
      <w:r w:rsidR="002868A5" w:rsidRPr="00CD19C5">
        <w:rPr>
          <w:rFonts w:ascii="Times New Roman" w:hAnsi="Times New Roman" w:cs="Times New Roman"/>
          <w:sz w:val="24"/>
          <w:szCs w:val="24"/>
          <w:lang w:val="en-US"/>
        </w:rPr>
        <w:t xml:space="preserve">tax liability of the appellant. This is apparent from the financial statements issued by the appellant </w:t>
      </w:r>
      <w:r w:rsidR="00517256" w:rsidRPr="00CD19C5">
        <w:rPr>
          <w:rFonts w:ascii="Times New Roman" w:hAnsi="Times New Roman" w:cs="Times New Roman"/>
          <w:sz w:val="24"/>
          <w:szCs w:val="24"/>
          <w:lang w:val="en-US"/>
        </w:rPr>
        <w:t>f</w:t>
      </w:r>
      <w:r w:rsidR="002868A5" w:rsidRPr="00CD19C5">
        <w:rPr>
          <w:rFonts w:ascii="Times New Roman" w:hAnsi="Times New Roman" w:cs="Times New Roman"/>
          <w:sz w:val="24"/>
          <w:szCs w:val="24"/>
          <w:lang w:val="en-US"/>
        </w:rPr>
        <w:t xml:space="preserve">or the year ending 28 February 2005 and subsequent years, in which the appellant is designated as the Company and its subsidiaries as the Group. The tax liability of the appellant in those financial statements was, as a hard matter of </w:t>
      </w:r>
      <w:r w:rsidR="003272A5" w:rsidRPr="00CD19C5">
        <w:rPr>
          <w:rFonts w:ascii="Times New Roman" w:hAnsi="Times New Roman" w:cs="Times New Roman"/>
          <w:sz w:val="24"/>
          <w:szCs w:val="24"/>
          <w:lang w:val="en-US"/>
        </w:rPr>
        <w:t xml:space="preserve">fact, much reduced than in the year </w:t>
      </w:r>
      <w:r w:rsidR="002868A5" w:rsidRPr="00CD19C5">
        <w:rPr>
          <w:rFonts w:ascii="Times New Roman" w:hAnsi="Times New Roman" w:cs="Times New Roman"/>
          <w:sz w:val="24"/>
          <w:szCs w:val="24"/>
          <w:lang w:val="en-US"/>
        </w:rPr>
        <w:t>ending</w:t>
      </w:r>
      <w:r w:rsidR="003272A5" w:rsidRPr="00CD19C5">
        <w:rPr>
          <w:rFonts w:ascii="Times New Roman" w:hAnsi="Times New Roman" w:cs="Times New Roman"/>
          <w:sz w:val="24"/>
          <w:szCs w:val="24"/>
          <w:lang w:val="en-US"/>
        </w:rPr>
        <w:t xml:space="preserve"> and preceding</w:t>
      </w:r>
      <w:r w:rsidR="002868A5" w:rsidRPr="00CD19C5">
        <w:rPr>
          <w:rFonts w:ascii="Times New Roman" w:hAnsi="Times New Roman" w:cs="Times New Roman"/>
          <w:sz w:val="24"/>
          <w:szCs w:val="24"/>
          <w:lang w:val="en-US"/>
        </w:rPr>
        <w:t xml:space="preserve"> 2</w:t>
      </w:r>
      <w:r w:rsidR="003272A5" w:rsidRPr="00CD19C5">
        <w:rPr>
          <w:rFonts w:ascii="Times New Roman" w:hAnsi="Times New Roman" w:cs="Times New Roman"/>
          <w:sz w:val="24"/>
          <w:szCs w:val="24"/>
          <w:lang w:val="en-US"/>
        </w:rPr>
        <w:t>9 February 2004</w:t>
      </w:r>
      <w:r w:rsidR="002868A5" w:rsidRPr="00CD19C5">
        <w:rPr>
          <w:rFonts w:ascii="Times New Roman" w:hAnsi="Times New Roman" w:cs="Times New Roman"/>
          <w:sz w:val="24"/>
          <w:szCs w:val="24"/>
          <w:lang w:val="en-US"/>
        </w:rPr>
        <w:t xml:space="preserve">. </w:t>
      </w:r>
    </w:p>
    <w:p w:rsidR="00E52A6A" w:rsidRPr="00CD19C5" w:rsidRDefault="001C4085" w:rsidP="00CD19C5">
      <w:pPr>
        <w:autoSpaceDE w:val="0"/>
        <w:autoSpaceDN w:val="0"/>
        <w:adjustRightInd w:val="0"/>
        <w:spacing w:after="0" w:line="360" w:lineRule="auto"/>
        <w:jc w:val="both"/>
        <w:rPr>
          <w:rFonts w:ascii="Times New Roman" w:hAnsi="Times New Roman" w:cs="Times New Roman"/>
          <w:i/>
          <w:sz w:val="24"/>
          <w:szCs w:val="24"/>
          <w:lang w:val="en-US"/>
        </w:rPr>
      </w:pPr>
      <w:r w:rsidRPr="00CD19C5">
        <w:rPr>
          <w:rFonts w:ascii="Times New Roman" w:hAnsi="Times New Roman" w:cs="Times New Roman"/>
          <w:i/>
          <w:sz w:val="24"/>
          <w:szCs w:val="24"/>
          <w:lang w:val="en-US"/>
        </w:rPr>
        <w:t xml:space="preserve"> W</w:t>
      </w:r>
      <w:r w:rsidR="00D10C7F" w:rsidRPr="00CD19C5">
        <w:rPr>
          <w:rFonts w:ascii="Times New Roman" w:hAnsi="Times New Roman" w:cs="Times New Roman"/>
          <w:i/>
          <w:sz w:val="24"/>
          <w:szCs w:val="24"/>
          <w:lang w:val="en-US"/>
        </w:rPr>
        <w:t>hether</w:t>
      </w:r>
      <w:r w:rsidRPr="00CD19C5">
        <w:rPr>
          <w:rFonts w:ascii="Times New Roman" w:hAnsi="Times New Roman" w:cs="Times New Roman"/>
          <w:i/>
          <w:sz w:val="24"/>
          <w:szCs w:val="24"/>
          <w:lang w:val="en-US"/>
        </w:rPr>
        <w:t xml:space="preserve"> the </w:t>
      </w:r>
      <w:r w:rsidR="00D10C7F" w:rsidRPr="00CD19C5">
        <w:rPr>
          <w:rFonts w:ascii="Times New Roman" w:hAnsi="Times New Roman" w:cs="Times New Roman"/>
          <w:i/>
          <w:sz w:val="24"/>
          <w:szCs w:val="24"/>
          <w:lang w:val="en-US"/>
        </w:rPr>
        <w:t xml:space="preserve">abnormality </w:t>
      </w:r>
      <w:r w:rsidRPr="00CD19C5">
        <w:rPr>
          <w:rFonts w:ascii="Times New Roman" w:hAnsi="Times New Roman" w:cs="Times New Roman"/>
          <w:i/>
          <w:sz w:val="24"/>
          <w:szCs w:val="24"/>
          <w:lang w:val="en-US"/>
        </w:rPr>
        <w:t>opinion</w:t>
      </w:r>
      <w:r w:rsidR="00D10C7F" w:rsidRPr="00CD19C5">
        <w:rPr>
          <w:rFonts w:ascii="Times New Roman" w:hAnsi="Times New Roman" w:cs="Times New Roman"/>
          <w:i/>
          <w:sz w:val="24"/>
          <w:szCs w:val="24"/>
          <w:lang w:val="en-US"/>
        </w:rPr>
        <w:t xml:space="preserve"> (both the way and manner, and the creation of unusual rights or obligations absent between independent parties) </w:t>
      </w:r>
      <w:r w:rsidRPr="00CD19C5">
        <w:rPr>
          <w:rFonts w:ascii="Times New Roman" w:hAnsi="Times New Roman" w:cs="Times New Roman"/>
          <w:i/>
          <w:sz w:val="24"/>
          <w:szCs w:val="24"/>
          <w:lang w:val="en-US"/>
        </w:rPr>
        <w:t>of the Commissioner</w:t>
      </w:r>
      <w:r w:rsidR="00E52A6A" w:rsidRPr="00CD19C5">
        <w:rPr>
          <w:rFonts w:ascii="Times New Roman" w:hAnsi="Times New Roman" w:cs="Times New Roman"/>
          <w:i/>
          <w:sz w:val="24"/>
          <w:szCs w:val="24"/>
          <w:lang w:val="en-US"/>
        </w:rPr>
        <w:t xml:space="preserve"> was correct.</w:t>
      </w:r>
    </w:p>
    <w:p w:rsidR="002609B4" w:rsidRPr="00CD19C5" w:rsidRDefault="009763F6" w:rsidP="00207BBD">
      <w:pPr>
        <w:autoSpaceDE w:val="0"/>
        <w:autoSpaceDN w:val="0"/>
        <w:adjustRightInd w:val="0"/>
        <w:spacing w:after="0" w:line="360" w:lineRule="auto"/>
        <w:ind w:firstLine="720"/>
        <w:jc w:val="both"/>
        <w:rPr>
          <w:rFonts w:ascii="Times New Roman" w:hAnsi="Times New Roman" w:cs="Times New Roman"/>
          <w:sz w:val="24"/>
          <w:szCs w:val="24"/>
          <w:lang w:val="en-US"/>
        </w:rPr>
      </w:pPr>
      <w:r w:rsidRPr="00CD19C5">
        <w:rPr>
          <w:rFonts w:ascii="Times New Roman" w:hAnsi="Times New Roman" w:cs="Times New Roman"/>
          <w:sz w:val="24"/>
          <w:szCs w:val="24"/>
          <w:lang w:val="en-US"/>
        </w:rPr>
        <w:t xml:space="preserve"> </w:t>
      </w:r>
      <w:r w:rsidR="001C4085" w:rsidRPr="00CD19C5">
        <w:rPr>
          <w:rFonts w:ascii="Times New Roman" w:hAnsi="Times New Roman" w:cs="Times New Roman"/>
          <w:sz w:val="24"/>
          <w:szCs w:val="24"/>
          <w:lang w:val="en-US"/>
        </w:rPr>
        <w:t xml:space="preserve">These two jurisdictional factors are disjunctive. The existence of any one of these factors suffices. The Commissioner formed the opinion that </w:t>
      </w:r>
      <w:r w:rsidR="00B17049" w:rsidRPr="00CD19C5">
        <w:rPr>
          <w:rFonts w:ascii="Times New Roman" w:hAnsi="Times New Roman" w:cs="Times New Roman"/>
          <w:sz w:val="24"/>
          <w:szCs w:val="24"/>
          <w:lang w:val="en-US"/>
        </w:rPr>
        <w:t>the manner in which the reconstruction was effecte</w:t>
      </w:r>
      <w:r w:rsidRPr="00CD19C5">
        <w:rPr>
          <w:rFonts w:ascii="Times New Roman" w:hAnsi="Times New Roman" w:cs="Times New Roman"/>
          <w:sz w:val="24"/>
          <w:szCs w:val="24"/>
          <w:lang w:val="en-US"/>
        </w:rPr>
        <w:t>d of completely divesting the head office</w:t>
      </w:r>
      <w:r w:rsidR="00B17049" w:rsidRPr="00CD19C5">
        <w:rPr>
          <w:rFonts w:ascii="Times New Roman" w:hAnsi="Times New Roman" w:cs="Times New Roman"/>
          <w:sz w:val="24"/>
          <w:szCs w:val="24"/>
          <w:lang w:val="en-US"/>
        </w:rPr>
        <w:t xml:space="preserve"> functions of appellant to the flagship was abnormal.  </w:t>
      </w:r>
      <w:r w:rsidR="00E43910" w:rsidRPr="00CD19C5">
        <w:rPr>
          <w:rFonts w:ascii="Times New Roman" w:hAnsi="Times New Roman" w:cs="Times New Roman"/>
          <w:sz w:val="24"/>
          <w:szCs w:val="24"/>
          <w:lang w:val="en-US"/>
        </w:rPr>
        <w:t>The bases for that finding were that post the divestiture, the appellant continued to directly employ group personnel, who provided management services, w</w:t>
      </w:r>
      <w:r w:rsidR="00D10C7F" w:rsidRPr="00CD19C5">
        <w:rPr>
          <w:rFonts w:ascii="Times New Roman" w:hAnsi="Times New Roman" w:cs="Times New Roman"/>
          <w:sz w:val="24"/>
          <w:szCs w:val="24"/>
          <w:lang w:val="en-US"/>
        </w:rPr>
        <w:t>hich were remunerated at cost by</w:t>
      </w:r>
      <w:r w:rsidR="00E43910" w:rsidRPr="00CD19C5">
        <w:rPr>
          <w:rFonts w:ascii="Times New Roman" w:hAnsi="Times New Roman" w:cs="Times New Roman"/>
          <w:sz w:val="24"/>
          <w:szCs w:val="24"/>
          <w:lang w:val="en-US"/>
        </w:rPr>
        <w:t xml:space="preserve"> the flagship. </w:t>
      </w:r>
      <w:r w:rsidR="00D10C7F" w:rsidRPr="00CD19C5">
        <w:rPr>
          <w:rFonts w:ascii="Times New Roman" w:hAnsi="Times New Roman" w:cs="Times New Roman"/>
          <w:sz w:val="24"/>
          <w:szCs w:val="24"/>
          <w:lang w:val="en-US"/>
        </w:rPr>
        <w:t>Further that it</w:t>
      </w:r>
      <w:r w:rsidR="009058F3" w:rsidRPr="00CD19C5">
        <w:rPr>
          <w:rFonts w:ascii="Times New Roman" w:hAnsi="Times New Roman" w:cs="Times New Roman"/>
          <w:sz w:val="24"/>
          <w:szCs w:val="24"/>
          <w:lang w:val="en-US"/>
        </w:rPr>
        <w:t xml:space="preserve"> did so in compliance with listing rule 4.6A of the </w:t>
      </w:r>
      <w:r w:rsidR="00D10C7F" w:rsidRPr="00CD19C5">
        <w:rPr>
          <w:rFonts w:ascii="Times New Roman" w:hAnsi="Times New Roman" w:cs="Times New Roman"/>
          <w:sz w:val="24"/>
          <w:szCs w:val="24"/>
          <w:lang w:val="en-US"/>
        </w:rPr>
        <w:t xml:space="preserve">listing rules of the local bourse. </w:t>
      </w:r>
      <w:r w:rsidR="00B17049" w:rsidRPr="00CD19C5">
        <w:rPr>
          <w:rFonts w:ascii="Times New Roman" w:hAnsi="Times New Roman" w:cs="Times New Roman"/>
          <w:sz w:val="24"/>
          <w:szCs w:val="24"/>
          <w:lang w:val="en-US"/>
        </w:rPr>
        <w:t xml:space="preserve">The appellant contends that this finding was wrong. </w:t>
      </w:r>
      <w:r w:rsidR="00E43910" w:rsidRPr="00CD19C5">
        <w:rPr>
          <w:rFonts w:ascii="Times New Roman" w:hAnsi="Times New Roman" w:cs="Times New Roman"/>
          <w:sz w:val="24"/>
          <w:szCs w:val="24"/>
          <w:lang w:val="en-US"/>
        </w:rPr>
        <w:t xml:space="preserve">It admitted that the letters of employment of group personnel were signed for and on behalf of the appellant and </w:t>
      </w:r>
      <w:r w:rsidRPr="00CD19C5">
        <w:rPr>
          <w:rFonts w:ascii="Times New Roman" w:hAnsi="Times New Roman" w:cs="Times New Roman"/>
          <w:sz w:val="24"/>
          <w:szCs w:val="24"/>
          <w:lang w:val="en-US"/>
        </w:rPr>
        <w:t xml:space="preserve">were </w:t>
      </w:r>
      <w:r w:rsidR="00E43910" w:rsidRPr="00CD19C5">
        <w:rPr>
          <w:rFonts w:ascii="Times New Roman" w:hAnsi="Times New Roman" w:cs="Times New Roman"/>
          <w:sz w:val="24"/>
          <w:szCs w:val="24"/>
          <w:lang w:val="en-US"/>
        </w:rPr>
        <w:t xml:space="preserve">engaged </w:t>
      </w:r>
      <w:r w:rsidRPr="00CD19C5">
        <w:rPr>
          <w:rFonts w:ascii="Times New Roman" w:hAnsi="Times New Roman" w:cs="Times New Roman"/>
          <w:sz w:val="24"/>
          <w:szCs w:val="24"/>
          <w:lang w:val="en-US"/>
        </w:rPr>
        <w:t>as its employees</w:t>
      </w:r>
      <w:r w:rsidR="00DB3C23" w:rsidRPr="00CD19C5">
        <w:rPr>
          <w:rFonts w:ascii="Times New Roman" w:hAnsi="Times New Roman" w:cs="Times New Roman"/>
          <w:sz w:val="24"/>
          <w:szCs w:val="24"/>
          <w:lang w:val="en-US"/>
        </w:rPr>
        <w:t>. By reference to the divest</w:t>
      </w:r>
      <w:r w:rsidR="00B3102D">
        <w:rPr>
          <w:rFonts w:ascii="Times New Roman" w:hAnsi="Times New Roman" w:cs="Times New Roman"/>
          <w:sz w:val="24"/>
          <w:szCs w:val="24"/>
          <w:lang w:val="en-US"/>
        </w:rPr>
        <w:t>it</w:t>
      </w:r>
      <w:r w:rsidR="00DB3C23" w:rsidRPr="00CD19C5">
        <w:rPr>
          <w:rFonts w:ascii="Times New Roman" w:hAnsi="Times New Roman" w:cs="Times New Roman"/>
          <w:sz w:val="24"/>
          <w:szCs w:val="24"/>
          <w:lang w:val="en-US"/>
        </w:rPr>
        <w:t>ure and PAYE remittances and cost code reports of the relevant tax period</w:t>
      </w:r>
      <w:r w:rsidR="00D10C7F" w:rsidRPr="00CD19C5">
        <w:rPr>
          <w:rFonts w:ascii="Times New Roman" w:hAnsi="Times New Roman" w:cs="Times New Roman"/>
          <w:sz w:val="24"/>
          <w:szCs w:val="24"/>
          <w:lang w:val="en-US"/>
        </w:rPr>
        <w:t>s</w:t>
      </w:r>
      <w:r w:rsidR="00DB3C23" w:rsidRPr="00CD19C5">
        <w:rPr>
          <w:rFonts w:ascii="Times New Roman" w:hAnsi="Times New Roman" w:cs="Times New Roman"/>
          <w:sz w:val="24"/>
          <w:szCs w:val="24"/>
          <w:lang w:val="en-US"/>
        </w:rPr>
        <w:t xml:space="preserve">, the appellant </w:t>
      </w:r>
      <w:r w:rsidR="00E43910" w:rsidRPr="00CD19C5">
        <w:rPr>
          <w:rFonts w:ascii="Times New Roman" w:hAnsi="Times New Roman" w:cs="Times New Roman"/>
          <w:sz w:val="24"/>
          <w:szCs w:val="24"/>
          <w:lang w:val="en-US"/>
        </w:rPr>
        <w:t xml:space="preserve">attributed the </w:t>
      </w:r>
      <w:r w:rsidR="00DB3C23" w:rsidRPr="00CD19C5">
        <w:rPr>
          <w:rFonts w:ascii="Times New Roman" w:hAnsi="Times New Roman" w:cs="Times New Roman"/>
          <w:sz w:val="24"/>
          <w:szCs w:val="24"/>
          <w:lang w:val="en-US"/>
        </w:rPr>
        <w:t>“</w:t>
      </w:r>
      <w:r w:rsidR="00E43910" w:rsidRPr="00CD19C5">
        <w:rPr>
          <w:rFonts w:ascii="Times New Roman" w:hAnsi="Times New Roman" w:cs="Times New Roman"/>
          <w:sz w:val="24"/>
          <w:szCs w:val="24"/>
          <w:lang w:val="en-US"/>
        </w:rPr>
        <w:t>mistakes</w:t>
      </w:r>
      <w:r w:rsidR="00DB3C23" w:rsidRPr="00CD19C5">
        <w:rPr>
          <w:rFonts w:ascii="Times New Roman" w:hAnsi="Times New Roman" w:cs="Times New Roman"/>
          <w:sz w:val="24"/>
          <w:szCs w:val="24"/>
          <w:lang w:val="en-US"/>
        </w:rPr>
        <w:t>”</w:t>
      </w:r>
      <w:r w:rsidR="00E43910" w:rsidRPr="00CD19C5">
        <w:rPr>
          <w:rFonts w:ascii="Times New Roman" w:hAnsi="Times New Roman" w:cs="Times New Roman"/>
          <w:sz w:val="24"/>
          <w:szCs w:val="24"/>
          <w:lang w:val="en-US"/>
        </w:rPr>
        <w:t xml:space="preserve"> to “typing errors”</w:t>
      </w:r>
      <w:r w:rsidR="00DB3C23" w:rsidRPr="00CD19C5">
        <w:rPr>
          <w:rFonts w:ascii="Times New Roman" w:hAnsi="Times New Roman" w:cs="Times New Roman"/>
          <w:sz w:val="24"/>
          <w:szCs w:val="24"/>
          <w:lang w:val="en-US"/>
        </w:rPr>
        <w:t xml:space="preserve"> by ignorant personal assistants. It further treated the letters as </w:t>
      </w:r>
      <w:r w:rsidR="00DB3C23" w:rsidRPr="00CD19C5">
        <w:rPr>
          <w:rFonts w:ascii="Times New Roman" w:hAnsi="Times New Roman" w:cs="Times New Roman"/>
          <w:sz w:val="24"/>
          <w:szCs w:val="24"/>
          <w:lang w:val="en-US"/>
        </w:rPr>
        <w:lastRenderedPageBreak/>
        <w:t>mere form and the divest</w:t>
      </w:r>
      <w:r w:rsidR="00A02074">
        <w:rPr>
          <w:rFonts w:ascii="Times New Roman" w:hAnsi="Times New Roman" w:cs="Times New Roman"/>
          <w:sz w:val="24"/>
          <w:szCs w:val="24"/>
          <w:lang w:val="en-US"/>
        </w:rPr>
        <w:t>it</w:t>
      </w:r>
      <w:r w:rsidR="00DB3C23" w:rsidRPr="00CD19C5">
        <w:rPr>
          <w:rFonts w:ascii="Times New Roman" w:hAnsi="Times New Roman" w:cs="Times New Roman"/>
          <w:sz w:val="24"/>
          <w:szCs w:val="24"/>
          <w:lang w:val="en-US"/>
        </w:rPr>
        <w:t>ure and tax remittance documents as the substance of the scheme.</w:t>
      </w:r>
      <w:r w:rsidR="00E43910" w:rsidRPr="00CD19C5">
        <w:rPr>
          <w:rFonts w:ascii="Times New Roman" w:hAnsi="Times New Roman" w:cs="Times New Roman"/>
          <w:sz w:val="24"/>
          <w:szCs w:val="24"/>
          <w:lang w:val="en-US"/>
        </w:rPr>
        <w:t xml:space="preserve">  </w:t>
      </w:r>
      <w:r w:rsidR="009058F3" w:rsidRPr="00CD19C5">
        <w:rPr>
          <w:rFonts w:ascii="Times New Roman" w:hAnsi="Times New Roman" w:cs="Times New Roman"/>
          <w:sz w:val="24"/>
          <w:szCs w:val="24"/>
          <w:lang w:val="en-US"/>
        </w:rPr>
        <w:t>Lastly, it contended that listing r</w:t>
      </w:r>
      <w:r w:rsidR="00181B46">
        <w:rPr>
          <w:rFonts w:ascii="Times New Roman" w:hAnsi="Times New Roman" w:cs="Times New Roman"/>
          <w:sz w:val="24"/>
          <w:szCs w:val="24"/>
          <w:lang w:val="en-US"/>
        </w:rPr>
        <w:t xml:space="preserve"> 4.6A as read with listing r</w:t>
      </w:r>
      <w:r w:rsidR="009058F3" w:rsidRPr="00CD19C5">
        <w:rPr>
          <w:rFonts w:ascii="Times New Roman" w:hAnsi="Times New Roman" w:cs="Times New Roman"/>
          <w:sz w:val="24"/>
          <w:szCs w:val="24"/>
          <w:lang w:val="en-US"/>
        </w:rPr>
        <w:t xml:space="preserve"> 15.2 (a) did </w:t>
      </w:r>
      <w:r w:rsidRPr="00CD19C5">
        <w:rPr>
          <w:rFonts w:ascii="Times New Roman" w:hAnsi="Times New Roman" w:cs="Times New Roman"/>
          <w:sz w:val="24"/>
          <w:szCs w:val="24"/>
          <w:lang w:val="en-US"/>
        </w:rPr>
        <w:t>not preclude the divest</w:t>
      </w:r>
      <w:r w:rsidR="00B3102D">
        <w:rPr>
          <w:rFonts w:ascii="Times New Roman" w:hAnsi="Times New Roman" w:cs="Times New Roman"/>
          <w:sz w:val="24"/>
          <w:szCs w:val="24"/>
          <w:lang w:val="en-US"/>
        </w:rPr>
        <w:t>it</w:t>
      </w:r>
      <w:r w:rsidRPr="00CD19C5">
        <w:rPr>
          <w:rFonts w:ascii="Times New Roman" w:hAnsi="Times New Roman" w:cs="Times New Roman"/>
          <w:sz w:val="24"/>
          <w:szCs w:val="24"/>
          <w:lang w:val="en-US"/>
        </w:rPr>
        <w:t>ure of head office</w:t>
      </w:r>
      <w:r w:rsidR="009058F3" w:rsidRPr="00CD19C5">
        <w:rPr>
          <w:rFonts w:ascii="Times New Roman" w:hAnsi="Times New Roman" w:cs="Times New Roman"/>
          <w:sz w:val="24"/>
          <w:szCs w:val="24"/>
          <w:lang w:val="en-US"/>
        </w:rPr>
        <w:t xml:space="preserve"> functions. </w:t>
      </w:r>
    </w:p>
    <w:p w:rsidR="0027520C" w:rsidRPr="00181B46" w:rsidRDefault="00E43910" w:rsidP="00181B46">
      <w:pPr>
        <w:autoSpaceDE w:val="0"/>
        <w:autoSpaceDN w:val="0"/>
        <w:adjustRightInd w:val="0"/>
        <w:spacing w:after="0" w:line="360" w:lineRule="auto"/>
        <w:ind w:firstLine="720"/>
        <w:jc w:val="both"/>
        <w:rPr>
          <w:rFonts w:ascii="Times New Roman" w:hAnsi="Times New Roman" w:cs="Times New Roman"/>
          <w:i/>
          <w:sz w:val="24"/>
          <w:szCs w:val="24"/>
          <w:lang w:val="en-US"/>
        </w:rPr>
      </w:pPr>
      <w:r w:rsidRPr="00CD19C5">
        <w:rPr>
          <w:rFonts w:ascii="Times New Roman" w:hAnsi="Times New Roman" w:cs="Times New Roman"/>
          <w:sz w:val="24"/>
          <w:szCs w:val="24"/>
          <w:lang w:val="en-US"/>
        </w:rPr>
        <w:t>I do not acc</w:t>
      </w:r>
      <w:r w:rsidR="00DB3C23" w:rsidRPr="00CD19C5">
        <w:rPr>
          <w:rFonts w:ascii="Times New Roman" w:hAnsi="Times New Roman" w:cs="Times New Roman"/>
          <w:sz w:val="24"/>
          <w:szCs w:val="24"/>
          <w:lang w:val="en-US"/>
        </w:rPr>
        <w:t xml:space="preserve">ept </w:t>
      </w:r>
      <w:r w:rsidR="00D10C7F" w:rsidRPr="00CD19C5">
        <w:rPr>
          <w:rFonts w:ascii="Times New Roman" w:hAnsi="Times New Roman" w:cs="Times New Roman"/>
          <w:sz w:val="24"/>
          <w:szCs w:val="24"/>
          <w:lang w:val="en-US"/>
        </w:rPr>
        <w:t xml:space="preserve">the </w:t>
      </w:r>
      <w:r w:rsidR="00DB3C23" w:rsidRPr="00CD19C5">
        <w:rPr>
          <w:rFonts w:ascii="Times New Roman" w:hAnsi="Times New Roman" w:cs="Times New Roman"/>
          <w:sz w:val="24"/>
          <w:szCs w:val="24"/>
          <w:lang w:val="en-US"/>
        </w:rPr>
        <w:t>appellant’s exp</w:t>
      </w:r>
      <w:r w:rsidRPr="00CD19C5">
        <w:rPr>
          <w:rFonts w:ascii="Times New Roman" w:hAnsi="Times New Roman" w:cs="Times New Roman"/>
          <w:sz w:val="24"/>
          <w:szCs w:val="24"/>
          <w:lang w:val="en-US"/>
        </w:rPr>
        <w:t>lan</w:t>
      </w:r>
      <w:r w:rsidR="00DB3C23" w:rsidRPr="00CD19C5">
        <w:rPr>
          <w:rFonts w:ascii="Times New Roman" w:hAnsi="Times New Roman" w:cs="Times New Roman"/>
          <w:sz w:val="24"/>
          <w:szCs w:val="24"/>
          <w:lang w:val="en-US"/>
        </w:rPr>
        <w:t>a</w:t>
      </w:r>
      <w:r w:rsidR="009058F3" w:rsidRPr="00CD19C5">
        <w:rPr>
          <w:rFonts w:ascii="Times New Roman" w:hAnsi="Times New Roman" w:cs="Times New Roman"/>
          <w:sz w:val="24"/>
          <w:szCs w:val="24"/>
          <w:lang w:val="en-US"/>
        </w:rPr>
        <w:t>tion</w:t>
      </w:r>
      <w:r w:rsidR="002609B4" w:rsidRPr="00CD19C5">
        <w:rPr>
          <w:rFonts w:ascii="Times New Roman" w:hAnsi="Times New Roman" w:cs="Times New Roman"/>
          <w:sz w:val="24"/>
          <w:szCs w:val="24"/>
          <w:lang w:val="en-US"/>
        </w:rPr>
        <w:t>s</w:t>
      </w:r>
      <w:r w:rsidR="009058F3" w:rsidRPr="00CD19C5">
        <w:rPr>
          <w:rFonts w:ascii="Times New Roman" w:hAnsi="Times New Roman" w:cs="Times New Roman"/>
          <w:sz w:val="24"/>
          <w:szCs w:val="24"/>
          <w:lang w:val="en-US"/>
        </w:rPr>
        <w:t xml:space="preserve"> for four</w:t>
      </w:r>
      <w:r w:rsidRPr="00CD19C5">
        <w:rPr>
          <w:rFonts w:ascii="Times New Roman" w:hAnsi="Times New Roman" w:cs="Times New Roman"/>
          <w:sz w:val="24"/>
          <w:szCs w:val="24"/>
          <w:lang w:val="en-US"/>
        </w:rPr>
        <w:t xml:space="preserve"> reasons.  </w:t>
      </w:r>
      <w:r w:rsidR="00DB3C23" w:rsidRPr="00CD19C5">
        <w:rPr>
          <w:rFonts w:ascii="Times New Roman" w:hAnsi="Times New Roman" w:cs="Times New Roman"/>
          <w:sz w:val="24"/>
          <w:szCs w:val="24"/>
          <w:lang w:val="en-US"/>
        </w:rPr>
        <w:t>Firstly, t</w:t>
      </w:r>
      <w:r w:rsidRPr="00CD19C5">
        <w:rPr>
          <w:rFonts w:ascii="Times New Roman" w:hAnsi="Times New Roman" w:cs="Times New Roman"/>
          <w:sz w:val="24"/>
          <w:szCs w:val="24"/>
          <w:lang w:val="en-US"/>
        </w:rPr>
        <w:t xml:space="preserve">he letters </w:t>
      </w:r>
      <w:r w:rsidR="00DB3C23" w:rsidRPr="00CD19C5">
        <w:rPr>
          <w:rFonts w:ascii="Times New Roman" w:hAnsi="Times New Roman" w:cs="Times New Roman"/>
          <w:sz w:val="24"/>
          <w:szCs w:val="24"/>
          <w:lang w:val="en-US"/>
        </w:rPr>
        <w:t xml:space="preserve">all emanated from </w:t>
      </w:r>
      <w:r w:rsidR="00233A9A" w:rsidRPr="00CD19C5">
        <w:rPr>
          <w:rFonts w:ascii="Times New Roman" w:hAnsi="Times New Roman" w:cs="Times New Roman"/>
          <w:sz w:val="24"/>
          <w:szCs w:val="24"/>
          <w:lang w:val="en-US"/>
        </w:rPr>
        <w:t xml:space="preserve">and were signed by </w:t>
      </w:r>
      <w:r w:rsidR="00DB3C23" w:rsidRPr="00CD19C5">
        <w:rPr>
          <w:rFonts w:ascii="Times New Roman" w:hAnsi="Times New Roman" w:cs="Times New Roman"/>
          <w:sz w:val="24"/>
          <w:szCs w:val="24"/>
          <w:lang w:val="en-US"/>
        </w:rPr>
        <w:t xml:space="preserve">the highest </w:t>
      </w:r>
      <w:r w:rsidR="00233A9A" w:rsidRPr="00CD19C5">
        <w:rPr>
          <w:rFonts w:ascii="Times New Roman" w:hAnsi="Times New Roman" w:cs="Times New Roman"/>
          <w:sz w:val="24"/>
          <w:szCs w:val="24"/>
          <w:lang w:val="en-US"/>
        </w:rPr>
        <w:t xml:space="preserve">officers of the appellant </w:t>
      </w:r>
      <w:r w:rsidR="0027520C" w:rsidRPr="00CD19C5">
        <w:rPr>
          <w:rFonts w:ascii="Times New Roman" w:hAnsi="Times New Roman" w:cs="Times New Roman"/>
          <w:sz w:val="24"/>
          <w:szCs w:val="24"/>
          <w:lang w:val="en-US"/>
        </w:rPr>
        <w:t>on its behalf</w:t>
      </w:r>
      <w:r w:rsidR="002609B4" w:rsidRPr="00CD19C5">
        <w:rPr>
          <w:rFonts w:ascii="Times New Roman" w:hAnsi="Times New Roman" w:cs="Times New Roman"/>
          <w:sz w:val="24"/>
          <w:szCs w:val="24"/>
          <w:lang w:val="en-US"/>
        </w:rPr>
        <w:t>, who</w:t>
      </w:r>
      <w:r w:rsidR="00233A9A" w:rsidRPr="00CD19C5">
        <w:rPr>
          <w:rFonts w:ascii="Times New Roman" w:hAnsi="Times New Roman" w:cs="Times New Roman"/>
          <w:sz w:val="24"/>
          <w:szCs w:val="24"/>
          <w:lang w:val="en-US"/>
        </w:rPr>
        <w:t xml:space="preserve"> were all aware of the true position of the appellant and cannot blame the personnel assistants for their own deliberate actions. The </w:t>
      </w:r>
      <w:r w:rsidR="00233A9A" w:rsidRPr="00CD19C5">
        <w:rPr>
          <w:rFonts w:ascii="Times New Roman" w:hAnsi="Times New Roman" w:cs="Times New Roman"/>
          <w:i/>
          <w:sz w:val="24"/>
          <w:szCs w:val="24"/>
          <w:lang w:val="en-US"/>
        </w:rPr>
        <w:t>caveat subscriptor</w:t>
      </w:r>
      <w:r w:rsidR="00233A9A" w:rsidRPr="00CD19C5">
        <w:rPr>
          <w:rFonts w:ascii="Times New Roman" w:hAnsi="Times New Roman" w:cs="Times New Roman"/>
          <w:sz w:val="24"/>
          <w:szCs w:val="24"/>
          <w:lang w:val="en-US"/>
        </w:rPr>
        <w:t xml:space="preserve"> </w:t>
      </w:r>
      <w:r w:rsidR="002609B4" w:rsidRPr="00CD19C5">
        <w:rPr>
          <w:rFonts w:ascii="Times New Roman" w:hAnsi="Times New Roman" w:cs="Times New Roman"/>
          <w:sz w:val="24"/>
          <w:szCs w:val="24"/>
          <w:lang w:val="en-US"/>
        </w:rPr>
        <w:t>rule is an adequate antidote to</w:t>
      </w:r>
      <w:r w:rsidR="00233A9A" w:rsidRPr="00CD19C5">
        <w:rPr>
          <w:rFonts w:ascii="Times New Roman" w:hAnsi="Times New Roman" w:cs="Times New Roman"/>
          <w:sz w:val="24"/>
          <w:szCs w:val="24"/>
          <w:lang w:val="en-US"/>
        </w:rPr>
        <w:t xml:space="preserve"> their actions from which they cannot l</w:t>
      </w:r>
      <w:r w:rsidR="002609B4" w:rsidRPr="00CD19C5">
        <w:rPr>
          <w:rFonts w:ascii="Times New Roman" w:hAnsi="Times New Roman" w:cs="Times New Roman"/>
          <w:sz w:val="24"/>
          <w:szCs w:val="24"/>
          <w:lang w:val="en-US"/>
        </w:rPr>
        <w:t>egally and factually resile</w:t>
      </w:r>
      <w:r w:rsidR="00233A9A" w:rsidRPr="00CD19C5">
        <w:rPr>
          <w:rFonts w:ascii="Times New Roman" w:hAnsi="Times New Roman" w:cs="Times New Roman"/>
          <w:sz w:val="24"/>
          <w:szCs w:val="24"/>
          <w:lang w:val="en-US"/>
        </w:rPr>
        <w:t>. Secondly, the divest</w:t>
      </w:r>
      <w:r w:rsidR="00A02074">
        <w:rPr>
          <w:rFonts w:ascii="Times New Roman" w:hAnsi="Times New Roman" w:cs="Times New Roman"/>
          <w:sz w:val="24"/>
          <w:szCs w:val="24"/>
          <w:lang w:val="en-US"/>
        </w:rPr>
        <w:t>it</w:t>
      </w:r>
      <w:r w:rsidR="00233A9A" w:rsidRPr="00CD19C5">
        <w:rPr>
          <w:rFonts w:ascii="Times New Roman" w:hAnsi="Times New Roman" w:cs="Times New Roman"/>
          <w:sz w:val="24"/>
          <w:szCs w:val="24"/>
          <w:lang w:val="en-US"/>
        </w:rPr>
        <w:t xml:space="preserve">ure could not and did not stop the appellant from employing group personnel directly. That they were remunerated by the flagship on behalf of the </w:t>
      </w:r>
      <w:r w:rsidR="00001E78" w:rsidRPr="00CD19C5">
        <w:rPr>
          <w:rFonts w:ascii="Times New Roman" w:hAnsi="Times New Roman" w:cs="Times New Roman"/>
          <w:sz w:val="24"/>
          <w:szCs w:val="24"/>
          <w:lang w:val="en-US"/>
        </w:rPr>
        <w:t xml:space="preserve">appellant was a separate contractual arrangement between the appellant, the flagship and the group employees. </w:t>
      </w:r>
      <w:r w:rsidR="0027520C" w:rsidRPr="00CD19C5">
        <w:rPr>
          <w:rFonts w:ascii="Times New Roman" w:hAnsi="Times New Roman" w:cs="Times New Roman"/>
          <w:sz w:val="24"/>
          <w:szCs w:val="24"/>
          <w:lang w:val="en-US"/>
        </w:rPr>
        <w:t>This was analogous to the pith</w:t>
      </w:r>
      <w:r w:rsidR="002609B4" w:rsidRPr="00CD19C5">
        <w:rPr>
          <w:rFonts w:ascii="Times New Roman" w:hAnsi="Times New Roman" w:cs="Times New Roman"/>
          <w:sz w:val="24"/>
          <w:szCs w:val="24"/>
          <w:lang w:val="en-US"/>
        </w:rPr>
        <w:t>y comparison made</w:t>
      </w:r>
      <w:r w:rsidR="0027520C" w:rsidRPr="00CD19C5">
        <w:rPr>
          <w:rFonts w:ascii="Times New Roman" w:hAnsi="Times New Roman" w:cs="Times New Roman"/>
          <w:sz w:val="24"/>
          <w:szCs w:val="24"/>
          <w:lang w:val="en-US"/>
        </w:rPr>
        <w:t xml:space="preserve"> by Mr </w:t>
      </w:r>
      <w:r w:rsidR="0027520C" w:rsidRPr="00CD19C5">
        <w:rPr>
          <w:rFonts w:ascii="Times New Roman" w:hAnsi="Times New Roman" w:cs="Times New Roman"/>
          <w:i/>
          <w:sz w:val="24"/>
          <w:szCs w:val="24"/>
          <w:lang w:val="en-US"/>
        </w:rPr>
        <w:t>Matinenga</w:t>
      </w:r>
      <w:r w:rsidR="0027520C" w:rsidRPr="00CD19C5">
        <w:rPr>
          <w:rFonts w:ascii="Times New Roman" w:hAnsi="Times New Roman" w:cs="Times New Roman"/>
          <w:sz w:val="24"/>
          <w:szCs w:val="24"/>
          <w:lang w:val="en-US"/>
        </w:rPr>
        <w:t xml:space="preserve"> </w:t>
      </w:r>
      <w:r w:rsidR="002609B4" w:rsidRPr="00CD19C5">
        <w:rPr>
          <w:rFonts w:ascii="Times New Roman" w:hAnsi="Times New Roman" w:cs="Times New Roman"/>
          <w:sz w:val="24"/>
          <w:szCs w:val="24"/>
          <w:lang w:val="en-US"/>
        </w:rPr>
        <w:t>that</w:t>
      </w:r>
      <w:r w:rsidR="0027520C" w:rsidRPr="00CD19C5">
        <w:rPr>
          <w:rFonts w:ascii="Times New Roman" w:hAnsi="Times New Roman" w:cs="Times New Roman"/>
          <w:sz w:val="24"/>
          <w:szCs w:val="24"/>
          <w:lang w:val="en-US"/>
        </w:rPr>
        <w:t xml:space="preserve"> a son who </w:t>
      </w:r>
      <w:r w:rsidR="002609B4" w:rsidRPr="00CD19C5">
        <w:rPr>
          <w:rFonts w:ascii="Times New Roman" w:hAnsi="Times New Roman" w:cs="Times New Roman"/>
          <w:sz w:val="24"/>
          <w:szCs w:val="24"/>
          <w:lang w:val="en-US"/>
        </w:rPr>
        <w:t xml:space="preserve">pays his father’s cowhand does not become the employer. </w:t>
      </w:r>
      <w:r w:rsidR="00001E78" w:rsidRPr="00CD19C5">
        <w:rPr>
          <w:rFonts w:ascii="Times New Roman" w:hAnsi="Times New Roman" w:cs="Times New Roman"/>
          <w:sz w:val="24"/>
          <w:szCs w:val="24"/>
          <w:lang w:val="en-US"/>
        </w:rPr>
        <w:t>In my view, the payments and tax remittances by the flagship portrayed a picture</w:t>
      </w:r>
      <w:r w:rsidR="000A04F4" w:rsidRPr="00CD19C5">
        <w:rPr>
          <w:rFonts w:ascii="Times New Roman" w:hAnsi="Times New Roman" w:cs="Times New Roman"/>
          <w:sz w:val="24"/>
          <w:szCs w:val="24"/>
          <w:lang w:val="en-US"/>
        </w:rPr>
        <w:t xml:space="preserve">, a mere appearance, </w:t>
      </w:r>
      <w:r w:rsidR="00001E78" w:rsidRPr="00CD19C5">
        <w:rPr>
          <w:rFonts w:ascii="Times New Roman" w:hAnsi="Times New Roman" w:cs="Times New Roman"/>
          <w:sz w:val="24"/>
          <w:szCs w:val="24"/>
          <w:lang w:val="en-US"/>
        </w:rPr>
        <w:t>of the group personnel as employees of the flagship</w:t>
      </w:r>
      <w:r w:rsidR="000A04F4" w:rsidRPr="00CD19C5">
        <w:rPr>
          <w:rFonts w:ascii="Times New Roman" w:hAnsi="Times New Roman" w:cs="Times New Roman"/>
          <w:sz w:val="24"/>
          <w:szCs w:val="24"/>
          <w:lang w:val="en-US"/>
        </w:rPr>
        <w:t xml:space="preserve"> when in reality and substance, they were direct employees of the appellant</w:t>
      </w:r>
      <w:r w:rsidR="00001E78" w:rsidRPr="00CD19C5">
        <w:rPr>
          <w:rFonts w:ascii="Times New Roman" w:hAnsi="Times New Roman" w:cs="Times New Roman"/>
          <w:sz w:val="24"/>
          <w:szCs w:val="24"/>
          <w:lang w:val="en-US"/>
        </w:rPr>
        <w:t xml:space="preserve">. </w:t>
      </w:r>
    </w:p>
    <w:p w:rsidR="00EE427D" w:rsidRPr="00CD19C5" w:rsidRDefault="00EE427D" w:rsidP="00CD19C5">
      <w:pPr>
        <w:autoSpaceDE w:val="0"/>
        <w:autoSpaceDN w:val="0"/>
        <w:adjustRightInd w:val="0"/>
        <w:spacing w:after="0" w:line="360" w:lineRule="auto"/>
        <w:ind w:firstLine="720"/>
        <w:jc w:val="both"/>
        <w:rPr>
          <w:rFonts w:ascii="Times New Roman" w:hAnsi="Times New Roman" w:cs="Times New Roman"/>
          <w:sz w:val="24"/>
          <w:szCs w:val="24"/>
          <w:lang w:val="en-US"/>
        </w:rPr>
      </w:pPr>
      <w:r w:rsidRPr="00CD19C5">
        <w:rPr>
          <w:rFonts w:ascii="Times New Roman" w:hAnsi="Times New Roman" w:cs="Times New Roman"/>
          <w:sz w:val="24"/>
          <w:szCs w:val="24"/>
          <w:lang w:val="en-US"/>
        </w:rPr>
        <w:t>The two contentious listing rules provide that:</w:t>
      </w:r>
    </w:p>
    <w:p w:rsidR="00513131" w:rsidRPr="00181B46" w:rsidRDefault="00EE427D" w:rsidP="00181B46">
      <w:pPr>
        <w:spacing w:line="240" w:lineRule="auto"/>
        <w:ind w:left="1440"/>
        <w:jc w:val="both"/>
        <w:rPr>
          <w:rFonts w:ascii="Times New Roman" w:hAnsi="Times New Roman" w:cs="Times New Roman"/>
        </w:rPr>
      </w:pPr>
      <w:r w:rsidRPr="00181B46">
        <w:rPr>
          <w:rFonts w:ascii="Times New Roman" w:hAnsi="Times New Roman" w:cs="Times New Roman"/>
          <w:lang w:val="en-US"/>
        </w:rPr>
        <w:t>“4.6A:</w:t>
      </w:r>
      <w:r w:rsidRPr="00181B46">
        <w:rPr>
          <w:rFonts w:ascii="Times New Roman" w:hAnsi="Times New Roman" w:cs="Times New Roman"/>
          <w:lang w:val="en-US"/>
        </w:rPr>
        <w:tab/>
      </w:r>
      <w:r w:rsidR="00513131" w:rsidRPr="00181B46">
        <w:rPr>
          <w:rFonts w:ascii="Times New Roman" w:hAnsi="Times New Roman" w:cs="Times New Roman"/>
        </w:rPr>
        <w:t xml:space="preserve">The directors and senior management of an applicant must have collectively appropriate expertise and experience for the management of the group’s business. Details of such expertise and experience must be disclosed in any listing particulars prepared by the company (see para 7B1 to 7B3).”  </w:t>
      </w:r>
    </w:p>
    <w:p w:rsidR="00513131" w:rsidRPr="00181B46" w:rsidRDefault="00513131" w:rsidP="00181B46">
      <w:pPr>
        <w:spacing w:line="240" w:lineRule="auto"/>
        <w:ind w:left="1440"/>
        <w:jc w:val="both"/>
        <w:rPr>
          <w:rFonts w:ascii="Times New Roman" w:hAnsi="Times New Roman" w:cs="Times New Roman"/>
        </w:rPr>
      </w:pPr>
      <w:r w:rsidRPr="00181B46">
        <w:rPr>
          <w:rFonts w:ascii="Times New Roman" w:hAnsi="Times New Roman" w:cs="Times New Roman"/>
        </w:rPr>
        <w:t>“15. 2: In evaluating a listing of an investment entity the Committee will have regard to the following fundamental principles:</w:t>
      </w:r>
    </w:p>
    <w:p w:rsidR="00513131" w:rsidRPr="00181B46" w:rsidRDefault="00513131" w:rsidP="00181B46">
      <w:pPr>
        <w:pStyle w:val="ListParagraph"/>
        <w:numPr>
          <w:ilvl w:val="0"/>
          <w:numId w:val="31"/>
        </w:numPr>
        <w:spacing w:line="240" w:lineRule="auto"/>
        <w:jc w:val="both"/>
        <w:rPr>
          <w:rFonts w:ascii="Times New Roman" w:hAnsi="Times New Roman" w:cs="Times New Roman"/>
        </w:rPr>
      </w:pPr>
      <w:r w:rsidRPr="00181B46">
        <w:rPr>
          <w:rFonts w:ascii="Times New Roman" w:hAnsi="Times New Roman" w:cs="Times New Roman"/>
        </w:rPr>
        <w:t xml:space="preserve">Those managing the investment must have adequate </w:t>
      </w:r>
      <w:r w:rsidR="00F217D5" w:rsidRPr="00181B46">
        <w:rPr>
          <w:rFonts w:ascii="Times New Roman" w:hAnsi="Times New Roman" w:cs="Times New Roman"/>
        </w:rPr>
        <w:t>experience;</w:t>
      </w:r>
    </w:p>
    <w:p w:rsidR="00513131" w:rsidRPr="00181B46" w:rsidRDefault="00513131" w:rsidP="00181B46">
      <w:pPr>
        <w:pStyle w:val="ListParagraph"/>
        <w:numPr>
          <w:ilvl w:val="0"/>
          <w:numId w:val="31"/>
        </w:numPr>
        <w:spacing w:line="240" w:lineRule="auto"/>
        <w:jc w:val="both"/>
        <w:rPr>
          <w:rFonts w:ascii="Times New Roman" w:hAnsi="Times New Roman" w:cs="Times New Roman"/>
        </w:rPr>
      </w:pPr>
      <w:r w:rsidRPr="00181B46">
        <w:rPr>
          <w:rFonts w:ascii="Times New Roman" w:hAnsi="Times New Roman" w:cs="Times New Roman"/>
        </w:rPr>
        <w:t>….</w:t>
      </w:r>
    </w:p>
    <w:p w:rsidR="00513131" w:rsidRPr="00181B46" w:rsidRDefault="00513131" w:rsidP="00181B46">
      <w:pPr>
        <w:pStyle w:val="ListParagraph"/>
        <w:numPr>
          <w:ilvl w:val="0"/>
          <w:numId w:val="31"/>
        </w:numPr>
        <w:spacing w:line="240" w:lineRule="auto"/>
        <w:jc w:val="both"/>
        <w:rPr>
          <w:rFonts w:ascii="Times New Roman" w:hAnsi="Times New Roman" w:cs="Times New Roman"/>
        </w:rPr>
      </w:pPr>
      <w:r w:rsidRPr="00181B46">
        <w:rPr>
          <w:rFonts w:ascii="Times New Roman" w:hAnsi="Times New Roman" w:cs="Times New Roman"/>
        </w:rPr>
        <w:t>The investment entity must be a passive investor and neither it nor its management company nor any director or manager of the investment entity or its management company should control, or seek to control, be actively involved in the management of the companies, or other entities in which it i</w:t>
      </w:r>
      <w:r w:rsidR="00F217D5" w:rsidRPr="00181B46">
        <w:rPr>
          <w:rFonts w:ascii="Times New Roman" w:hAnsi="Times New Roman" w:cs="Times New Roman"/>
        </w:rPr>
        <w:t>n</w:t>
      </w:r>
      <w:r w:rsidRPr="00181B46">
        <w:rPr>
          <w:rFonts w:ascii="Times New Roman" w:hAnsi="Times New Roman" w:cs="Times New Roman"/>
        </w:rPr>
        <w:t>v</w:t>
      </w:r>
      <w:r w:rsidR="00F217D5" w:rsidRPr="00181B46">
        <w:rPr>
          <w:rFonts w:ascii="Times New Roman" w:hAnsi="Times New Roman" w:cs="Times New Roman"/>
        </w:rPr>
        <w:t>ests.</w:t>
      </w:r>
      <w:r w:rsidRPr="00181B46">
        <w:rPr>
          <w:rFonts w:ascii="Times New Roman" w:hAnsi="Times New Roman" w:cs="Times New Roman"/>
        </w:rPr>
        <w:t>”</w:t>
      </w:r>
    </w:p>
    <w:p w:rsidR="00F217D5" w:rsidRPr="00CD19C5" w:rsidRDefault="00181B46" w:rsidP="00C542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preamble to r</w:t>
      </w:r>
      <w:r w:rsidR="00E54EA2" w:rsidRPr="00CD19C5">
        <w:rPr>
          <w:rFonts w:ascii="Times New Roman" w:hAnsi="Times New Roman" w:cs="Times New Roman"/>
          <w:sz w:val="24"/>
          <w:szCs w:val="24"/>
        </w:rPr>
        <w:t xml:space="preserve"> 4.6 provides that the rule deals with the general conditions for listing </w:t>
      </w:r>
      <w:r w:rsidR="00487E97" w:rsidRPr="00CD19C5">
        <w:rPr>
          <w:rFonts w:ascii="Times New Roman" w:hAnsi="Times New Roman" w:cs="Times New Roman"/>
          <w:sz w:val="24"/>
          <w:szCs w:val="24"/>
        </w:rPr>
        <w:t>that apply</w:t>
      </w:r>
      <w:r w:rsidR="00E54EA2" w:rsidRPr="00CD19C5">
        <w:rPr>
          <w:rFonts w:ascii="Times New Roman" w:hAnsi="Times New Roman" w:cs="Times New Roman"/>
          <w:sz w:val="24"/>
          <w:szCs w:val="24"/>
        </w:rPr>
        <w:t xml:space="preserve"> to all markets while r 15 deals with additional and alternative requirements specific to investment entities. The preamble to</w:t>
      </w:r>
      <w:r w:rsidR="00B53795" w:rsidRPr="00CD19C5">
        <w:rPr>
          <w:rFonts w:ascii="Times New Roman" w:hAnsi="Times New Roman" w:cs="Times New Roman"/>
          <w:sz w:val="24"/>
          <w:szCs w:val="24"/>
        </w:rPr>
        <w:t xml:space="preserve"> r 15 defines an investment entity as “including investment companies, investment trusts and unit trusts whose principal activity is the investment which for the purpose of this section includes private companies. The entities, by their nature, do not seek to control or be involved in the day to day management of their investees and are therefore passive investors.”</w:t>
      </w:r>
    </w:p>
    <w:p w:rsidR="00B53795" w:rsidRPr="00CD19C5" w:rsidRDefault="00B53795" w:rsidP="00C542BB">
      <w:pPr>
        <w:spacing w:after="0" w:line="360" w:lineRule="auto"/>
        <w:ind w:firstLine="720"/>
        <w:jc w:val="both"/>
        <w:rPr>
          <w:rFonts w:ascii="Times New Roman" w:hAnsi="Times New Roman" w:cs="Times New Roman"/>
          <w:sz w:val="24"/>
          <w:szCs w:val="24"/>
        </w:rPr>
      </w:pPr>
      <w:r w:rsidRPr="00CD19C5">
        <w:rPr>
          <w:rFonts w:ascii="Times New Roman" w:hAnsi="Times New Roman" w:cs="Times New Roman"/>
          <w:sz w:val="24"/>
          <w:szCs w:val="24"/>
        </w:rPr>
        <w:t>Other relevant definitions in the listing rules are:</w:t>
      </w:r>
      <w:r w:rsidR="000B7A59" w:rsidRPr="00CD19C5">
        <w:rPr>
          <w:rFonts w:ascii="Times New Roman" w:hAnsi="Times New Roman" w:cs="Times New Roman"/>
          <w:sz w:val="24"/>
          <w:szCs w:val="24"/>
        </w:rPr>
        <w:t xml:space="preserve"> </w:t>
      </w:r>
    </w:p>
    <w:p w:rsidR="00B53795" w:rsidRPr="000B7A59" w:rsidRDefault="00B53795" w:rsidP="000B7A59">
      <w:pPr>
        <w:spacing w:line="240" w:lineRule="auto"/>
        <w:ind w:left="1440"/>
        <w:jc w:val="both"/>
        <w:rPr>
          <w:rFonts w:ascii="Times New Roman" w:hAnsi="Times New Roman" w:cs="Times New Roman"/>
        </w:rPr>
      </w:pPr>
      <w:r w:rsidRPr="000B7A59">
        <w:rPr>
          <w:rFonts w:ascii="Times New Roman" w:hAnsi="Times New Roman" w:cs="Times New Roman"/>
        </w:rPr>
        <w:lastRenderedPageBreak/>
        <w:t>“</w:t>
      </w:r>
      <w:r w:rsidR="008E4256" w:rsidRPr="000B7A59">
        <w:rPr>
          <w:rFonts w:ascii="Times New Roman" w:hAnsi="Times New Roman" w:cs="Times New Roman"/>
        </w:rPr>
        <w:t>Applicant</w:t>
      </w:r>
      <w:r w:rsidRPr="000B7A59">
        <w:rPr>
          <w:rFonts w:ascii="Times New Roman" w:hAnsi="Times New Roman" w:cs="Times New Roman"/>
        </w:rPr>
        <w:t>: an issuer which is proposing to apply, or is applying, for admission of any of its securities”</w:t>
      </w:r>
    </w:p>
    <w:p w:rsidR="00B53795" w:rsidRPr="000B7A59" w:rsidRDefault="00AB4C11" w:rsidP="000B7A59">
      <w:pPr>
        <w:spacing w:line="240" w:lineRule="auto"/>
        <w:ind w:left="1440"/>
        <w:jc w:val="both"/>
        <w:rPr>
          <w:rFonts w:ascii="Times New Roman" w:hAnsi="Times New Roman" w:cs="Times New Roman"/>
        </w:rPr>
      </w:pPr>
      <w:r w:rsidRPr="000B7A59">
        <w:rPr>
          <w:rFonts w:ascii="Times New Roman" w:hAnsi="Times New Roman" w:cs="Times New Roman"/>
        </w:rPr>
        <w:t>“G</w:t>
      </w:r>
      <w:r w:rsidR="00B53795" w:rsidRPr="000B7A59">
        <w:rPr>
          <w:rFonts w:ascii="Times New Roman" w:hAnsi="Times New Roman" w:cs="Times New Roman"/>
        </w:rPr>
        <w:t>roup</w:t>
      </w:r>
      <w:r w:rsidRPr="000B7A59">
        <w:rPr>
          <w:rFonts w:ascii="Times New Roman" w:hAnsi="Times New Roman" w:cs="Times New Roman"/>
        </w:rPr>
        <w:t>: a holding company, not itself being a wholly owned subsidiary, together with all the companies being its subsidiaries”</w:t>
      </w:r>
    </w:p>
    <w:p w:rsidR="00AB4C11" w:rsidRPr="000B7A59" w:rsidRDefault="008E4256" w:rsidP="000B7A59">
      <w:pPr>
        <w:spacing w:line="240" w:lineRule="auto"/>
        <w:ind w:left="720" w:firstLine="720"/>
        <w:jc w:val="both"/>
        <w:rPr>
          <w:rFonts w:ascii="Times New Roman" w:hAnsi="Times New Roman" w:cs="Times New Roman"/>
        </w:rPr>
      </w:pPr>
      <w:r w:rsidRPr="000B7A59">
        <w:rPr>
          <w:rFonts w:ascii="Times New Roman" w:hAnsi="Times New Roman" w:cs="Times New Roman"/>
        </w:rPr>
        <w:t>“</w:t>
      </w:r>
      <w:r w:rsidR="00AB4C11" w:rsidRPr="000B7A59">
        <w:rPr>
          <w:rFonts w:ascii="Times New Roman" w:hAnsi="Times New Roman" w:cs="Times New Roman"/>
        </w:rPr>
        <w:t>Holding company: a company that has one or more subsidiaries”</w:t>
      </w:r>
    </w:p>
    <w:p w:rsidR="008E4256" w:rsidRPr="000B7A59" w:rsidRDefault="008E4256" w:rsidP="000B7A59">
      <w:pPr>
        <w:spacing w:line="240" w:lineRule="auto"/>
        <w:ind w:left="1440"/>
        <w:jc w:val="both"/>
        <w:rPr>
          <w:rFonts w:ascii="Times New Roman" w:hAnsi="Times New Roman" w:cs="Times New Roman"/>
        </w:rPr>
      </w:pPr>
      <w:r w:rsidRPr="000B7A59">
        <w:rPr>
          <w:rFonts w:ascii="Times New Roman" w:hAnsi="Times New Roman" w:cs="Times New Roman"/>
        </w:rPr>
        <w:t>“Investment entities: investment companies, investment trusts and unit trusts whose principal activity is the investment in securities.”</w:t>
      </w:r>
    </w:p>
    <w:p w:rsidR="00F217D5" w:rsidRPr="00F217D5" w:rsidRDefault="00B30D31" w:rsidP="00C542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arises from these definiti</w:t>
      </w:r>
      <w:r w:rsidR="00B8164B">
        <w:rPr>
          <w:rFonts w:ascii="Times New Roman" w:hAnsi="Times New Roman" w:cs="Times New Roman"/>
          <w:sz w:val="24"/>
          <w:szCs w:val="24"/>
        </w:rPr>
        <w:t>ons is that the appellant was the</w:t>
      </w:r>
      <w:r>
        <w:rPr>
          <w:rFonts w:ascii="Times New Roman" w:hAnsi="Times New Roman" w:cs="Times New Roman"/>
          <w:sz w:val="24"/>
          <w:szCs w:val="24"/>
        </w:rPr>
        <w:t xml:space="preserve"> applicant immediately prior to its listing in 1998 and not on 1 April 2</w:t>
      </w:r>
      <w:r w:rsidR="00487E97">
        <w:rPr>
          <w:rFonts w:ascii="Times New Roman" w:hAnsi="Times New Roman" w:cs="Times New Roman"/>
          <w:sz w:val="24"/>
          <w:szCs w:val="24"/>
        </w:rPr>
        <w:t>005 when it purportedly transformed into</w:t>
      </w:r>
      <w:r>
        <w:rPr>
          <w:rFonts w:ascii="Times New Roman" w:hAnsi="Times New Roman" w:cs="Times New Roman"/>
          <w:sz w:val="24"/>
          <w:szCs w:val="24"/>
        </w:rPr>
        <w:t xml:space="preserve"> an investment entity. It never listed as an investment entity in 1998, so the provisions of r</w:t>
      </w:r>
      <w:r w:rsidR="008A152E">
        <w:rPr>
          <w:rFonts w:ascii="Times New Roman" w:hAnsi="Times New Roman" w:cs="Times New Roman"/>
          <w:sz w:val="24"/>
          <w:szCs w:val="24"/>
        </w:rPr>
        <w:t xml:space="preserve"> </w:t>
      </w:r>
      <w:r>
        <w:rPr>
          <w:rFonts w:ascii="Times New Roman" w:hAnsi="Times New Roman" w:cs="Times New Roman"/>
          <w:sz w:val="24"/>
          <w:szCs w:val="24"/>
        </w:rPr>
        <w:t xml:space="preserve">15 (2 (a) did not and do not apply to it. The rule that applied and applies to it is r 4.6A. That rule governed its listing conditions in </w:t>
      </w:r>
      <w:r w:rsidR="00273A22">
        <w:rPr>
          <w:rFonts w:ascii="Times New Roman" w:hAnsi="Times New Roman" w:cs="Times New Roman"/>
          <w:sz w:val="24"/>
          <w:szCs w:val="24"/>
        </w:rPr>
        <w:t xml:space="preserve">perpetuity. The appellant was the applicant. The flagship, formed in March 2005, was not. It could therefore not comply with the requirement to have directors and senior managers who collectively possessed appropriate expertise and experience in the management of its own business and that of its subsidiaries by the proxy of a non-existent subsidiary. </w:t>
      </w:r>
    </w:p>
    <w:p w:rsidR="009262F3" w:rsidRDefault="00487E97" w:rsidP="00C542B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was remiss of the appellant to rely on para. </w:t>
      </w:r>
      <w:r w:rsidR="004523E9">
        <w:rPr>
          <w:rFonts w:ascii="Times New Roman" w:hAnsi="Times New Roman" w:cs="Times New Roman"/>
          <w:sz w:val="24"/>
          <w:szCs w:val="24"/>
          <w:lang w:val="en-US"/>
        </w:rPr>
        <w:t>7.2 of the OECD TPGs that has no</w:t>
      </w:r>
      <w:r>
        <w:rPr>
          <w:rFonts w:ascii="Times New Roman" w:hAnsi="Times New Roman" w:cs="Times New Roman"/>
          <w:sz w:val="24"/>
          <w:szCs w:val="24"/>
          <w:lang w:val="en-US"/>
        </w:rPr>
        <w:t xml:space="preserve"> application in Zimbabwe. But even if that para applied, the appointment of </w:t>
      </w:r>
      <w:r w:rsidRPr="00487E97">
        <w:rPr>
          <w:rFonts w:ascii="Times New Roman" w:hAnsi="Times New Roman" w:cs="Times New Roman"/>
          <w:i/>
          <w:sz w:val="24"/>
          <w:szCs w:val="24"/>
          <w:lang w:val="en-US"/>
        </w:rPr>
        <w:t>inter alia</w:t>
      </w:r>
      <w:r>
        <w:rPr>
          <w:rFonts w:ascii="Times New Roman" w:hAnsi="Times New Roman" w:cs="Times New Roman"/>
          <w:sz w:val="24"/>
          <w:szCs w:val="24"/>
          <w:lang w:val="en-US"/>
        </w:rPr>
        <w:t xml:space="preserve"> a subsidiary to conduct the head office functions would and cannot turn it into the head office. It merely remains an agent of the appointing entity</w:t>
      </w:r>
      <w:r w:rsidR="005904C9">
        <w:rPr>
          <w:rFonts w:ascii="Times New Roman" w:hAnsi="Times New Roman" w:cs="Times New Roman"/>
          <w:sz w:val="24"/>
          <w:szCs w:val="24"/>
          <w:lang w:val="en-US"/>
        </w:rPr>
        <w:t xml:space="preserve"> from whom it derives its mandate and must constantly account for its conduct. The appellant turned the concept of agency on its head by making the flagship the holding company of the group. It further failed to demonstrate the normalcy of its conduct by way of empirical data. The means and manner in which the appellant </w:t>
      </w:r>
      <w:r w:rsidR="0082694E">
        <w:rPr>
          <w:rFonts w:ascii="Times New Roman" w:hAnsi="Times New Roman" w:cs="Times New Roman"/>
          <w:sz w:val="24"/>
          <w:szCs w:val="24"/>
          <w:lang w:val="en-US"/>
        </w:rPr>
        <w:t>effected the divest</w:t>
      </w:r>
      <w:r w:rsidR="005948C9">
        <w:rPr>
          <w:rFonts w:ascii="Times New Roman" w:hAnsi="Times New Roman" w:cs="Times New Roman"/>
          <w:sz w:val="24"/>
          <w:szCs w:val="24"/>
          <w:lang w:val="en-US"/>
        </w:rPr>
        <w:t>it</w:t>
      </w:r>
      <w:r w:rsidR="0082694E">
        <w:rPr>
          <w:rFonts w:ascii="Times New Roman" w:hAnsi="Times New Roman" w:cs="Times New Roman"/>
          <w:sz w:val="24"/>
          <w:szCs w:val="24"/>
          <w:lang w:val="en-US"/>
        </w:rPr>
        <w:t xml:space="preserve">ure was abnormal. </w:t>
      </w:r>
      <w:r w:rsidR="00CC19B8">
        <w:rPr>
          <w:rFonts w:ascii="Times New Roman" w:hAnsi="Times New Roman" w:cs="Times New Roman"/>
          <w:sz w:val="24"/>
          <w:szCs w:val="24"/>
          <w:lang w:val="en-US"/>
        </w:rPr>
        <w:t xml:space="preserve">I am satisfied that the Commissioner’s opinion in this regard was correct. </w:t>
      </w:r>
    </w:p>
    <w:p w:rsidR="009262F3" w:rsidRDefault="005D0DA6" w:rsidP="00C542B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alternative disjunctive</w:t>
      </w:r>
      <w:r w:rsidR="005C4E88">
        <w:rPr>
          <w:rFonts w:ascii="Times New Roman" w:hAnsi="Times New Roman" w:cs="Times New Roman"/>
          <w:sz w:val="24"/>
          <w:szCs w:val="24"/>
          <w:lang w:val="en-US"/>
        </w:rPr>
        <w:t>, para (b) of s 98</w:t>
      </w:r>
      <w:r w:rsidR="009262F3">
        <w:rPr>
          <w:rFonts w:ascii="Times New Roman" w:hAnsi="Times New Roman" w:cs="Times New Roman"/>
          <w:sz w:val="24"/>
          <w:szCs w:val="24"/>
          <w:lang w:val="en-US"/>
        </w:rPr>
        <w:t>,</w:t>
      </w:r>
      <w:r>
        <w:rPr>
          <w:rFonts w:ascii="Times New Roman" w:hAnsi="Times New Roman" w:cs="Times New Roman"/>
          <w:sz w:val="24"/>
          <w:szCs w:val="24"/>
          <w:lang w:val="en-US"/>
        </w:rPr>
        <w:t xml:space="preserve"> is predicated upon the creation of abnormal rights or obligations that would not be created between parties dealing at arm’s length. The arm’s length principle is a universal one, which is concerned with the comparability of the actions of related parties with those of unrelated parties. </w:t>
      </w:r>
      <w:r w:rsidR="009262F3">
        <w:rPr>
          <w:rFonts w:ascii="Times New Roman" w:hAnsi="Times New Roman" w:cs="Times New Roman"/>
          <w:sz w:val="24"/>
          <w:szCs w:val="24"/>
          <w:lang w:val="en-US"/>
        </w:rPr>
        <w:t xml:space="preserve">Again, reference to para 1.1.1.0 of the guidelines was misplaced as it is not prescriptive but suggestive and is incapable predicting the multifaceted transfer pricing situations that may confront taxpayers and tax administrators. </w:t>
      </w:r>
    </w:p>
    <w:p w:rsidR="001C4085" w:rsidRDefault="004E5C47" w:rsidP="00C542B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Commissioner </w:t>
      </w:r>
      <w:r w:rsidR="006466AE">
        <w:rPr>
          <w:rFonts w:ascii="Times New Roman" w:hAnsi="Times New Roman" w:cs="Times New Roman"/>
          <w:sz w:val="24"/>
          <w:szCs w:val="24"/>
          <w:lang w:val="en-US"/>
        </w:rPr>
        <w:t xml:space="preserve">correctly </w:t>
      </w:r>
      <w:r>
        <w:rPr>
          <w:rFonts w:ascii="Times New Roman" w:hAnsi="Times New Roman" w:cs="Times New Roman"/>
          <w:sz w:val="24"/>
          <w:szCs w:val="24"/>
          <w:lang w:val="en-US"/>
        </w:rPr>
        <w:t>formed the opinion that the TOS in question created abnormal rights or obligations between the parties</w:t>
      </w:r>
      <w:r w:rsidR="009262F3">
        <w:rPr>
          <w:rFonts w:ascii="Times New Roman" w:hAnsi="Times New Roman" w:cs="Times New Roman"/>
          <w:sz w:val="24"/>
          <w:szCs w:val="24"/>
          <w:lang w:val="en-US"/>
        </w:rPr>
        <w:t xml:space="preserve"> in that the appellant foisted its employment </w:t>
      </w:r>
      <w:r w:rsidR="009262F3">
        <w:rPr>
          <w:rFonts w:ascii="Times New Roman" w:hAnsi="Times New Roman" w:cs="Times New Roman"/>
          <w:sz w:val="24"/>
          <w:szCs w:val="24"/>
          <w:lang w:val="en-US"/>
        </w:rPr>
        <w:lastRenderedPageBreak/>
        <w:t>obligations on the flagship</w:t>
      </w:r>
      <w:r>
        <w:rPr>
          <w:rFonts w:ascii="Times New Roman" w:hAnsi="Times New Roman" w:cs="Times New Roman"/>
          <w:sz w:val="24"/>
          <w:szCs w:val="24"/>
          <w:lang w:val="en-US"/>
        </w:rPr>
        <w:t xml:space="preserve">. </w:t>
      </w:r>
      <w:r w:rsidR="005957D9">
        <w:rPr>
          <w:rFonts w:ascii="Times New Roman" w:hAnsi="Times New Roman" w:cs="Times New Roman"/>
          <w:sz w:val="24"/>
          <w:szCs w:val="24"/>
          <w:lang w:val="en-US"/>
        </w:rPr>
        <w:t xml:space="preserve">This was abnormal </w:t>
      </w:r>
      <w:r w:rsidR="006466AE">
        <w:rPr>
          <w:rFonts w:ascii="Times New Roman" w:hAnsi="Times New Roman" w:cs="Times New Roman"/>
          <w:sz w:val="24"/>
          <w:szCs w:val="24"/>
          <w:lang w:val="en-US"/>
        </w:rPr>
        <w:t>in that the relationship would</w:t>
      </w:r>
      <w:r w:rsidR="005957D9">
        <w:rPr>
          <w:rFonts w:ascii="Times New Roman" w:hAnsi="Times New Roman" w:cs="Times New Roman"/>
          <w:sz w:val="24"/>
          <w:szCs w:val="24"/>
          <w:lang w:val="en-US"/>
        </w:rPr>
        <w:t xml:space="preserve"> not pass muster compa</w:t>
      </w:r>
      <w:r w:rsidR="00791F94">
        <w:rPr>
          <w:rFonts w:ascii="Times New Roman" w:hAnsi="Times New Roman" w:cs="Times New Roman"/>
          <w:sz w:val="24"/>
          <w:szCs w:val="24"/>
          <w:lang w:val="en-US"/>
        </w:rPr>
        <w:t>rison with independent parties</w:t>
      </w:r>
      <w:r w:rsidR="006466AE">
        <w:rPr>
          <w:rFonts w:ascii="Times New Roman" w:hAnsi="Times New Roman" w:cs="Times New Roman"/>
          <w:sz w:val="24"/>
          <w:szCs w:val="24"/>
          <w:lang w:val="en-US"/>
        </w:rPr>
        <w:t xml:space="preserve">. </w:t>
      </w:r>
    </w:p>
    <w:p w:rsidR="00284BEB" w:rsidRDefault="00284BEB" w:rsidP="00C542BB">
      <w:pPr>
        <w:autoSpaceDE w:val="0"/>
        <w:autoSpaceDN w:val="0"/>
        <w:adjustRightInd w:val="0"/>
        <w:spacing w:after="0" w:line="360" w:lineRule="auto"/>
        <w:jc w:val="both"/>
        <w:rPr>
          <w:rFonts w:ascii="Times New Roman" w:hAnsi="Times New Roman" w:cs="Times New Roman"/>
          <w:i/>
          <w:sz w:val="24"/>
          <w:szCs w:val="24"/>
          <w:lang w:val="en-US"/>
        </w:rPr>
      </w:pPr>
      <w:r w:rsidRPr="00ED4E63">
        <w:rPr>
          <w:rFonts w:ascii="Times New Roman" w:hAnsi="Times New Roman" w:cs="Times New Roman"/>
          <w:i/>
          <w:sz w:val="24"/>
          <w:szCs w:val="24"/>
          <w:lang w:val="en-US"/>
        </w:rPr>
        <w:t>The further opinion that the avoidance, postponement or reduction of tax liability was the sole purpose or one of main purposes of the TOS</w:t>
      </w:r>
    </w:p>
    <w:p w:rsidR="00C542BB" w:rsidRPr="00C542BB" w:rsidRDefault="00C542BB" w:rsidP="00C542BB">
      <w:pPr>
        <w:autoSpaceDE w:val="0"/>
        <w:autoSpaceDN w:val="0"/>
        <w:adjustRightInd w:val="0"/>
        <w:spacing w:after="0" w:line="360" w:lineRule="auto"/>
        <w:jc w:val="both"/>
        <w:rPr>
          <w:rFonts w:ascii="Times New Roman" w:hAnsi="Times New Roman" w:cs="Times New Roman"/>
          <w:i/>
          <w:sz w:val="24"/>
          <w:szCs w:val="24"/>
          <w:lang w:val="en-US"/>
        </w:rPr>
      </w:pPr>
    </w:p>
    <w:p w:rsidR="00AF07EE" w:rsidRDefault="00284BEB" w:rsidP="00C542BB">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respondent formed the </w:t>
      </w:r>
      <w:r w:rsidR="005574C9">
        <w:rPr>
          <w:rFonts w:ascii="Times New Roman" w:hAnsi="Times New Roman" w:cs="Times New Roman"/>
          <w:sz w:val="24"/>
          <w:szCs w:val="24"/>
          <w:lang w:val="en-US"/>
        </w:rPr>
        <w:t>further opinion that the divest</w:t>
      </w:r>
      <w:r w:rsidR="005948C9">
        <w:rPr>
          <w:rFonts w:ascii="Times New Roman" w:hAnsi="Times New Roman" w:cs="Times New Roman"/>
          <w:sz w:val="24"/>
          <w:szCs w:val="24"/>
          <w:lang w:val="en-US"/>
        </w:rPr>
        <w:t>it</w:t>
      </w:r>
      <w:r w:rsidR="005574C9">
        <w:rPr>
          <w:rFonts w:ascii="Times New Roman" w:hAnsi="Times New Roman" w:cs="Times New Roman"/>
          <w:sz w:val="24"/>
          <w:szCs w:val="24"/>
          <w:lang w:val="en-US"/>
        </w:rPr>
        <w:t xml:space="preserve">ure of HO functions to the flagship had at the very least as one of its main purposes the avoidance or reduction of the appellant’s tax liability. The appellant, through the testimony of JM, the Saint and the purported expert, asserted that </w:t>
      </w:r>
      <w:r w:rsidR="006466AE">
        <w:rPr>
          <w:rFonts w:ascii="Times New Roman" w:hAnsi="Times New Roman" w:cs="Times New Roman"/>
          <w:sz w:val="24"/>
          <w:szCs w:val="24"/>
          <w:lang w:val="en-US"/>
        </w:rPr>
        <w:t>the questions of tax was</w:t>
      </w:r>
      <w:r w:rsidR="005574C9">
        <w:rPr>
          <w:rFonts w:ascii="Times New Roman" w:hAnsi="Times New Roman" w:cs="Times New Roman"/>
          <w:sz w:val="24"/>
          <w:szCs w:val="24"/>
          <w:lang w:val="en-US"/>
        </w:rPr>
        <w:t xml:space="preserve"> not in its contemplation. Rather, the main purpose was to free the directors of the appellant from the clutter and reputational risk associated with running an MNE</w:t>
      </w:r>
      <w:r w:rsidR="00273A22">
        <w:rPr>
          <w:rFonts w:ascii="Times New Roman" w:hAnsi="Times New Roman" w:cs="Times New Roman"/>
          <w:sz w:val="24"/>
          <w:szCs w:val="24"/>
          <w:lang w:val="en-US"/>
        </w:rPr>
        <w:t>, streamline management and engender growth of the appellant</w:t>
      </w:r>
      <w:r w:rsidR="005574C9">
        <w:rPr>
          <w:rFonts w:ascii="Times New Roman" w:hAnsi="Times New Roman" w:cs="Times New Roman"/>
          <w:sz w:val="24"/>
          <w:szCs w:val="24"/>
          <w:lang w:val="en-US"/>
        </w:rPr>
        <w:t xml:space="preserve">. </w:t>
      </w:r>
    </w:p>
    <w:p w:rsidR="00B46DBF" w:rsidRDefault="005574C9" w:rsidP="00C542BB">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company does not have a soul or body of its own. It operates through its directors in meeting. It is a </w:t>
      </w:r>
      <w:r w:rsidR="008328AB">
        <w:rPr>
          <w:rFonts w:ascii="Times New Roman" w:hAnsi="Times New Roman" w:cs="Times New Roman"/>
          <w:sz w:val="24"/>
          <w:szCs w:val="24"/>
          <w:lang w:val="en-US"/>
        </w:rPr>
        <w:t xml:space="preserve">peremptory </w:t>
      </w:r>
      <w:r>
        <w:rPr>
          <w:rFonts w:ascii="Times New Roman" w:hAnsi="Times New Roman" w:cs="Times New Roman"/>
          <w:sz w:val="24"/>
          <w:szCs w:val="24"/>
          <w:lang w:val="en-US"/>
        </w:rPr>
        <w:t xml:space="preserve">requirement of </w:t>
      </w:r>
      <w:r w:rsidR="008328AB">
        <w:rPr>
          <w:rFonts w:ascii="Times New Roman" w:hAnsi="Times New Roman" w:cs="Times New Roman"/>
          <w:sz w:val="24"/>
          <w:szCs w:val="24"/>
          <w:lang w:val="en-US"/>
        </w:rPr>
        <w:t xml:space="preserve">s 138 of </w:t>
      </w:r>
      <w:r>
        <w:rPr>
          <w:rFonts w:ascii="Times New Roman" w:hAnsi="Times New Roman" w:cs="Times New Roman"/>
          <w:sz w:val="24"/>
          <w:szCs w:val="24"/>
          <w:lang w:val="en-US"/>
        </w:rPr>
        <w:t xml:space="preserve">the Companies Act </w:t>
      </w:r>
      <w:r w:rsidRPr="00C84F07">
        <w:rPr>
          <w:rFonts w:ascii="Times New Roman" w:hAnsi="Times New Roman" w:cs="Times New Roman"/>
          <w:i/>
          <w:sz w:val="24"/>
          <w:szCs w:val="24"/>
          <w:lang w:val="en-US"/>
        </w:rPr>
        <w:t>[Chapter</w:t>
      </w:r>
      <w:r w:rsidR="00C84F07" w:rsidRPr="00C84F07">
        <w:rPr>
          <w:rFonts w:ascii="Times New Roman" w:hAnsi="Times New Roman" w:cs="Times New Roman"/>
          <w:i/>
          <w:sz w:val="24"/>
          <w:szCs w:val="24"/>
          <w:lang w:val="en-US"/>
        </w:rPr>
        <w:t xml:space="preserve"> 24:03</w:t>
      </w:r>
      <w:r w:rsidR="00C84F07">
        <w:rPr>
          <w:rFonts w:ascii="Times New Roman" w:hAnsi="Times New Roman" w:cs="Times New Roman"/>
          <w:i/>
          <w:sz w:val="24"/>
          <w:szCs w:val="24"/>
          <w:lang w:val="en-US"/>
        </w:rPr>
        <w:t xml:space="preserve">], </w:t>
      </w:r>
      <w:r w:rsidR="00C84F07" w:rsidRPr="00C84F07">
        <w:rPr>
          <w:rFonts w:ascii="Times New Roman" w:hAnsi="Times New Roman" w:cs="Times New Roman"/>
          <w:sz w:val="24"/>
          <w:szCs w:val="24"/>
          <w:lang w:val="en-US"/>
        </w:rPr>
        <w:t>applicable at that time</w:t>
      </w:r>
      <w:r w:rsidR="00C84F07">
        <w:rPr>
          <w:rFonts w:ascii="Times New Roman" w:hAnsi="Times New Roman" w:cs="Times New Roman"/>
          <w:i/>
          <w:sz w:val="24"/>
          <w:szCs w:val="24"/>
          <w:lang w:val="en-US"/>
        </w:rPr>
        <w:t>,</w:t>
      </w:r>
      <w:r>
        <w:rPr>
          <w:rFonts w:ascii="Times New Roman" w:hAnsi="Times New Roman" w:cs="Times New Roman"/>
          <w:sz w:val="24"/>
          <w:szCs w:val="24"/>
          <w:lang w:val="en-US"/>
        </w:rPr>
        <w:t xml:space="preserve"> that the board keep minutes of </w:t>
      </w:r>
      <w:r w:rsidR="009168F0">
        <w:rPr>
          <w:rFonts w:ascii="Times New Roman" w:hAnsi="Times New Roman" w:cs="Times New Roman"/>
          <w:sz w:val="24"/>
          <w:szCs w:val="24"/>
          <w:lang w:val="en-US"/>
        </w:rPr>
        <w:t>its deliberations. It was common cause the directors who conceived the divest</w:t>
      </w:r>
      <w:r w:rsidR="002B3FC4">
        <w:rPr>
          <w:rFonts w:ascii="Times New Roman" w:hAnsi="Times New Roman" w:cs="Times New Roman"/>
          <w:sz w:val="24"/>
          <w:szCs w:val="24"/>
          <w:lang w:val="en-US"/>
        </w:rPr>
        <w:t>it</w:t>
      </w:r>
      <w:r w:rsidR="009168F0">
        <w:rPr>
          <w:rFonts w:ascii="Times New Roman" w:hAnsi="Times New Roman" w:cs="Times New Roman"/>
          <w:sz w:val="24"/>
          <w:szCs w:val="24"/>
          <w:lang w:val="en-US"/>
        </w:rPr>
        <w:t xml:space="preserve">ure did not keep minutes of their deliberations. It was again common cause that what passed for those minutes in the minute book of that time were the public resolutions flighted by the appellant in the media, which were all produced as exhibit 1A, </w:t>
      </w:r>
      <w:r w:rsidR="001A1D9E">
        <w:rPr>
          <w:rFonts w:ascii="Times New Roman" w:hAnsi="Times New Roman" w:cs="Times New Roman"/>
          <w:sz w:val="24"/>
          <w:szCs w:val="24"/>
          <w:lang w:val="en-US"/>
        </w:rPr>
        <w:t>1</w:t>
      </w:r>
      <w:r w:rsidR="009168F0">
        <w:rPr>
          <w:rFonts w:ascii="Times New Roman" w:hAnsi="Times New Roman" w:cs="Times New Roman"/>
          <w:sz w:val="24"/>
          <w:szCs w:val="24"/>
          <w:lang w:val="en-US"/>
        </w:rPr>
        <w:t xml:space="preserve">B and </w:t>
      </w:r>
      <w:r w:rsidR="001A1D9E">
        <w:rPr>
          <w:rFonts w:ascii="Times New Roman" w:hAnsi="Times New Roman" w:cs="Times New Roman"/>
          <w:sz w:val="24"/>
          <w:szCs w:val="24"/>
          <w:lang w:val="en-US"/>
        </w:rPr>
        <w:t>1</w:t>
      </w:r>
      <w:r w:rsidR="009168F0">
        <w:rPr>
          <w:rFonts w:ascii="Times New Roman" w:hAnsi="Times New Roman" w:cs="Times New Roman"/>
          <w:sz w:val="24"/>
          <w:szCs w:val="24"/>
          <w:lang w:val="en-US"/>
        </w:rPr>
        <w:t>C.</w:t>
      </w:r>
      <w:r w:rsidR="00BD7A9D">
        <w:rPr>
          <w:rFonts w:ascii="Times New Roman" w:hAnsi="Times New Roman" w:cs="Times New Roman"/>
          <w:sz w:val="24"/>
          <w:szCs w:val="24"/>
          <w:lang w:val="en-US"/>
        </w:rPr>
        <w:t xml:space="preserve"> </w:t>
      </w:r>
    </w:p>
    <w:p w:rsidR="00284BEB" w:rsidRDefault="00BD7A9D" w:rsidP="00C542BB">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JM</w:t>
      </w:r>
      <w:r w:rsidR="00295E02">
        <w:rPr>
          <w:rFonts w:ascii="Times New Roman" w:hAnsi="Times New Roman" w:cs="Times New Roman"/>
          <w:sz w:val="24"/>
          <w:szCs w:val="24"/>
          <w:lang w:val="en-US"/>
        </w:rPr>
        <w:t xml:space="preserve"> was not a director nor </w:t>
      </w:r>
      <w:r w:rsidR="00791937">
        <w:rPr>
          <w:rFonts w:ascii="Times New Roman" w:hAnsi="Times New Roman" w:cs="Times New Roman"/>
          <w:sz w:val="24"/>
          <w:szCs w:val="24"/>
          <w:lang w:val="en-US"/>
        </w:rPr>
        <w:t xml:space="preserve">was </w:t>
      </w:r>
      <w:r w:rsidR="00B640B0">
        <w:rPr>
          <w:rFonts w:ascii="Times New Roman" w:hAnsi="Times New Roman" w:cs="Times New Roman"/>
          <w:sz w:val="24"/>
          <w:szCs w:val="24"/>
          <w:lang w:val="en-US"/>
        </w:rPr>
        <w:t xml:space="preserve">he </w:t>
      </w:r>
      <w:r w:rsidR="00791937">
        <w:rPr>
          <w:rFonts w:ascii="Times New Roman" w:hAnsi="Times New Roman" w:cs="Times New Roman"/>
          <w:sz w:val="24"/>
          <w:szCs w:val="24"/>
          <w:lang w:val="en-US"/>
        </w:rPr>
        <w:t>the company secretary of the appellant at the time the divest</w:t>
      </w:r>
      <w:r w:rsidR="000756D4">
        <w:rPr>
          <w:rFonts w:ascii="Times New Roman" w:hAnsi="Times New Roman" w:cs="Times New Roman"/>
          <w:sz w:val="24"/>
          <w:szCs w:val="24"/>
          <w:lang w:val="en-US"/>
        </w:rPr>
        <w:t>it</w:t>
      </w:r>
      <w:r w:rsidR="00791937">
        <w:rPr>
          <w:rFonts w:ascii="Times New Roman" w:hAnsi="Times New Roman" w:cs="Times New Roman"/>
          <w:sz w:val="24"/>
          <w:szCs w:val="24"/>
          <w:lang w:val="en-US"/>
        </w:rPr>
        <w:t xml:space="preserve">ure </w:t>
      </w:r>
      <w:r w:rsidR="006466AE">
        <w:rPr>
          <w:rFonts w:ascii="Times New Roman" w:hAnsi="Times New Roman" w:cs="Times New Roman"/>
          <w:sz w:val="24"/>
          <w:szCs w:val="24"/>
          <w:lang w:val="en-US"/>
        </w:rPr>
        <w:t xml:space="preserve">was </w:t>
      </w:r>
      <w:r>
        <w:rPr>
          <w:rFonts w:ascii="Times New Roman" w:hAnsi="Times New Roman" w:cs="Times New Roman"/>
          <w:sz w:val="24"/>
          <w:szCs w:val="24"/>
          <w:lang w:val="en-US"/>
        </w:rPr>
        <w:t xml:space="preserve">conceived. The Saint was the GCEO </w:t>
      </w:r>
      <w:r w:rsidR="008025D8">
        <w:rPr>
          <w:rFonts w:ascii="Times New Roman" w:hAnsi="Times New Roman" w:cs="Times New Roman"/>
          <w:sz w:val="24"/>
          <w:szCs w:val="24"/>
          <w:lang w:val="en-US"/>
        </w:rPr>
        <w:t xml:space="preserve">and an executive director </w:t>
      </w:r>
      <w:r>
        <w:rPr>
          <w:rFonts w:ascii="Times New Roman" w:hAnsi="Times New Roman" w:cs="Times New Roman"/>
          <w:sz w:val="24"/>
          <w:szCs w:val="24"/>
          <w:lang w:val="en-US"/>
        </w:rPr>
        <w:t>but was unsure whether the question of tax liability arose.  Both witnesses conceded that at the time of divest</w:t>
      </w:r>
      <w:r w:rsidR="000756D4">
        <w:rPr>
          <w:rFonts w:ascii="Times New Roman" w:hAnsi="Times New Roman" w:cs="Times New Roman"/>
          <w:sz w:val="24"/>
          <w:szCs w:val="24"/>
          <w:lang w:val="en-US"/>
        </w:rPr>
        <w:t>it</w:t>
      </w:r>
      <w:r>
        <w:rPr>
          <w:rFonts w:ascii="Times New Roman" w:hAnsi="Times New Roman" w:cs="Times New Roman"/>
          <w:sz w:val="24"/>
          <w:szCs w:val="24"/>
          <w:lang w:val="en-US"/>
        </w:rPr>
        <w:t xml:space="preserve">ure the appellant was </w:t>
      </w:r>
      <w:r w:rsidR="00B46DBF">
        <w:rPr>
          <w:rFonts w:ascii="Times New Roman" w:hAnsi="Times New Roman" w:cs="Times New Roman"/>
          <w:sz w:val="24"/>
          <w:szCs w:val="24"/>
          <w:lang w:val="en-US"/>
        </w:rPr>
        <w:t>required to advise the respondent of the tax i</w:t>
      </w:r>
      <w:r w:rsidR="006466AE">
        <w:rPr>
          <w:rFonts w:ascii="Times New Roman" w:hAnsi="Times New Roman" w:cs="Times New Roman"/>
          <w:sz w:val="24"/>
          <w:szCs w:val="24"/>
          <w:lang w:val="en-US"/>
        </w:rPr>
        <w:t xml:space="preserve">mplications of the scheme, </w:t>
      </w:r>
      <w:r w:rsidR="00B46DBF">
        <w:rPr>
          <w:rFonts w:ascii="Times New Roman" w:hAnsi="Times New Roman" w:cs="Times New Roman"/>
          <w:sz w:val="24"/>
          <w:szCs w:val="24"/>
          <w:lang w:val="en-US"/>
        </w:rPr>
        <w:t xml:space="preserve">as </w:t>
      </w:r>
      <w:r w:rsidR="006466AE">
        <w:rPr>
          <w:rFonts w:ascii="Times New Roman" w:hAnsi="Times New Roman" w:cs="Times New Roman"/>
          <w:sz w:val="24"/>
          <w:szCs w:val="24"/>
          <w:lang w:val="en-US"/>
        </w:rPr>
        <w:t xml:space="preserve">it did during the 2018 </w:t>
      </w:r>
      <w:r w:rsidR="00B46DBF">
        <w:rPr>
          <w:rFonts w:ascii="Times New Roman" w:hAnsi="Times New Roman" w:cs="Times New Roman"/>
          <w:sz w:val="24"/>
          <w:szCs w:val="24"/>
          <w:lang w:val="en-US"/>
        </w:rPr>
        <w:t>dual listing of the appellant on the Botswana Stock Exchange. It is therefore highly unlikely that the tax implications of the divestiture would not have entered the mind of the appellant at the concepti</w:t>
      </w:r>
      <w:r w:rsidR="008B02D4">
        <w:rPr>
          <w:rFonts w:ascii="Times New Roman" w:hAnsi="Times New Roman" w:cs="Times New Roman"/>
          <w:sz w:val="24"/>
          <w:szCs w:val="24"/>
          <w:lang w:val="en-US"/>
        </w:rPr>
        <w:t>on of the divest</w:t>
      </w:r>
      <w:r w:rsidR="000756D4">
        <w:rPr>
          <w:rFonts w:ascii="Times New Roman" w:hAnsi="Times New Roman" w:cs="Times New Roman"/>
          <w:sz w:val="24"/>
          <w:szCs w:val="24"/>
          <w:lang w:val="en-US"/>
        </w:rPr>
        <w:t>it</w:t>
      </w:r>
      <w:r w:rsidR="00B46DBF">
        <w:rPr>
          <w:rFonts w:ascii="Times New Roman" w:hAnsi="Times New Roman" w:cs="Times New Roman"/>
          <w:sz w:val="24"/>
          <w:szCs w:val="24"/>
          <w:lang w:val="en-US"/>
        </w:rPr>
        <w:t xml:space="preserve">ure. </w:t>
      </w:r>
      <w:r w:rsidR="008025D8">
        <w:rPr>
          <w:rFonts w:ascii="Times New Roman" w:hAnsi="Times New Roman" w:cs="Times New Roman"/>
          <w:sz w:val="24"/>
          <w:szCs w:val="24"/>
          <w:lang w:val="en-US"/>
        </w:rPr>
        <w:t>I take the uncharacteristic uncertainty of the Saint as an admission that the implications of the divestiture on the tax liability of the appellant was on</w:t>
      </w:r>
      <w:r w:rsidR="006466AE">
        <w:rPr>
          <w:rFonts w:ascii="Times New Roman" w:hAnsi="Times New Roman" w:cs="Times New Roman"/>
          <w:sz w:val="24"/>
          <w:szCs w:val="24"/>
          <w:lang w:val="en-US"/>
        </w:rPr>
        <w:t>e of the main reasons why the head office</w:t>
      </w:r>
      <w:r w:rsidR="008025D8">
        <w:rPr>
          <w:rFonts w:ascii="Times New Roman" w:hAnsi="Times New Roman" w:cs="Times New Roman"/>
          <w:sz w:val="24"/>
          <w:szCs w:val="24"/>
          <w:lang w:val="en-US"/>
        </w:rPr>
        <w:t xml:space="preserve"> functions were housed in the flagship. I</w:t>
      </w:r>
      <w:r w:rsidR="00477D43">
        <w:rPr>
          <w:rFonts w:ascii="Times New Roman" w:hAnsi="Times New Roman" w:cs="Times New Roman"/>
          <w:sz w:val="24"/>
          <w:szCs w:val="24"/>
          <w:lang w:val="en-US"/>
        </w:rPr>
        <w:t xml:space="preserve">n hindsight, the appellant actually avoided and therefore reduced its tax liability through this scheme. </w:t>
      </w:r>
      <w:r w:rsidR="00F66E8B">
        <w:rPr>
          <w:rFonts w:ascii="Times New Roman" w:hAnsi="Times New Roman" w:cs="Times New Roman"/>
          <w:sz w:val="24"/>
          <w:szCs w:val="24"/>
          <w:lang w:val="en-US"/>
        </w:rPr>
        <w:t xml:space="preserve">The further contention of the appellant that the TOS did not result in avoidance or reduction of tax by the appellant because such liability was absorbed by the flagship is both incorrect and irrelevant. It is incorrect because the flagship did not remit management fees that accrued from the management services rendered to it by the group employees to appellant. That would have altered the overall group tax matrix. It is irrelevant </w:t>
      </w:r>
      <w:r w:rsidR="00F66E8B">
        <w:rPr>
          <w:rFonts w:ascii="Times New Roman" w:hAnsi="Times New Roman" w:cs="Times New Roman"/>
          <w:sz w:val="24"/>
          <w:szCs w:val="24"/>
          <w:lang w:val="en-US"/>
        </w:rPr>
        <w:lastRenderedPageBreak/>
        <w:t xml:space="preserve">because the appellant and the flagship were and are two separate and distinct taxpayers. </w:t>
      </w:r>
      <w:r w:rsidR="00791937">
        <w:rPr>
          <w:rFonts w:ascii="Times New Roman" w:hAnsi="Times New Roman" w:cs="Times New Roman"/>
          <w:sz w:val="24"/>
          <w:szCs w:val="24"/>
          <w:lang w:val="en-US"/>
        </w:rPr>
        <w:t xml:space="preserve">See </w:t>
      </w:r>
      <w:r w:rsidR="00291D10" w:rsidRPr="000762FA">
        <w:rPr>
          <w:rFonts w:ascii="Times New Roman" w:hAnsi="Times New Roman" w:cs="Times New Roman"/>
          <w:i/>
          <w:sz w:val="24"/>
          <w:szCs w:val="24"/>
        </w:rPr>
        <w:t>GC (Pvt) Ltd</w:t>
      </w:r>
      <w:r w:rsidR="00291D10" w:rsidRPr="00C542BB">
        <w:rPr>
          <w:rFonts w:ascii="Times New Roman" w:hAnsi="Times New Roman" w:cs="Times New Roman"/>
          <w:sz w:val="24"/>
          <w:szCs w:val="24"/>
        </w:rPr>
        <w:t xml:space="preserve"> v</w:t>
      </w:r>
      <w:r w:rsidR="00291D10" w:rsidRPr="000762FA">
        <w:rPr>
          <w:rFonts w:ascii="Times New Roman" w:hAnsi="Times New Roman" w:cs="Times New Roman"/>
          <w:i/>
          <w:sz w:val="24"/>
          <w:szCs w:val="24"/>
        </w:rPr>
        <w:t xml:space="preserve"> C-G Zimra</w:t>
      </w:r>
      <w:r w:rsidR="00291D10" w:rsidRPr="000762FA">
        <w:rPr>
          <w:rFonts w:ascii="Times New Roman" w:hAnsi="Times New Roman" w:cs="Times New Roman"/>
          <w:sz w:val="24"/>
          <w:szCs w:val="24"/>
        </w:rPr>
        <w:t xml:space="preserve"> 2015 (2) ZLR 116 (H) at 133H-134A</w:t>
      </w:r>
      <w:r w:rsidR="00291D10">
        <w:rPr>
          <w:rFonts w:ascii="Times New Roman" w:hAnsi="Times New Roman" w:cs="Times New Roman"/>
          <w:sz w:val="24"/>
          <w:szCs w:val="24"/>
        </w:rPr>
        <w:t>.</w:t>
      </w:r>
      <w:r w:rsidR="00291D10" w:rsidRPr="000762FA">
        <w:rPr>
          <w:rFonts w:ascii="Times New Roman" w:hAnsi="Times New Roman" w:cs="Times New Roman"/>
          <w:sz w:val="24"/>
          <w:szCs w:val="24"/>
        </w:rPr>
        <w:t xml:space="preserve"> </w:t>
      </w:r>
      <w:r w:rsidR="00477D43">
        <w:rPr>
          <w:rFonts w:ascii="Times New Roman" w:hAnsi="Times New Roman" w:cs="Times New Roman"/>
          <w:sz w:val="24"/>
          <w:szCs w:val="24"/>
          <w:lang w:val="en-US"/>
        </w:rPr>
        <w:t>The further opinion of the respondent in this regard was justified. It cannot be impugned.</w:t>
      </w:r>
    </w:p>
    <w:p w:rsidR="00284BEB" w:rsidRDefault="00C60D23" w:rsidP="00C542BB">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last leg of s 98 empowers the respondent to assess the appropriate tax liability of the taxpayer whose conduct falls into the purview of these jurisdictional factors. </w:t>
      </w:r>
      <w:r w:rsidR="00135824">
        <w:rPr>
          <w:rFonts w:ascii="Times New Roman" w:hAnsi="Times New Roman" w:cs="Times New Roman"/>
          <w:sz w:val="24"/>
          <w:szCs w:val="24"/>
          <w:lang w:val="en-US"/>
        </w:rPr>
        <w:t>It reposes a very wide discretion on the respondent</w:t>
      </w:r>
      <w:r w:rsidR="00316059">
        <w:rPr>
          <w:rFonts w:ascii="Times New Roman" w:hAnsi="Times New Roman" w:cs="Times New Roman"/>
          <w:sz w:val="24"/>
          <w:szCs w:val="24"/>
          <w:lang w:val="en-US"/>
        </w:rPr>
        <w:t xml:space="preserve">, which is designed to disgorge the errant taxpayer of the illicit tax gain. </w:t>
      </w:r>
      <w:r>
        <w:rPr>
          <w:rFonts w:ascii="Times New Roman" w:hAnsi="Times New Roman" w:cs="Times New Roman"/>
          <w:sz w:val="24"/>
          <w:szCs w:val="24"/>
          <w:lang w:val="en-US"/>
        </w:rPr>
        <w:t xml:space="preserve">The Commissioner proceeded to do so in respect of management fees and royalties. </w:t>
      </w:r>
    </w:p>
    <w:p w:rsidR="00287814" w:rsidRDefault="00287814" w:rsidP="00C542BB">
      <w:pPr>
        <w:autoSpaceDE w:val="0"/>
        <w:autoSpaceDN w:val="0"/>
        <w:adjustRightInd w:val="0"/>
        <w:spacing w:after="0" w:line="360" w:lineRule="auto"/>
        <w:jc w:val="both"/>
        <w:rPr>
          <w:rFonts w:ascii="Times New Roman" w:hAnsi="Times New Roman" w:cs="Times New Roman"/>
          <w:sz w:val="24"/>
          <w:szCs w:val="24"/>
          <w:lang w:val="en-US"/>
        </w:rPr>
      </w:pPr>
    </w:p>
    <w:p w:rsidR="00B73666" w:rsidRDefault="00B73666" w:rsidP="00C542BB">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proceed to assess the applicability of the s 98 jurisdictional</w:t>
      </w:r>
      <w:r w:rsidR="00287814">
        <w:rPr>
          <w:rFonts w:ascii="Times New Roman" w:hAnsi="Times New Roman" w:cs="Times New Roman"/>
          <w:sz w:val="24"/>
          <w:szCs w:val="24"/>
          <w:lang w:val="en-US"/>
        </w:rPr>
        <w:t xml:space="preserve"> fact</w:t>
      </w:r>
      <w:r>
        <w:rPr>
          <w:rFonts w:ascii="Times New Roman" w:hAnsi="Times New Roman" w:cs="Times New Roman"/>
          <w:sz w:val="24"/>
          <w:szCs w:val="24"/>
          <w:lang w:val="en-US"/>
        </w:rPr>
        <w:t>s to management fees.</w:t>
      </w:r>
    </w:p>
    <w:p w:rsidR="00B73666" w:rsidRPr="00547F26" w:rsidRDefault="00B73666" w:rsidP="00C542BB">
      <w:pPr>
        <w:autoSpaceDE w:val="0"/>
        <w:autoSpaceDN w:val="0"/>
        <w:adjustRightInd w:val="0"/>
        <w:spacing w:after="0" w:line="360" w:lineRule="auto"/>
        <w:jc w:val="both"/>
        <w:rPr>
          <w:rFonts w:ascii="Times New Roman" w:hAnsi="Times New Roman" w:cs="Times New Roman"/>
          <w:sz w:val="24"/>
          <w:szCs w:val="24"/>
          <w:u w:val="single"/>
          <w:lang w:val="en-US"/>
        </w:rPr>
      </w:pPr>
      <w:r w:rsidRPr="00547F26">
        <w:rPr>
          <w:rFonts w:ascii="Times New Roman" w:hAnsi="Times New Roman" w:cs="Times New Roman"/>
          <w:sz w:val="24"/>
          <w:szCs w:val="24"/>
          <w:u w:val="single"/>
          <w:lang w:val="en-US"/>
        </w:rPr>
        <w:t xml:space="preserve"> Management Fees.</w:t>
      </w:r>
    </w:p>
    <w:p w:rsidR="00404F07" w:rsidRDefault="00752ABF" w:rsidP="00C542BB">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was common ground between the </w:t>
      </w:r>
      <w:r w:rsidR="008075E7">
        <w:rPr>
          <w:rFonts w:ascii="Times New Roman" w:hAnsi="Times New Roman" w:cs="Times New Roman"/>
          <w:sz w:val="24"/>
          <w:szCs w:val="24"/>
          <w:lang w:val="en-US"/>
        </w:rPr>
        <w:t>parties</w:t>
      </w:r>
      <w:r>
        <w:rPr>
          <w:rFonts w:ascii="Times New Roman" w:hAnsi="Times New Roman" w:cs="Times New Roman"/>
          <w:sz w:val="24"/>
          <w:szCs w:val="24"/>
          <w:lang w:val="en-US"/>
        </w:rPr>
        <w:t xml:space="preserve"> that management fees accrued to the employer of the group personnel who rendered the management service</w:t>
      </w:r>
      <w:r w:rsidR="00573A0B">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5A05D3" w:rsidRPr="005A05D3">
        <w:rPr>
          <w:rFonts w:ascii="Times New Roman" w:eastAsia="Calibri" w:hAnsi="Times New Roman" w:cs="Times New Roman"/>
          <w:color w:val="000000"/>
          <w:sz w:val="24"/>
          <w:szCs w:val="24"/>
        </w:rPr>
        <w:t xml:space="preserve">There are four glaring factors that show appellant had employees after 2005. The first was the letters of specific group employees it engaged through the hands of its most senior employees, the Saint, his successor and JM. The second was the profiling of the directors of the main and subsidiary boards in </w:t>
      </w:r>
      <w:r w:rsidR="00230237">
        <w:rPr>
          <w:rFonts w:ascii="Times New Roman" w:eastAsia="Calibri" w:hAnsi="Times New Roman" w:cs="Times New Roman"/>
          <w:color w:val="000000"/>
          <w:sz w:val="24"/>
          <w:szCs w:val="24"/>
        </w:rPr>
        <w:t xml:space="preserve">the </w:t>
      </w:r>
      <w:r w:rsidR="005A05D3" w:rsidRPr="005A05D3">
        <w:rPr>
          <w:rFonts w:ascii="Times New Roman" w:eastAsia="Calibri" w:hAnsi="Times New Roman" w:cs="Times New Roman"/>
          <w:color w:val="000000"/>
          <w:sz w:val="24"/>
          <w:szCs w:val="24"/>
        </w:rPr>
        <w:t xml:space="preserve">post 2005 annual reports </w:t>
      </w:r>
      <w:r w:rsidR="00230237">
        <w:rPr>
          <w:rFonts w:ascii="Times New Roman" w:eastAsia="Calibri" w:hAnsi="Times New Roman" w:cs="Times New Roman"/>
          <w:color w:val="000000"/>
          <w:sz w:val="24"/>
          <w:szCs w:val="24"/>
        </w:rPr>
        <w:t xml:space="preserve">that </w:t>
      </w:r>
      <w:r w:rsidR="005A05D3" w:rsidRPr="005A05D3">
        <w:rPr>
          <w:rFonts w:ascii="Times New Roman" w:eastAsia="Calibri" w:hAnsi="Times New Roman" w:cs="Times New Roman"/>
          <w:color w:val="000000"/>
          <w:sz w:val="24"/>
          <w:szCs w:val="24"/>
        </w:rPr>
        <w:t xml:space="preserve">referred to </w:t>
      </w:r>
      <w:r w:rsidR="00230237">
        <w:rPr>
          <w:rFonts w:ascii="Times New Roman" w:eastAsia="Calibri" w:hAnsi="Times New Roman" w:cs="Times New Roman"/>
          <w:color w:val="000000"/>
          <w:sz w:val="24"/>
          <w:szCs w:val="24"/>
        </w:rPr>
        <w:t xml:space="preserve">the </w:t>
      </w:r>
      <w:r w:rsidR="005A05D3" w:rsidRPr="005A05D3">
        <w:rPr>
          <w:rFonts w:ascii="Times New Roman" w:eastAsia="Calibri" w:hAnsi="Times New Roman" w:cs="Times New Roman"/>
          <w:color w:val="000000"/>
          <w:sz w:val="24"/>
          <w:szCs w:val="24"/>
        </w:rPr>
        <w:t>main board as the group board</w:t>
      </w:r>
      <w:r w:rsidR="005A05D3" w:rsidRPr="005A05D3">
        <w:rPr>
          <w:rStyle w:val="FootnoteReference"/>
          <w:rFonts w:ascii="Times New Roman" w:eastAsia="Calibri" w:hAnsi="Times New Roman" w:cs="Times New Roman"/>
          <w:color w:val="000000"/>
          <w:sz w:val="24"/>
          <w:szCs w:val="24"/>
        </w:rPr>
        <w:footnoteReference w:id="19"/>
      </w:r>
      <w:r w:rsidR="005550F2">
        <w:rPr>
          <w:rFonts w:ascii="Times New Roman" w:eastAsia="Calibri" w:hAnsi="Times New Roman" w:cs="Times New Roman"/>
          <w:color w:val="000000"/>
          <w:sz w:val="24"/>
          <w:szCs w:val="24"/>
        </w:rPr>
        <w:t xml:space="preserve">. </w:t>
      </w:r>
      <w:r w:rsidR="005A05D3" w:rsidRPr="005A05D3">
        <w:rPr>
          <w:rFonts w:ascii="Times New Roman" w:eastAsia="Calibri" w:hAnsi="Times New Roman" w:cs="Times New Roman"/>
          <w:color w:val="000000"/>
          <w:sz w:val="24"/>
          <w:szCs w:val="24"/>
        </w:rPr>
        <w:t>The same annual reports listed the GCEO, GFD and all managing directors of the subsidiaries as group executives and eleven other group senior managers</w:t>
      </w:r>
      <w:r w:rsidR="005A05D3" w:rsidRPr="005A05D3">
        <w:rPr>
          <w:rStyle w:val="FootnoteReference"/>
          <w:rFonts w:ascii="Times New Roman" w:eastAsia="Calibri" w:hAnsi="Times New Roman" w:cs="Times New Roman"/>
          <w:color w:val="000000"/>
          <w:sz w:val="24"/>
          <w:szCs w:val="24"/>
        </w:rPr>
        <w:footnoteReference w:id="20"/>
      </w:r>
      <w:r w:rsidR="005A05D3" w:rsidRPr="005A05D3">
        <w:rPr>
          <w:rFonts w:ascii="Times New Roman" w:eastAsia="Calibri" w:hAnsi="Times New Roman" w:cs="Times New Roman"/>
          <w:color w:val="000000"/>
          <w:sz w:val="24"/>
          <w:szCs w:val="24"/>
        </w:rPr>
        <w:t xml:space="preserve">. </w:t>
      </w:r>
      <w:r w:rsidR="005F7E47">
        <w:rPr>
          <w:rFonts w:ascii="Times New Roman" w:eastAsia="Calibri" w:hAnsi="Times New Roman" w:cs="Times New Roman"/>
          <w:color w:val="000000"/>
          <w:sz w:val="24"/>
          <w:szCs w:val="24"/>
        </w:rPr>
        <w:t>The third was</w:t>
      </w:r>
      <w:r w:rsidR="005A05D3" w:rsidRPr="005A05D3">
        <w:rPr>
          <w:rFonts w:ascii="Times New Roman" w:eastAsia="Calibri" w:hAnsi="Times New Roman" w:cs="Times New Roman"/>
          <w:color w:val="000000"/>
          <w:sz w:val="24"/>
          <w:szCs w:val="24"/>
        </w:rPr>
        <w:t xml:space="preserve"> the formation of the</w:t>
      </w:r>
      <w:r w:rsidR="005A05D3">
        <w:rPr>
          <w:rFonts w:ascii="Times New Roman" w:eastAsia="Calibri" w:hAnsi="Times New Roman" w:cs="Times New Roman"/>
          <w:color w:val="000000"/>
          <w:sz w:val="24"/>
          <w:szCs w:val="24"/>
        </w:rPr>
        <w:t xml:space="preserve"> audit, remuneration and nomination board committees, which was inconsistent with a dormant board.  Lastly, compliance with rule 4.6A of the local bourse’s listing rules, which mandates that a listed company, </w:t>
      </w:r>
      <w:r w:rsidR="005F7E47">
        <w:rPr>
          <w:rFonts w:ascii="Times New Roman" w:eastAsia="Calibri" w:hAnsi="Times New Roman" w:cs="Times New Roman"/>
          <w:color w:val="000000"/>
          <w:sz w:val="24"/>
          <w:szCs w:val="24"/>
        </w:rPr>
        <w:t xml:space="preserve">such </w:t>
      </w:r>
      <w:r w:rsidR="005A05D3">
        <w:rPr>
          <w:rFonts w:ascii="Times New Roman" w:eastAsia="Calibri" w:hAnsi="Times New Roman" w:cs="Times New Roman"/>
          <w:color w:val="000000"/>
          <w:sz w:val="24"/>
          <w:szCs w:val="24"/>
        </w:rPr>
        <w:t>as the applicant, must have collective appropriate senior management expertise to run the group’s busin</w:t>
      </w:r>
      <w:r w:rsidR="00C11520">
        <w:rPr>
          <w:rFonts w:ascii="Times New Roman" w:eastAsia="Calibri" w:hAnsi="Times New Roman" w:cs="Times New Roman"/>
          <w:color w:val="000000"/>
          <w:sz w:val="24"/>
          <w:szCs w:val="24"/>
        </w:rPr>
        <w:t>ess</w:t>
      </w:r>
      <w:r w:rsidR="005A05D3">
        <w:rPr>
          <w:rFonts w:ascii="Times New Roman" w:eastAsia="Calibri" w:hAnsi="Times New Roman" w:cs="Times New Roman"/>
          <w:color w:val="000000"/>
          <w:sz w:val="24"/>
          <w:szCs w:val="24"/>
        </w:rPr>
        <w:t xml:space="preserve">, whose expertise and experience must be disclosed in its listing documents. </w:t>
      </w:r>
      <w:r>
        <w:rPr>
          <w:rFonts w:ascii="Times New Roman" w:hAnsi="Times New Roman" w:cs="Times New Roman"/>
          <w:sz w:val="24"/>
          <w:szCs w:val="24"/>
          <w:lang w:val="en-US"/>
        </w:rPr>
        <w:t xml:space="preserve">It was further common ground that </w:t>
      </w:r>
      <w:r w:rsidR="00392A0E">
        <w:rPr>
          <w:rFonts w:ascii="Times New Roman" w:hAnsi="Times New Roman" w:cs="Times New Roman"/>
          <w:sz w:val="24"/>
          <w:szCs w:val="24"/>
          <w:lang w:val="en-US"/>
        </w:rPr>
        <w:t>the management fees were</w:t>
      </w:r>
      <w:r w:rsidR="000D3B87">
        <w:rPr>
          <w:rFonts w:ascii="Times New Roman" w:hAnsi="Times New Roman" w:cs="Times New Roman"/>
          <w:sz w:val="24"/>
          <w:szCs w:val="24"/>
          <w:lang w:val="en-US"/>
        </w:rPr>
        <w:t xml:space="preserve"> from a Zimbabwean source. </w:t>
      </w:r>
      <w:r w:rsidR="00B73666">
        <w:rPr>
          <w:rFonts w:ascii="Times New Roman" w:hAnsi="Times New Roman" w:cs="Times New Roman"/>
          <w:sz w:val="24"/>
          <w:szCs w:val="24"/>
          <w:lang w:val="en-US"/>
        </w:rPr>
        <w:t xml:space="preserve"> </w:t>
      </w:r>
      <w:r w:rsidR="00FD5031">
        <w:rPr>
          <w:rFonts w:ascii="Times New Roman" w:hAnsi="Times New Roman" w:cs="Times New Roman"/>
          <w:sz w:val="24"/>
          <w:szCs w:val="24"/>
          <w:lang w:val="en-US"/>
        </w:rPr>
        <w:t xml:space="preserve">It was also agreed that management fees accrued and were paid to the flagship. </w:t>
      </w:r>
      <w:r w:rsidR="000D3B87">
        <w:rPr>
          <w:rFonts w:ascii="Times New Roman" w:hAnsi="Times New Roman" w:cs="Times New Roman"/>
          <w:sz w:val="24"/>
          <w:szCs w:val="24"/>
          <w:lang w:val="en-US"/>
        </w:rPr>
        <w:t>I have already f</w:t>
      </w:r>
      <w:r w:rsidR="00072265">
        <w:rPr>
          <w:rFonts w:ascii="Times New Roman" w:hAnsi="Times New Roman" w:cs="Times New Roman"/>
          <w:sz w:val="24"/>
          <w:szCs w:val="24"/>
          <w:lang w:val="en-US"/>
        </w:rPr>
        <w:t xml:space="preserve">ound that housing the head office </w:t>
      </w:r>
      <w:r w:rsidR="000D3B87">
        <w:rPr>
          <w:rFonts w:ascii="Times New Roman" w:hAnsi="Times New Roman" w:cs="Times New Roman"/>
          <w:sz w:val="24"/>
          <w:szCs w:val="24"/>
          <w:lang w:val="en-US"/>
        </w:rPr>
        <w:t xml:space="preserve">function in the flagship was </w:t>
      </w:r>
      <w:r w:rsidR="00404F07">
        <w:rPr>
          <w:rFonts w:ascii="Times New Roman" w:hAnsi="Times New Roman" w:cs="Times New Roman"/>
          <w:sz w:val="24"/>
          <w:szCs w:val="24"/>
          <w:lang w:val="en-US"/>
        </w:rPr>
        <w:t xml:space="preserve">a </w:t>
      </w:r>
      <w:r w:rsidR="000D3B87">
        <w:rPr>
          <w:rFonts w:ascii="Times New Roman" w:hAnsi="Times New Roman" w:cs="Times New Roman"/>
          <w:sz w:val="24"/>
          <w:szCs w:val="24"/>
          <w:lang w:val="en-US"/>
        </w:rPr>
        <w:t>TOS that had the effect of avoiding or reducing the appellant’s tax liability.</w:t>
      </w:r>
      <w:r w:rsidR="00FD5031">
        <w:rPr>
          <w:rFonts w:ascii="Times New Roman" w:hAnsi="Times New Roman" w:cs="Times New Roman"/>
          <w:sz w:val="24"/>
          <w:szCs w:val="24"/>
          <w:lang w:val="en-US"/>
        </w:rPr>
        <w:t xml:space="preserve"> </w:t>
      </w:r>
      <w:r w:rsidR="000D3B87">
        <w:rPr>
          <w:rFonts w:ascii="Times New Roman" w:hAnsi="Times New Roman" w:cs="Times New Roman"/>
          <w:sz w:val="24"/>
          <w:szCs w:val="24"/>
          <w:lang w:val="en-US"/>
        </w:rPr>
        <w:t xml:space="preserve">The </w:t>
      </w:r>
      <w:r w:rsidR="00B73666">
        <w:rPr>
          <w:rFonts w:ascii="Times New Roman" w:hAnsi="Times New Roman" w:cs="Times New Roman"/>
          <w:sz w:val="24"/>
          <w:szCs w:val="24"/>
          <w:lang w:val="en-US"/>
        </w:rPr>
        <w:t>management fee income that accrued to the appellant was through this device designedly diverted to the flagship. I</w:t>
      </w:r>
      <w:r w:rsidR="00072265">
        <w:rPr>
          <w:rFonts w:ascii="Times New Roman" w:hAnsi="Times New Roman" w:cs="Times New Roman"/>
          <w:sz w:val="24"/>
          <w:szCs w:val="24"/>
          <w:lang w:val="en-US"/>
        </w:rPr>
        <w:t>, therefore,</w:t>
      </w:r>
      <w:r w:rsidR="00B73666">
        <w:rPr>
          <w:rFonts w:ascii="Times New Roman" w:hAnsi="Times New Roman" w:cs="Times New Roman"/>
          <w:sz w:val="24"/>
          <w:szCs w:val="24"/>
          <w:lang w:val="en-US"/>
        </w:rPr>
        <w:t xml:space="preserve"> find the first two jurisdictional facts confirmed.</w:t>
      </w:r>
    </w:p>
    <w:p w:rsidR="00C542BB" w:rsidRPr="00C542BB" w:rsidRDefault="00C542BB" w:rsidP="00C542BB">
      <w:pPr>
        <w:autoSpaceDE w:val="0"/>
        <w:autoSpaceDN w:val="0"/>
        <w:adjustRightInd w:val="0"/>
        <w:spacing w:after="0" w:line="360" w:lineRule="auto"/>
        <w:ind w:firstLine="720"/>
        <w:jc w:val="both"/>
        <w:rPr>
          <w:rFonts w:ascii="Times New Roman" w:hAnsi="Times New Roman" w:cs="Times New Roman"/>
          <w:sz w:val="24"/>
          <w:szCs w:val="24"/>
          <w:lang w:val="en-US"/>
        </w:rPr>
      </w:pPr>
    </w:p>
    <w:p w:rsidR="00404F07" w:rsidRPr="00C542BB" w:rsidRDefault="00B73666" w:rsidP="00C542BB">
      <w:pPr>
        <w:autoSpaceDE w:val="0"/>
        <w:autoSpaceDN w:val="0"/>
        <w:adjustRightInd w:val="0"/>
        <w:spacing w:after="0" w:line="360" w:lineRule="auto"/>
        <w:jc w:val="both"/>
        <w:rPr>
          <w:rFonts w:ascii="Times New Roman" w:hAnsi="Times New Roman" w:cs="Times New Roman"/>
          <w:i/>
          <w:sz w:val="24"/>
          <w:szCs w:val="24"/>
          <w:lang w:val="en-US"/>
        </w:rPr>
      </w:pPr>
      <w:r w:rsidRPr="00752ABF">
        <w:rPr>
          <w:rFonts w:ascii="Times New Roman" w:hAnsi="Times New Roman" w:cs="Times New Roman"/>
          <w:i/>
          <w:sz w:val="24"/>
          <w:szCs w:val="24"/>
          <w:lang w:val="en-US"/>
        </w:rPr>
        <w:t xml:space="preserve"> W</w:t>
      </w:r>
      <w:r w:rsidR="00752ABF" w:rsidRPr="00752ABF">
        <w:rPr>
          <w:rFonts w:ascii="Times New Roman" w:hAnsi="Times New Roman" w:cs="Times New Roman"/>
          <w:i/>
          <w:sz w:val="24"/>
          <w:szCs w:val="24"/>
          <w:lang w:val="en-US"/>
        </w:rPr>
        <w:t>hether</w:t>
      </w:r>
      <w:r w:rsidRPr="00752ABF">
        <w:rPr>
          <w:rFonts w:ascii="Times New Roman" w:hAnsi="Times New Roman" w:cs="Times New Roman"/>
          <w:i/>
          <w:sz w:val="24"/>
          <w:szCs w:val="24"/>
          <w:lang w:val="en-US"/>
        </w:rPr>
        <w:t xml:space="preserve"> the means and manner of the diversion </w:t>
      </w:r>
      <w:r w:rsidR="00752ABF" w:rsidRPr="00752ABF">
        <w:rPr>
          <w:rFonts w:ascii="Times New Roman" w:hAnsi="Times New Roman" w:cs="Times New Roman"/>
          <w:i/>
          <w:sz w:val="24"/>
          <w:szCs w:val="24"/>
          <w:lang w:val="en-US"/>
        </w:rPr>
        <w:t>and recoupment was abnormal</w:t>
      </w:r>
    </w:p>
    <w:p w:rsidR="009B1208" w:rsidRDefault="00752ABF" w:rsidP="00C542BB">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flagship charged the management fees that accrued to the appellant at cost. </w:t>
      </w:r>
      <w:r w:rsidR="009952B5">
        <w:rPr>
          <w:rFonts w:ascii="Times New Roman" w:hAnsi="Times New Roman" w:cs="Times New Roman"/>
          <w:sz w:val="24"/>
          <w:szCs w:val="24"/>
          <w:lang w:val="en-US"/>
        </w:rPr>
        <w:t>In the Appellant’s Group Transfer Pricing Policy 2011/12, annexure B to its case</w:t>
      </w:r>
      <w:r w:rsidR="0085729B">
        <w:rPr>
          <w:rFonts w:ascii="Times New Roman" w:hAnsi="Times New Roman" w:cs="Times New Roman"/>
          <w:sz w:val="24"/>
          <w:szCs w:val="24"/>
          <w:lang w:val="en-US"/>
        </w:rPr>
        <w:t xml:space="preserve">, which </w:t>
      </w:r>
      <w:r w:rsidR="006D5D48">
        <w:rPr>
          <w:rFonts w:ascii="Times New Roman" w:hAnsi="Times New Roman" w:cs="Times New Roman"/>
          <w:sz w:val="24"/>
          <w:szCs w:val="24"/>
          <w:lang w:val="en-US"/>
        </w:rPr>
        <w:t xml:space="preserve">attests appellant to be </w:t>
      </w:r>
      <w:r w:rsidR="0085729B">
        <w:rPr>
          <w:rFonts w:ascii="Times New Roman" w:hAnsi="Times New Roman" w:cs="Times New Roman"/>
          <w:sz w:val="24"/>
          <w:szCs w:val="24"/>
          <w:lang w:val="en-US"/>
        </w:rPr>
        <w:t xml:space="preserve">a </w:t>
      </w:r>
      <w:r w:rsidR="006D5D48">
        <w:rPr>
          <w:rFonts w:ascii="Times New Roman" w:hAnsi="Times New Roman" w:cs="Times New Roman"/>
          <w:sz w:val="24"/>
          <w:szCs w:val="24"/>
          <w:lang w:val="en-US"/>
        </w:rPr>
        <w:t xml:space="preserve">ZSE listed </w:t>
      </w:r>
      <w:r w:rsidR="0085729B">
        <w:rPr>
          <w:rFonts w:ascii="Times New Roman" w:hAnsi="Times New Roman" w:cs="Times New Roman"/>
          <w:sz w:val="24"/>
          <w:szCs w:val="24"/>
          <w:lang w:val="en-US"/>
        </w:rPr>
        <w:t xml:space="preserve">company that is </w:t>
      </w:r>
      <w:r w:rsidR="006D5D48">
        <w:rPr>
          <w:rFonts w:ascii="Times New Roman" w:hAnsi="Times New Roman" w:cs="Times New Roman"/>
          <w:sz w:val="24"/>
          <w:szCs w:val="24"/>
          <w:lang w:val="en-US"/>
        </w:rPr>
        <w:t>in business of breeding and marketing certified crop seeds with in country subs</w:t>
      </w:r>
      <w:r w:rsidR="0085729B">
        <w:rPr>
          <w:rFonts w:ascii="Times New Roman" w:hAnsi="Times New Roman" w:cs="Times New Roman"/>
          <w:sz w:val="24"/>
          <w:szCs w:val="24"/>
          <w:lang w:val="en-US"/>
        </w:rPr>
        <w:t>idiaries</w:t>
      </w:r>
      <w:r w:rsidR="0085729B">
        <w:rPr>
          <w:rStyle w:val="FootnoteReference"/>
          <w:rFonts w:ascii="Times New Roman" w:hAnsi="Times New Roman" w:cs="Times New Roman"/>
          <w:sz w:val="24"/>
          <w:szCs w:val="24"/>
          <w:lang w:val="en-US"/>
        </w:rPr>
        <w:footnoteReference w:id="21"/>
      </w:r>
      <w:r w:rsidR="009952B5">
        <w:rPr>
          <w:rFonts w:ascii="Times New Roman" w:hAnsi="Times New Roman" w:cs="Times New Roman"/>
          <w:sz w:val="24"/>
          <w:szCs w:val="24"/>
          <w:lang w:val="en-US"/>
        </w:rPr>
        <w:t xml:space="preserve"> the</w:t>
      </w:r>
      <w:r w:rsidR="0085729B">
        <w:rPr>
          <w:rFonts w:ascii="Times New Roman" w:hAnsi="Times New Roman" w:cs="Times New Roman"/>
          <w:sz w:val="24"/>
          <w:szCs w:val="24"/>
          <w:lang w:val="en-US"/>
        </w:rPr>
        <w:t xml:space="preserve"> </w:t>
      </w:r>
      <w:r w:rsidR="00EE5791">
        <w:rPr>
          <w:rFonts w:ascii="Times New Roman" w:hAnsi="Times New Roman" w:cs="Times New Roman"/>
          <w:sz w:val="24"/>
          <w:szCs w:val="24"/>
          <w:lang w:val="en-US"/>
        </w:rPr>
        <w:t>international transfer pricing consultant</w:t>
      </w:r>
      <w:r w:rsidR="009952B5">
        <w:rPr>
          <w:rFonts w:ascii="Times New Roman" w:hAnsi="Times New Roman" w:cs="Times New Roman"/>
          <w:sz w:val="24"/>
          <w:szCs w:val="24"/>
          <w:lang w:val="en-US"/>
        </w:rPr>
        <w:t xml:space="preserve"> </w:t>
      </w:r>
      <w:r w:rsidR="00A84975">
        <w:rPr>
          <w:rFonts w:ascii="Times New Roman" w:hAnsi="Times New Roman" w:cs="Times New Roman"/>
          <w:sz w:val="24"/>
          <w:szCs w:val="24"/>
          <w:lang w:val="en-US"/>
        </w:rPr>
        <w:t>attributed the management fees to the appellant and warned it that the charges at cost were not compliant with the arm’s length principle</w:t>
      </w:r>
      <w:r w:rsidR="00D10989">
        <w:rPr>
          <w:rFonts w:ascii="Times New Roman" w:hAnsi="Times New Roman" w:cs="Times New Roman"/>
          <w:sz w:val="24"/>
          <w:szCs w:val="24"/>
          <w:lang w:val="en-US"/>
        </w:rPr>
        <w:t>.</w:t>
      </w:r>
      <w:r w:rsidR="009B1208">
        <w:rPr>
          <w:rFonts w:ascii="Times New Roman" w:hAnsi="Times New Roman" w:cs="Times New Roman"/>
          <w:sz w:val="24"/>
          <w:szCs w:val="24"/>
          <w:lang w:val="en-US"/>
        </w:rPr>
        <w:t xml:space="preserve"> In the same vein, t</w:t>
      </w:r>
      <w:r>
        <w:rPr>
          <w:rFonts w:ascii="Times New Roman" w:hAnsi="Times New Roman" w:cs="Times New Roman"/>
          <w:sz w:val="24"/>
          <w:szCs w:val="24"/>
          <w:lang w:val="en-US"/>
        </w:rPr>
        <w:t xml:space="preserve">he respondent formed the opinion that both the treatment and charge at cost were abnormal. The opinion was premised on the </w:t>
      </w:r>
      <w:r w:rsidR="00072265">
        <w:rPr>
          <w:rFonts w:ascii="Times New Roman" w:hAnsi="Times New Roman" w:cs="Times New Roman"/>
          <w:sz w:val="24"/>
          <w:szCs w:val="24"/>
          <w:lang w:val="en-US"/>
        </w:rPr>
        <w:t>irrefutable fact</w:t>
      </w:r>
      <w:r>
        <w:rPr>
          <w:rFonts w:ascii="Times New Roman" w:hAnsi="Times New Roman" w:cs="Times New Roman"/>
          <w:sz w:val="24"/>
          <w:szCs w:val="24"/>
          <w:lang w:val="en-US"/>
        </w:rPr>
        <w:t xml:space="preserve"> that independent parties in the shoes of the appellant would h</w:t>
      </w:r>
      <w:r w:rsidR="005D19E3">
        <w:rPr>
          <w:rFonts w:ascii="Times New Roman" w:hAnsi="Times New Roman" w:cs="Times New Roman"/>
          <w:sz w:val="24"/>
          <w:szCs w:val="24"/>
          <w:lang w:val="en-US"/>
        </w:rPr>
        <w:t>ave rendered the management services</w:t>
      </w:r>
      <w:r>
        <w:rPr>
          <w:rFonts w:ascii="Times New Roman" w:hAnsi="Times New Roman" w:cs="Times New Roman"/>
          <w:sz w:val="24"/>
          <w:szCs w:val="24"/>
          <w:lang w:val="en-US"/>
        </w:rPr>
        <w:t xml:space="preserve"> at a margin. </w:t>
      </w:r>
      <w:r w:rsidR="000D3B87">
        <w:rPr>
          <w:rFonts w:ascii="Times New Roman" w:hAnsi="Times New Roman" w:cs="Times New Roman"/>
          <w:sz w:val="24"/>
          <w:szCs w:val="24"/>
          <w:lang w:val="en-US"/>
        </w:rPr>
        <w:t xml:space="preserve">The appellant </w:t>
      </w:r>
      <w:r w:rsidR="005E68A7">
        <w:rPr>
          <w:rFonts w:ascii="Times New Roman" w:hAnsi="Times New Roman" w:cs="Times New Roman"/>
          <w:sz w:val="24"/>
          <w:szCs w:val="24"/>
          <w:lang w:val="en-US"/>
        </w:rPr>
        <w:t>did not dispute that</w:t>
      </w:r>
      <w:r w:rsidR="00070FF2">
        <w:rPr>
          <w:rFonts w:ascii="Times New Roman" w:hAnsi="Times New Roman" w:cs="Times New Roman"/>
          <w:sz w:val="24"/>
          <w:szCs w:val="24"/>
          <w:lang w:val="en-US"/>
        </w:rPr>
        <w:t xml:space="preserve"> the diversion was abnormal. Rather, it submitted</w:t>
      </w:r>
      <w:r w:rsidR="00E37F73">
        <w:rPr>
          <w:rFonts w:ascii="Times New Roman" w:hAnsi="Times New Roman" w:cs="Times New Roman"/>
          <w:sz w:val="24"/>
          <w:szCs w:val="24"/>
          <w:lang w:val="en-US"/>
        </w:rPr>
        <w:t xml:space="preserve"> </w:t>
      </w:r>
      <w:r w:rsidR="005E68A7">
        <w:rPr>
          <w:rFonts w:ascii="Times New Roman" w:hAnsi="Times New Roman" w:cs="Times New Roman"/>
          <w:sz w:val="24"/>
          <w:szCs w:val="24"/>
          <w:lang w:val="en-US"/>
        </w:rPr>
        <w:t>that charging</w:t>
      </w:r>
      <w:r w:rsidR="00070FF2">
        <w:rPr>
          <w:rFonts w:ascii="Times New Roman" w:hAnsi="Times New Roman" w:cs="Times New Roman"/>
          <w:sz w:val="24"/>
          <w:szCs w:val="24"/>
          <w:lang w:val="en-US"/>
        </w:rPr>
        <w:t xml:space="preserve"> mana</w:t>
      </w:r>
      <w:r w:rsidR="00070FFD">
        <w:rPr>
          <w:rFonts w:ascii="Times New Roman" w:hAnsi="Times New Roman" w:cs="Times New Roman"/>
          <w:sz w:val="24"/>
          <w:szCs w:val="24"/>
          <w:lang w:val="en-US"/>
        </w:rPr>
        <w:t xml:space="preserve">gement fees at cost was normal yet curiously conceded that a mark-up is the </w:t>
      </w:r>
      <w:r w:rsidR="005E68A7">
        <w:rPr>
          <w:rFonts w:ascii="Times New Roman" w:hAnsi="Times New Roman" w:cs="Times New Roman"/>
          <w:sz w:val="24"/>
          <w:szCs w:val="24"/>
          <w:lang w:val="en-US"/>
        </w:rPr>
        <w:t>commonly accepted way of earning</w:t>
      </w:r>
      <w:r w:rsidR="00070FFD">
        <w:rPr>
          <w:rFonts w:ascii="Times New Roman" w:hAnsi="Times New Roman" w:cs="Times New Roman"/>
          <w:sz w:val="24"/>
          <w:szCs w:val="24"/>
          <w:lang w:val="en-US"/>
        </w:rPr>
        <w:t xml:space="preserve"> a return on investm</w:t>
      </w:r>
      <w:r w:rsidR="00FE2F73">
        <w:rPr>
          <w:rFonts w:ascii="Times New Roman" w:hAnsi="Times New Roman" w:cs="Times New Roman"/>
          <w:sz w:val="24"/>
          <w:szCs w:val="24"/>
          <w:lang w:val="en-US"/>
        </w:rPr>
        <w:t>ent</w:t>
      </w:r>
      <w:r w:rsidR="00D10989">
        <w:rPr>
          <w:rFonts w:ascii="Times New Roman" w:hAnsi="Times New Roman" w:cs="Times New Roman"/>
          <w:sz w:val="24"/>
          <w:szCs w:val="24"/>
          <w:lang w:val="en-US"/>
        </w:rPr>
        <w:t xml:space="preserve">. </w:t>
      </w:r>
    </w:p>
    <w:p w:rsidR="009818B1" w:rsidRDefault="009B1208" w:rsidP="00C542BB">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appellant relied</w:t>
      </w:r>
      <w:r w:rsidR="00070FF2">
        <w:rPr>
          <w:rFonts w:ascii="Times New Roman" w:hAnsi="Times New Roman" w:cs="Times New Roman"/>
          <w:sz w:val="24"/>
          <w:szCs w:val="24"/>
          <w:lang w:val="en-US"/>
        </w:rPr>
        <w:t xml:space="preserve"> on the</w:t>
      </w:r>
      <w:r w:rsidR="00E37F73">
        <w:rPr>
          <w:rFonts w:ascii="Times New Roman" w:hAnsi="Times New Roman" w:cs="Times New Roman"/>
          <w:sz w:val="24"/>
          <w:szCs w:val="24"/>
          <w:lang w:val="en-US"/>
        </w:rPr>
        <w:t xml:space="preserve"> OECD TPGs</w:t>
      </w:r>
      <w:r w:rsidR="00421C1C">
        <w:rPr>
          <w:rFonts w:ascii="Times New Roman" w:hAnsi="Times New Roman" w:cs="Times New Roman"/>
          <w:sz w:val="24"/>
          <w:szCs w:val="24"/>
          <w:lang w:val="en-US"/>
        </w:rPr>
        <w:t xml:space="preserve">, which preclude the grossing up of management </w:t>
      </w:r>
      <w:r w:rsidR="00C3468E">
        <w:rPr>
          <w:rFonts w:ascii="Times New Roman" w:hAnsi="Times New Roman" w:cs="Times New Roman"/>
          <w:sz w:val="24"/>
          <w:szCs w:val="24"/>
          <w:lang w:val="en-US"/>
        </w:rPr>
        <w:t>costs</w:t>
      </w:r>
      <w:r w:rsidR="00421C1C">
        <w:rPr>
          <w:rFonts w:ascii="Times New Roman" w:hAnsi="Times New Roman" w:cs="Times New Roman"/>
          <w:sz w:val="24"/>
          <w:szCs w:val="24"/>
          <w:lang w:val="en-US"/>
        </w:rPr>
        <w:t xml:space="preserve">, and the levying of duplicated services’ costs and </w:t>
      </w:r>
      <w:r w:rsidR="00070FF2">
        <w:rPr>
          <w:rFonts w:ascii="Times New Roman" w:hAnsi="Times New Roman" w:cs="Times New Roman"/>
          <w:sz w:val="24"/>
          <w:szCs w:val="24"/>
          <w:lang w:val="en-US"/>
        </w:rPr>
        <w:t>shar</w:t>
      </w:r>
      <w:r w:rsidR="00421C1C">
        <w:rPr>
          <w:rFonts w:ascii="Times New Roman" w:hAnsi="Times New Roman" w:cs="Times New Roman"/>
          <w:sz w:val="24"/>
          <w:szCs w:val="24"/>
          <w:lang w:val="en-US"/>
        </w:rPr>
        <w:t>eholder activity costs</w:t>
      </w:r>
      <w:r w:rsidR="005B4EEB">
        <w:rPr>
          <w:rFonts w:ascii="Times New Roman" w:hAnsi="Times New Roman" w:cs="Times New Roman"/>
          <w:sz w:val="24"/>
          <w:szCs w:val="24"/>
          <w:lang w:val="en-US"/>
        </w:rPr>
        <w:t xml:space="preserve">. The claim for costs for duplicative services and shareholder activities cannot be claimed under the OECD TPGs because they do not create direct commercial and economic benefit to the subsidiary.  </w:t>
      </w:r>
      <w:r w:rsidR="00BF1FED">
        <w:rPr>
          <w:rFonts w:ascii="Times New Roman" w:hAnsi="Times New Roman" w:cs="Times New Roman"/>
          <w:sz w:val="24"/>
          <w:szCs w:val="24"/>
          <w:lang w:val="en-US"/>
        </w:rPr>
        <w:t>However, the flagship claimed and the subsidiaries paid the costs appor</w:t>
      </w:r>
      <w:r w:rsidR="00865D91">
        <w:rPr>
          <w:rFonts w:ascii="Times New Roman" w:hAnsi="Times New Roman" w:cs="Times New Roman"/>
          <w:sz w:val="24"/>
          <w:szCs w:val="24"/>
          <w:lang w:val="en-US"/>
        </w:rPr>
        <w:t>tioned to them, which included</w:t>
      </w:r>
      <w:r w:rsidR="00BF1FED">
        <w:rPr>
          <w:rFonts w:ascii="Times New Roman" w:hAnsi="Times New Roman" w:cs="Times New Roman"/>
          <w:sz w:val="24"/>
          <w:szCs w:val="24"/>
          <w:lang w:val="en-US"/>
        </w:rPr>
        <w:t xml:space="preserve"> shareholder </w:t>
      </w:r>
      <w:r w:rsidR="00865D91">
        <w:rPr>
          <w:rFonts w:ascii="Times New Roman" w:hAnsi="Times New Roman" w:cs="Times New Roman"/>
          <w:sz w:val="24"/>
          <w:szCs w:val="24"/>
          <w:lang w:val="en-US"/>
        </w:rPr>
        <w:t xml:space="preserve">and duplicative </w:t>
      </w:r>
      <w:r>
        <w:rPr>
          <w:rFonts w:ascii="Times New Roman" w:hAnsi="Times New Roman" w:cs="Times New Roman"/>
          <w:sz w:val="24"/>
          <w:szCs w:val="24"/>
          <w:lang w:val="en-US"/>
        </w:rPr>
        <w:t>costs. The balance was</w:t>
      </w:r>
      <w:r w:rsidR="00BF1FED">
        <w:rPr>
          <w:rFonts w:ascii="Times New Roman" w:hAnsi="Times New Roman" w:cs="Times New Roman"/>
          <w:sz w:val="24"/>
          <w:szCs w:val="24"/>
          <w:lang w:val="en-US"/>
        </w:rPr>
        <w:t xml:space="preserve"> apportioned to the flagship. </w:t>
      </w:r>
      <w:r w:rsidR="005B4EEB">
        <w:rPr>
          <w:rFonts w:ascii="Times New Roman" w:hAnsi="Times New Roman" w:cs="Times New Roman"/>
          <w:sz w:val="24"/>
          <w:szCs w:val="24"/>
          <w:lang w:val="en-US"/>
        </w:rPr>
        <w:t>JM</w:t>
      </w:r>
      <w:r w:rsidR="00A44B21">
        <w:rPr>
          <w:rFonts w:ascii="Times New Roman" w:hAnsi="Times New Roman" w:cs="Times New Roman"/>
          <w:sz w:val="24"/>
          <w:szCs w:val="24"/>
          <w:lang w:val="en-US"/>
        </w:rPr>
        <w:t xml:space="preserve"> testified that the flagship </w:t>
      </w:r>
      <w:r w:rsidR="00BF1FED">
        <w:rPr>
          <w:rFonts w:ascii="Times New Roman" w:hAnsi="Times New Roman" w:cs="Times New Roman"/>
          <w:sz w:val="24"/>
          <w:szCs w:val="24"/>
          <w:lang w:val="en-US"/>
        </w:rPr>
        <w:t xml:space="preserve">only </w:t>
      </w:r>
      <w:r w:rsidR="00A44B21">
        <w:rPr>
          <w:rFonts w:ascii="Times New Roman" w:hAnsi="Times New Roman" w:cs="Times New Roman"/>
          <w:sz w:val="24"/>
          <w:szCs w:val="24"/>
          <w:lang w:val="en-US"/>
        </w:rPr>
        <w:t xml:space="preserve">recovered the </w:t>
      </w:r>
      <w:r w:rsidR="00BF1FED">
        <w:rPr>
          <w:rFonts w:ascii="Times New Roman" w:hAnsi="Times New Roman" w:cs="Times New Roman"/>
          <w:sz w:val="24"/>
          <w:szCs w:val="24"/>
          <w:lang w:val="en-US"/>
        </w:rPr>
        <w:t xml:space="preserve">actual </w:t>
      </w:r>
      <w:r w:rsidR="00A44B21">
        <w:rPr>
          <w:rFonts w:ascii="Times New Roman" w:hAnsi="Times New Roman" w:cs="Times New Roman"/>
          <w:sz w:val="24"/>
          <w:szCs w:val="24"/>
          <w:lang w:val="en-US"/>
        </w:rPr>
        <w:t xml:space="preserve">costs expended by the group employees </w:t>
      </w:r>
      <w:r w:rsidR="00BF1FED">
        <w:rPr>
          <w:rFonts w:ascii="Times New Roman" w:hAnsi="Times New Roman" w:cs="Times New Roman"/>
          <w:sz w:val="24"/>
          <w:szCs w:val="24"/>
          <w:lang w:val="en-US"/>
        </w:rPr>
        <w:t xml:space="preserve">without marking them up </w:t>
      </w:r>
      <w:r w:rsidR="00637F21">
        <w:rPr>
          <w:rFonts w:ascii="Times New Roman" w:hAnsi="Times New Roman" w:cs="Times New Roman"/>
          <w:sz w:val="24"/>
          <w:szCs w:val="24"/>
          <w:lang w:val="en-US"/>
        </w:rPr>
        <w:t>because he</w:t>
      </w:r>
      <w:r w:rsidR="00A44B21">
        <w:rPr>
          <w:rFonts w:ascii="Times New Roman" w:hAnsi="Times New Roman" w:cs="Times New Roman"/>
          <w:sz w:val="24"/>
          <w:szCs w:val="24"/>
          <w:lang w:val="en-US"/>
        </w:rPr>
        <w:t xml:space="preserve"> feared that in-country revenue authorities would not have allowed the payment of grossed up fees. His fear</w:t>
      </w:r>
      <w:r w:rsidR="00E4752E">
        <w:rPr>
          <w:rFonts w:ascii="Times New Roman" w:hAnsi="Times New Roman" w:cs="Times New Roman"/>
          <w:sz w:val="24"/>
          <w:szCs w:val="24"/>
          <w:lang w:val="en-US"/>
        </w:rPr>
        <w:t>, which was supported by the purported expert,</w:t>
      </w:r>
      <w:r w:rsidR="00A44B21">
        <w:rPr>
          <w:rFonts w:ascii="Times New Roman" w:hAnsi="Times New Roman" w:cs="Times New Roman"/>
          <w:sz w:val="24"/>
          <w:szCs w:val="24"/>
          <w:lang w:val="en-US"/>
        </w:rPr>
        <w:t xml:space="preserve"> was not supported by any concrete evidence. He produced no evidence to confirm the disallowance by these revenue authorities. </w:t>
      </w:r>
      <w:r w:rsidR="00BF1FED">
        <w:rPr>
          <w:rFonts w:ascii="Times New Roman" w:hAnsi="Times New Roman" w:cs="Times New Roman"/>
          <w:sz w:val="24"/>
          <w:szCs w:val="24"/>
          <w:lang w:val="en-US"/>
        </w:rPr>
        <w:t xml:space="preserve">The </w:t>
      </w:r>
      <w:r w:rsidR="00971C44">
        <w:rPr>
          <w:rFonts w:ascii="Times New Roman" w:hAnsi="Times New Roman" w:cs="Times New Roman"/>
          <w:sz w:val="24"/>
          <w:szCs w:val="24"/>
          <w:lang w:val="en-US"/>
        </w:rPr>
        <w:t>claimed fees were actual paid albeit to the wrong party. The a</w:t>
      </w:r>
      <w:r w:rsidR="00BF1FED">
        <w:rPr>
          <w:rFonts w:ascii="Times New Roman" w:hAnsi="Times New Roman" w:cs="Times New Roman"/>
          <w:sz w:val="24"/>
          <w:szCs w:val="24"/>
          <w:lang w:val="en-US"/>
        </w:rPr>
        <w:t xml:space="preserve">ppellant cannot </w:t>
      </w:r>
      <w:r w:rsidR="00971C44">
        <w:rPr>
          <w:rFonts w:ascii="Times New Roman" w:hAnsi="Times New Roman" w:cs="Times New Roman"/>
          <w:sz w:val="24"/>
          <w:szCs w:val="24"/>
          <w:lang w:val="en-US"/>
        </w:rPr>
        <w:t xml:space="preserve">therefore </w:t>
      </w:r>
      <w:r w:rsidR="00BF1FED">
        <w:rPr>
          <w:rFonts w:ascii="Times New Roman" w:hAnsi="Times New Roman" w:cs="Times New Roman"/>
          <w:sz w:val="24"/>
          <w:szCs w:val="24"/>
          <w:lang w:val="en-US"/>
        </w:rPr>
        <w:t xml:space="preserve">claim the benefit of OECD TPGs after the horse has bolted. </w:t>
      </w:r>
      <w:r w:rsidR="00BC5059">
        <w:rPr>
          <w:rFonts w:ascii="Times New Roman" w:hAnsi="Times New Roman" w:cs="Times New Roman"/>
          <w:sz w:val="24"/>
          <w:szCs w:val="24"/>
          <w:lang w:val="en-US"/>
        </w:rPr>
        <w:t xml:space="preserve"> In any event the management fees accrued to the appellant as the leg</w:t>
      </w:r>
      <w:r w:rsidR="00637F21">
        <w:rPr>
          <w:rFonts w:ascii="Times New Roman" w:hAnsi="Times New Roman" w:cs="Times New Roman"/>
          <w:sz w:val="24"/>
          <w:szCs w:val="24"/>
          <w:lang w:val="en-US"/>
        </w:rPr>
        <w:t>al employer of all head office</w:t>
      </w:r>
      <w:r w:rsidR="009818B1">
        <w:rPr>
          <w:rFonts w:ascii="Times New Roman" w:hAnsi="Times New Roman" w:cs="Times New Roman"/>
          <w:sz w:val="24"/>
          <w:szCs w:val="24"/>
          <w:lang w:val="en-US"/>
        </w:rPr>
        <w:t xml:space="preserve"> personnel</w:t>
      </w:r>
      <w:r w:rsidR="00BC5059">
        <w:rPr>
          <w:rFonts w:ascii="Times New Roman" w:hAnsi="Times New Roman" w:cs="Times New Roman"/>
          <w:sz w:val="24"/>
          <w:szCs w:val="24"/>
          <w:lang w:val="en-US"/>
        </w:rPr>
        <w:t xml:space="preserve">. </w:t>
      </w:r>
      <w:r w:rsidR="009818B1">
        <w:rPr>
          <w:rFonts w:ascii="Times New Roman" w:hAnsi="Times New Roman" w:cs="Times New Roman"/>
          <w:sz w:val="24"/>
          <w:szCs w:val="24"/>
          <w:lang w:val="en-US"/>
        </w:rPr>
        <w:t>I am satisfied that the appellant failed to discharge the onus on it to show on a balance of pro</w:t>
      </w:r>
      <w:r>
        <w:rPr>
          <w:rFonts w:ascii="Times New Roman" w:hAnsi="Times New Roman" w:cs="Times New Roman"/>
          <w:sz w:val="24"/>
          <w:szCs w:val="24"/>
          <w:lang w:val="en-US"/>
        </w:rPr>
        <w:t xml:space="preserve">babilities that </w:t>
      </w:r>
      <w:r w:rsidR="00906FA7">
        <w:rPr>
          <w:rFonts w:ascii="Times New Roman" w:hAnsi="Times New Roman" w:cs="Times New Roman"/>
          <w:sz w:val="24"/>
          <w:szCs w:val="24"/>
          <w:lang w:val="en-US"/>
        </w:rPr>
        <w:t xml:space="preserve">the </w:t>
      </w:r>
      <w:r>
        <w:rPr>
          <w:rFonts w:ascii="Times New Roman" w:hAnsi="Times New Roman" w:cs="Times New Roman"/>
          <w:sz w:val="24"/>
          <w:szCs w:val="24"/>
          <w:lang w:val="en-US"/>
        </w:rPr>
        <w:t>opinion of the C</w:t>
      </w:r>
      <w:r w:rsidR="009818B1">
        <w:rPr>
          <w:rFonts w:ascii="Times New Roman" w:hAnsi="Times New Roman" w:cs="Times New Roman"/>
          <w:sz w:val="24"/>
          <w:szCs w:val="24"/>
          <w:lang w:val="en-US"/>
        </w:rPr>
        <w:t xml:space="preserve">ommissioner that the diversion of income due to the appellant </w:t>
      </w:r>
      <w:r w:rsidR="00BC60E1">
        <w:rPr>
          <w:rFonts w:ascii="Times New Roman" w:hAnsi="Times New Roman" w:cs="Times New Roman"/>
          <w:sz w:val="24"/>
          <w:szCs w:val="24"/>
          <w:lang w:val="en-US"/>
        </w:rPr>
        <w:t xml:space="preserve">to </w:t>
      </w:r>
      <w:r w:rsidR="009818B1">
        <w:rPr>
          <w:rFonts w:ascii="Times New Roman" w:hAnsi="Times New Roman" w:cs="Times New Roman"/>
          <w:sz w:val="24"/>
          <w:szCs w:val="24"/>
          <w:lang w:val="en-US"/>
        </w:rPr>
        <w:t xml:space="preserve">the flagship and the failure to gross up the </w:t>
      </w:r>
      <w:r w:rsidR="009818B1">
        <w:rPr>
          <w:rFonts w:ascii="Times New Roman" w:hAnsi="Times New Roman" w:cs="Times New Roman"/>
          <w:sz w:val="24"/>
          <w:szCs w:val="24"/>
          <w:lang w:val="en-US"/>
        </w:rPr>
        <w:lastRenderedPageBreak/>
        <w:t>management costs incurred by group personnel was either conducted in an ab</w:t>
      </w:r>
      <w:r w:rsidR="00BC60E1">
        <w:rPr>
          <w:rFonts w:ascii="Times New Roman" w:hAnsi="Times New Roman" w:cs="Times New Roman"/>
          <w:sz w:val="24"/>
          <w:szCs w:val="24"/>
          <w:lang w:val="en-US"/>
        </w:rPr>
        <w:t>normal way or created rights or</w:t>
      </w:r>
      <w:r w:rsidR="009818B1">
        <w:rPr>
          <w:rFonts w:ascii="Times New Roman" w:hAnsi="Times New Roman" w:cs="Times New Roman"/>
          <w:sz w:val="24"/>
          <w:szCs w:val="24"/>
          <w:lang w:val="en-US"/>
        </w:rPr>
        <w:t xml:space="preserve"> obligations between them that were abnormal</w:t>
      </w:r>
      <w:r w:rsidR="003D240D">
        <w:rPr>
          <w:rFonts w:ascii="Times New Roman" w:hAnsi="Times New Roman" w:cs="Times New Roman"/>
          <w:sz w:val="24"/>
          <w:szCs w:val="24"/>
          <w:lang w:val="en-US"/>
        </w:rPr>
        <w:t xml:space="preserve"> was wrong</w:t>
      </w:r>
      <w:r w:rsidR="009818B1">
        <w:rPr>
          <w:rFonts w:ascii="Times New Roman" w:hAnsi="Times New Roman" w:cs="Times New Roman"/>
          <w:sz w:val="24"/>
          <w:szCs w:val="24"/>
          <w:lang w:val="en-US"/>
        </w:rPr>
        <w:t>.</w:t>
      </w:r>
    </w:p>
    <w:p w:rsidR="00087A34" w:rsidRDefault="00FF1BCD" w:rsidP="00C542BB">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Thus even if the OECD TPGs were applicable, t</w:t>
      </w:r>
      <w:r w:rsidR="00BC5059">
        <w:rPr>
          <w:rFonts w:ascii="Times New Roman" w:hAnsi="Times New Roman" w:cs="Times New Roman"/>
          <w:sz w:val="24"/>
          <w:szCs w:val="24"/>
          <w:lang w:val="en-US"/>
        </w:rPr>
        <w:t xml:space="preserve">he appellant </w:t>
      </w:r>
      <w:r>
        <w:rPr>
          <w:rFonts w:ascii="Times New Roman" w:hAnsi="Times New Roman" w:cs="Times New Roman"/>
          <w:sz w:val="24"/>
          <w:szCs w:val="24"/>
          <w:lang w:val="en-US"/>
        </w:rPr>
        <w:t xml:space="preserve">would have </w:t>
      </w:r>
      <w:r w:rsidR="00BC5059">
        <w:rPr>
          <w:rFonts w:ascii="Times New Roman" w:hAnsi="Times New Roman" w:cs="Times New Roman"/>
          <w:sz w:val="24"/>
          <w:szCs w:val="24"/>
          <w:lang w:val="en-US"/>
        </w:rPr>
        <w:t>failed to discharge the onus on it to show on a balance of probabilities that the purported duplicative and shareholding services did not create any direct commercial or economic benefits for all the subsidiaries in light of the avowed intention of the appellant to improve efficiency and promote gr</w:t>
      </w:r>
      <w:r w:rsidR="00087A34">
        <w:rPr>
          <w:rFonts w:ascii="Times New Roman" w:hAnsi="Times New Roman" w:cs="Times New Roman"/>
          <w:sz w:val="24"/>
          <w:szCs w:val="24"/>
          <w:lang w:val="en-US"/>
        </w:rPr>
        <w:t xml:space="preserve">owth within the subsidiaries. </w:t>
      </w:r>
    </w:p>
    <w:p w:rsidR="00BF1FED" w:rsidRDefault="00087A34" w:rsidP="00C542BB">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appellant</w:t>
      </w:r>
      <w:r w:rsidR="00BC5059">
        <w:rPr>
          <w:rFonts w:ascii="Times New Roman" w:hAnsi="Times New Roman" w:cs="Times New Roman"/>
          <w:sz w:val="24"/>
          <w:szCs w:val="24"/>
          <w:lang w:val="en-US"/>
        </w:rPr>
        <w:t xml:space="preserve"> was also entitled to receive management fees from the flagship, as the flagship was the chief beneficiary of the management services rendered by the Group personnel. The inclusion of the apportionment of the flagship in the computation of market related management fees </w:t>
      </w:r>
      <w:r w:rsidR="00BD39B3">
        <w:rPr>
          <w:rFonts w:ascii="Times New Roman" w:hAnsi="Times New Roman" w:cs="Times New Roman"/>
          <w:sz w:val="24"/>
          <w:szCs w:val="24"/>
          <w:lang w:val="en-US"/>
        </w:rPr>
        <w:t xml:space="preserve">that were </w:t>
      </w:r>
      <w:r w:rsidR="00DB7E36">
        <w:rPr>
          <w:rFonts w:ascii="Times New Roman" w:hAnsi="Times New Roman" w:cs="Times New Roman"/>
          <w:sz w:val="24"/>
          <w:szCs w:val="24"/>
          <w:lang w:val="en-US"/>
        </w:rPr>
        <w:t xml:space="preserve">re-positioned to the appellant </w:t>
      </w:r>
      <w:r w:rsidR="00BC5059">
        <w:rPr>
          <w:rFonts w:ascii="Times New Roman" w:hAnsi="Times New Roman" w:cs="Times New Roman"/>
          <w:sz w:val="24"/>
          <w:szCs w:val="24"/>
          <w:lang w:val="en-US"/>
        </w:rPr>
        <w:t>w</w:t>
      </w:r>
      <w:r w:rsidR="00DB7E36">
        <w:rPr>
          <w:rFonts w:ascii="Times New Roman" w:hAnsi="Times New Roman" w:cs="Times New Roman"/>
          <w:sz w:val="24"/>
          <w:szCs w:val="24"/>
          <w:lang w:val="en-US"/>
        </w:rPr>
        <w:t>as therefore</w:t>
      </w:r>
      <w:r w:rsidR="00BC5059">
        <w:rPr>
          <w:rFonts w:ascii="Times New Roman" w:hAnsi="Times New Roman" w:cs="Times New Roman"/>
          <w:sz w:val="24"/>
          <w:szCs w:val="24"/>
          <w:lang w:val="en-US"/>
        </w:rPr>
        <w:t xml:space="preserve"> appropriate. </w:t>
      </w:r>
    </w:p>
    <w:p w:rsidR="00C82BC4" w:rsidRDefault="00C82BC4" w:rsidP="00C542BB">
      <w:pPr>
        <w:autoSpaceDE w:val="0"/>
        <w:autoSpaceDN w:val="0"/>
        <w:adjustRightInd w:val="0"/>
        <w:spacing w:after="0" w:line="360" w:lineRule="auto"/>
        <w:jc w:val="both"/>
        <w:rPr>
          <w:rFonts w:ascii="Times New Roman" w:hAnsi="Times New Roman" w:cs="Times New Roman"/>
          <w:sz w:val="24"/>
          <w:szCs w:val="24"/>
          <w:lang w:val="en-US"/>
        </w:rPr>
      </w:pPr>
    </w:p>
    <w:p w:rsidR="00C82BC4" w:rsidRPr="00C542BB" w:rsidRDefault="00C82BC4" w:rsidP="00C542BB">
      <w:pPr>
        <w:autoSpaceDE w:val="0"/>
        <w:autoSpaceDN w:val="0"/>
        <w:adjustRightInd w:val="0"/>
        <w:spacing w:after="0" w:line="360" w:lineRule="auto"/>
        <w:jc w:val="both"/>
        <w:rPr>
          <w:rFonts w:ascii="Times New Roman" w:hAnsi="Times New Roman" w:cs="Times New Roman"/>
          <w:i/>
          <w:sz w:val="24"/>
          <w:szCs w:val="24"/>
          <w:lang w:val="en-US"/>
        </w:rPr>
      </w:pPr>
      <w:r w:rsidRPr="00ED4E63">
        <w:rPr>
          <w:rFonts w:ascii="Times New Roman" w:hAnsi="Times New Roman" w:cs="Times New Roman"/>
          <w:i/>
          <w:sz w:val="24"/>
          <w:szCs w:val="24"/>
          <w:lang w:val="en-US"/>
        </w:rPr>
        <w:t>The further opinion that the avoidance, postponement or reduction of tax liability was the sole purpose or one of main purposes of the TOS</w:t>
      </w:r>
    </w:p>
    <w:p w:rsidR="00C82BC4" w:rsidRDefault="00C82BC4" w:rsidP="00C542BB">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appellant denied ever diverting income to the flagship. It did not countenance the possibility that the Court would find that it did. It therefore did not address the point.  At the very least I find against it that one of the main purposes of the diversion scheme was to avoid or reduce the tax liability of the appellant.</w:t>
      </w:r>
    </w:p>
    <w:p w:rsidR="000350D9" w:rsidRDefault="000350D9" w:rsidP="00C542BB">
      <w:pPr>
        <w:autoSpaceDE w:val="0"/>
        <w:autoSpaceDN w:val="0"/>
        <w:adjustRightInd w:val="0"/>
        <w:spacing w:after="0" w:line="360" w:lineRule="auto"/>
        <w:jc w:val="both"/>
        <w:rPr>
          <w:rFonts w:ascii="Times New Roman" w:hAnsi="Times New Roman" w:cs="Times New Roman"/>
          <w:sz w:val="24"/>
          <w:szCs w:val="24"/>
          <w:lang w:val="en-US"/>
        </w:rPr>
      </w:pPr>
    </w:p>
    <w:p w:rsidR="000350D9" w:rsidRPr="000350D9" w:rsidRDefault="000350D9" w:rsidP="00C542BB">
      <w:pPr>
        <w:autoSpaceDE w:val="0"/>
        <w:autoSpaceDN w:val="0"/>
        <w:adjustRightInd w:val="0"/>
        <w:spacing w:after="0" w:line="360" w:lineRule="auto"/>
        <w:jc w:val="both"/>
        <w:rPr>
          <w:rFonts w:ascii="Times New Roman" w:hAnsi="Times New Roman" w:cs="Times New Roman"/>
          <w:i/>
          <w:sz w:val="24"/>
          <w:szCs w:val="24"/>
          <w:lang w:val="en-US"/>
        </w:rPr>
      </w:pPr>
      <w:r w:rsidRPr="000350D9">
        <w:rPr>
          <w:rFonts w:ascii="Times New Roman" w:hAnsi="Times New Roman" w:cs="Times New Roman"/>
          <w:i/>
          <w:sz w:val="24"/>
          <w:szCs w:val="24"/>
          <w:lang w:val="en-US"/>
        </w:rPr>
        <w:t>Whether the mark-up was justified</w:t>
      </w:r>
    </w:p>
    <w:p w:rsidR="008C1E62" w:rsidRDefault="000350D9" w:rsidP="00C542BB">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respondent imposed a mark-up of 25% based on the average profit before tax of the appellant’s reconstituted financial statements. The closing words of s 98 give the Commissioner a wide discretion in extirpating the avoidance or reduction. The appellant contended that the method was fundamentally flawed. The Commissioner simply imposed a</w:t>
      </w:r>
      <w:r w:rsidR="00906FA7">
        <w:rPr>
          <w:rFonts w:ascii="Times New Roman" w:hAnsi="Times New Roman" w:cs="Times New Roman"/>
          <w:sz w:val="24"/>
          <w:szCs w:val="24"/>
          <w:lang w:val="en-US"/>
        </w:rPr>
        <w:t xml:space="preserve"> blanket mark-up on the total head office</w:t>
      </w:r>
      <w:r>
        <w:rPr>
          <w:rFonts w:ascii="Times New Roman" w:hAnsi="Times New Roman" w:cs="Times New Roman"/>
          <w:sz w:val="24"/>
          <w:szCs w:val="24"/>
          <w:lang w:val="en-US"/>
        </w:rPr>
        <w:t xml:space="preserve"> costs, which included the costs that would have been incurred by the appellant, which was contrary to the OECD TPGs. </w:t>
      </w:r>
      <w:r w:rsidR="008C1E62">
        <w:rPr>
          <w:rFonts w:ascii="Times New Roman" w:hAnsi="Times New Roman" w:cs="Times New Roman"/>
          <w:sz w:val="24"/>
          <w:szCs w:val="24"/>
          <w:lang w:val="en-US"/>
        </w:rPr>
        <w:t>The appellant relied on exh 11, compiled by the purported expert, which consists of three tables of the computation of management fees. The first shows that the management fees charged by the flagship were 58%, 33%, 27% and 60% higher in each respective tax year, than they should have been under the OECD TPG formula. The second showed that in comparison to those due under the OEC</w:t>
      </w:r>
      <w:r w:rsidR="00906FA7">
        <w:rPr>
          <w:rFonts w:ascii="Times New Roman" w:hAnsi="Times New Roman" w:cs="Times New Roman"/>
          <w:sz w:val="24"/>
          <w:szCs w:val="24"/>
          <w:lang w:val="en-US"/>
        </w:rPr>
        <w:t>D TPGs, the fees imputed to</w:t>
      </w:r>
      <w:r w:rsidR="008C1E62">
        <w:rPr>
          <w:rFonts w:ascii="Times New Roman" w:hAnsi="Times New Roman" w:cs="Times New Roman"/>
          <w:sz w:val="24"/>
          <w:szCs w:val="24"/>
          <w:lang w:val="en-US"/>
        </w:rPr>
        <w:t xml:space="preserve"> the appellant by the respondent were higher than they should have been had they been imposed on the flagship by 67%, 145%, 129% and 71% in each of the respective tax years. The last showed the total costs attributable to the subsidiaries, exclusive </w:t>
      </w:r>
      <w:r w:rsidR="008C1E62">
        <w:rPr>
          <w:rFonts w:ascii="Times New Roman" w:hAnsi="Times New Roman" w:cs="Times New Roman"/>
          <w:sz w:val="24"/>
          <w:szCs w:val="24"/>
          <w:lang w:val="en-US"/>
        </w:rPr>
        <w:lastRenderedPageBreak/>
        <w:t>of the flagship</w:t>
      </w:r>
      <w:r w:rsidR="00906FA7">
        <w:rPr>
          <w:rFonts w:ascii="Times New Roman" w:hAnsi="Times New Roman" w:cs="Times New Roman"/>
          <w:sz w:val="24"/>
          <w:szCs w:val="24"/>
          <w:lang w:val="en-US"/>
        </w:rPr>
        <w:t xml:space="preserve"> after deducting from the total head office</w:t>
      </w:r>
      <w:r w:rsidR="008C1E62">
        <w:rPr>
          <w:rFonts w:ascii="Times New Roman" w:hAnsi="Times New Roman" w:cs="Times New Roman"/>
          <w:sz w:val="24"/>
          <w:szCs w:val="24"/>
          <w:lang w:val="en-US"/>
        </w:rPr>
        <w:t xml:space="preserve"> costs</w:t>
      </w:r>
      <w:r w:rsidR="00906FA7">
        <w:rPr>
          <w:rFonts w:ascii="Times New Roman" w:hAnsi="Times New Roman" w:cs="Times New Roman"/>
          <w:sz w:val="24"/>
          <w:szCs w:val="24"/>
          <w:lang w:val="en-US"/>
        </w:rPr>
        <w:t>,</w:t>
      </w:r>
      <w:r w:rsidR="008C1E62">
        <w:rPr>
          <w:rFonts w:ascii="Times New Roman" w:hAnsi="Times New Roman" w:cs="Times New Roman"/>
          <w:sz w:val="24"/>
          <w:szCs w:val="24"/>
          <w:lang w:val="en-US"/>
        </w:rPr>
        <w:t xml:space="preserve"> the costs pertaining to the flagship and shareholder costs.  The tabl</w:t>
      </w:r>
      <w:r w:rsidR="00427932">
        <w:rPr>
          <w:rFonts w:ascii="Times New Roman" w:hAnsi="Times New Roman" w:cs="Times New Roman"/>
          <w:sz w:val="24"/>
          <w:szCs w:val="24"/>
          <w:lang w:val="en-US"/>
        </w:rPr>
        <w:t xml:space="preserve">es attempted to show that the notional base amount upon which the respondent imposed the mark-up was too high, such that it produced an inequitable result. </w:t>
      </w:r>
      <w:r w:rsidR="008C1E62">
        <w:rPr>
          <w:rFonts w:ascii="Times New Roman" w:hAnsi="Times New Roman" w:cs="Times New Roman"/>
          <w:sz w:val="24"/>
          <w:szCs w:val="24"/>
          <w:lang w:val="en-US"/>
        </w:rPr>
        <w:t xml:space="preserve">  </w:t>
      </w:r>
    </w:p>
    <w:p w:rsidR="000350D9" w:rsidRDefault="000350D9" w:rsidP="00AE6F05">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 dismiss the contentions of the appellant for the following reasons. </w:t>
      </w:r>
      <w:r w:rsidR="00BE62C7">
        <w:rPr>
          <w:rFonts w:ascii="Times New Roman" w:hAnsi="Times New Roman" w:cs="Times New Roman"/>
          <w:sz w:val="24"/>
          <w:szCs w:val="24"/>
          <w:lang w:val="en-US"/>
        </w:rPr>
        <w:t>Firstly, the appellant deliberately ignores the purpose of the computation of the notional tax due from the miscreant taxpayer. It is to either correct the avoidance or reduction of its tax liability or to impose the appropriate notional tax.</w:t>
      </w:r>
    </w:p>
    <w:p w:rsidR="00BE62C7" w:rsidRDefault="00BE62C7" w:rsidP="00AE6F05">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my </w:t>
      </w:r>
      <w:r w:rsidR="004A0351">
        <w:rPr>
          <w:rFonts w:ascii="Times New Roman" w:hAnsi="Times New Roman" w:cs="Times New Roman"/>
          <w:sz w:val="24"/>
          <w:szCs w:val="24"/>
          <w:lang w:val="en-US"/>
        </w:rPr>
        <w:t xml:space="preserve">judgment, in view of the provisions of s 143 (5), s 144 (1) and s 145 (1) of the Companies Act, </w:t>
      </w:r>
      <w:r w:rsidR="004A0351" w:rsidRPr="004A0351">
        <w:rPr>
          <w:rFonts w:ascii="Times New Roman" w:hAnsi="Times New Roman" w:cs="Times New Roman"/>
          <w:i/>
          <w:sz w:val="24"/>
          <w:szCs w:val="24"/>
          <w:lang w:val="en-US"/>
        </w:rPr>
        <w:t>supra,</w:t>
      </w:r>
      <w:r w:rsidR="004A0351">
        <w:rPr>
          <w:rFonts w:ascii="Times New Roman" w:hAnsi="Times New Roman" w:cs="Times New Roman"/>
          <w:sz w:val="24"/>
          <w:szCs w:val="24"/>
          <w:lang w:val="en-US"/>
        </w:rPr>
        <w:t xml:space="preserve"> I hold the appellant to be</w:t>
      </w:r>
      <w:r>
        <w:rPr>
          <w:rFonts w:ascii="Times New Roman" w:hAnsi="Times New Roman" w:cs="Times New Roman"/>
          <w:sz w:val="24"/>
          <w:szCs w:val="24"/>
          <w:lang w:val="en-US"/>
        </w:rPr>
        <w:t xml:space="preserve"> synonymous with the Group. The Group achieved a profit before tax of 25% through the efforts of the group employees. The growth and profitability of the Group was the predominant responsibility of the appellant. T</w:t>
      </w:r>
      <w:r w:rsidR="00613281">
        <w:rPr>
          <w:rFonts w:ascii="Times New Roman" w:hAnsi="Times New Roman" w:cs="Times New Roman"/>
          <w:sz w:val="24"/>
          <w:szCs w:val="24"/>
          <w:lang w:val="en-US"/>
        </w:rPr>
        <w:t>he C</w:t>
      </w:r>
      <w:r>
        <w:rPr>
          <w:rFonts w:ascii="Times New Roman" w:hAnsi="Times New Roman" w:cs="Times New Roman"/>
          <w:sz w:val="24"/>
          <w:szCs w:val="24"/>
          <w:lang w:val="en-US"/>
        </w:rPr>
        <w:t>ommissioner was therefore entitled to use the average gross profit of the Group to mark-up the management fees. The Group itself was cla</w:t>
      </w:r>
      <w:r w:rsidR="00906FA7">
        <w:rPr>
          <w:rFonts w:ascii="Times New Roman" w:hAnsi="Times New Roman" w:cs="Times New Roman"/>
          <w:sz w:val="24"/>
          <w:szCs w:val="24"/>
          <w:lang w:val="en-US"/>
        </w:rPr>
        <w:t>iming management fees for all head office</w:t>
      </w:r>
      <w:r>
        <w:rPr>
          <w:rFonts w:ascii="Times New Roman" w:hAnsi="Times New Roman" w:cs="Times New Roman"/>
          <w:sz w:val="24"/>
          <w:szCs w:val="24"/>
          <w:lang w:val="en-US"/>
        </w:rPr>
        <w:t xml:space="preserve"> costs including the OECD </w:t>
      </w:r>
      <w:r w:rsidR="008143FF">
        <w:rPr>
          <w:rFonts w:ascii="Times New Roman" w:hAnsi="Times New Roman" w:cs="Times New Roman"/>
          <w:sz w:val="24"/>
          <w:szCs w:val="24"/>
          <w:lang w:val="en-US"/>
        </w:rPr>
        <w:t>TPGs shareholder</w:t>
      </w:r>
      <w:r>
        <w:rPr>
          <w:rFonts w:ascii="Times New Roman" w:hAnsi="Times New Roman" w:cs="Times New Roman"/>
          <w:sz w:val="24"/>
          <w:szCs w:val="24"/>
          <w:lang w:val="en-US"/>
        </w:rPr>
        <w:t xml:space="preserve"> activities. The Commissioner in the exercise of his </w:t>
      </w:r>
      <w:r w:rsidR="00D10989">
        <w:rPr>
          <w:rFonts w:ascii="Times New Roman" w:hAnsi="Times New Roman" w:cs="Times New Roman"/>
          <w:sz w:val="24"/>
          <w:szCs w:val="24"/>
          <w:lang w:val="en-US"/>
        </w:rPr>
        <w:t xml:space="preserve">extraordinary powers and </w:t>
      </w:r>
      <w:r>
        <w:rPr>
          <w:rFonts w:ascii="Times New Roman" w:hAnsi="Times New Roman" w:cs="Times New Roman"/>
          <w:sz w:val="24"/>
          <w:szCs w:val="24"/>
          <w:lang w:val="en-US"/>
        </w:rPr>
        <w:t xml:space="preserve">untrammeled discretion correctly </w:t>
      </w:r>
      <w:r w:rsidR="00D10989">
        <w:rPr>
          <w:rFonts w:ascii="Times New Roman" w:hAnsi="Times New Roman" w:cs="Times New Roman"/>
          <w:sz w:val="24"/>
          <w:szCs w:val="24"/>
          <w:lang w:val="en-US"/>
        </w:rPr>
        <w:t>utilized</w:t>
      </w:r>
      <w:r>
        <w:rPr>
          <w:rFonts w:ascii="Times New Roman" w:hAnsi="Times New Roman" w:cs="Times New Roman"/>
          <w:sz w:val="24"/>
          <w:szCs w:val="24"/>
          <w:lang w:val="en-US"/>
        </w:rPr>
        <w:t xml:space="preserve"> the formula used by the appellant to claim management fees </w:t>
      </w:r>
      <w:r w:rsidR="00613281">
        <w:rPr>
          <w:rFonts w:ascii="Times New Roman" w:hAnsi="Times New Roman" w:cs="Times New Roman"/>
          <w:sz w:val="24"/>
          <w:szCs w:val="24"/>
          <w:lang w:val="en-US"/>
        </w:rPr>
        <w:t xml:space="preserve">that accrued to the appellant at the mark-up she used </w:t>
      </w:r>
      <w:r>
        <w:rPr>
          <w:rFonts w:ascii="Times New Roman" w:hAnsi="Times New Roman" w:cs="Times New Roman"/>
          <w:sz w:val="24"/>
          <w:szCs w:val="24"/>
          <w:lang w:val="en-US"/>
        </w:rPr>
        <w:t xml:space="preserve">in order for her to either collect the correct amount or disgorge the appellant of the illicit benefit. I, therefore find that the appellant failed to show on a balance of probabilities that the Commissioner’s </w:t>
      </w:r>
      <w:r w:rsidRPr="00D10989">
        <w:rPr>
          <w:rFonts w:ascii="Times New Roman" w:hAnsi="Times New Roman" w:cs="Times New Roman"/>
          <w:i/>
          <w:sz w:val="24"/>
          <w:szCs w:val="24"/>
          <w:lang w:val="en-US"/>
        </w:rPr>
        <w:t xml:space="preserve">quantum </w:t>
      </w:r>
      <w:r>
        <w:rPr>
          <w:rFonts w:ascii="Times New Roman" w:hAnsi="Times New Roman" w:cs="Times New Roman"/>
          <w:sz w:val="24"/>
          <w:szCs w:val="24"/>
          <w:lang w:val="en-US"/>
        </w:rPr>
        <w:t>of the tax liability was erroneous.</w:t>
      </w:r>
    </w:p>
    <w:p w:rsidR="00D10989" w:rsidRDefault="00D10989" w:rsidP="00C542BB">
      <w:pPr>
        <w:autoSpaceDE w:val="0"/>
        <w:autoSpaceDN w:val="0"/>
        <w:adjustRightInd w:val="0"/>
        <w:spacing w:after="0" w:line="360" w:lineRule="auto"/>
        <w:jc w:val="both"/>
        <w:rPr>
          <w:rFonts w:ascii="Times New Roman" w:hAnsi="Times New Roman" w:cs="Times New Roman"/>
          <w:sz w:val="24"/>
          <w:szCs w:val="24"/>
          <w:lang w:val="en-US"/>
        </w:rPr>
      </w:pPr>
    </w:p>
    <w:p w:rsidR="009A403C" w:rsidRPr="00E91CE8" w:rsidRDefault="00E91CE8" w:rsidP="00C542BB">
      <w:pPr>
        <w:spacing w:after="0" w:line="360" w:lineRule="auto"/>
        <w:jc w:val="both"/>
        <w:rPr>
          <w:rFonts w:ascii="Times New Roman" w:hAnsi="Times New Roman" w:cs="Times New Roman"/>
          <w:sz w:val="24"/>
          <w:szCs w:val="24"/>
          <w:u w:val="single"/>
        </w:rPr>
      </w:pPr>
      <w:r w:rsidRPr="00E91CE8">
        <w:rPr>
          <w:rFonts w:ascii="Times New Roman" w:hAnsi="Times New Roman" w:cs="Times New Roman"/>
          <w:sz w:val="24"/>
          <w:szCs w:val="24"/>
          <w:u w:val="single"/>
        </w:rPr>
        <w:t>Royalties</w:t>
      </w:r>
    </w:p>
    <w:p w:rsidR="009A403C" w:rsidRPr="00DC64C1" w:rsidRDefault="009A403C" w:rsidP="00C542BB">
      <w:pPr>
        <w:spacing w:after="0" w:line="360" w:lineRule="auto"/>
        <w:jc w:val="both"/>
        <w:rPr>
          <w:rFonts w:ascii="Times New Roman" w:hAnsi="Times New Roman" w:cs="Times New Roman"/>
          <w:i/>
          <w:sz w:val="24"/>
          <w:szCs w:val="24"/>
        </w:rPr>
      </w:pPr>
      <w:r w:rsidRPr="00DC64C1">
        <w:rPr>
          <w:rFonts w:ascii="Times New Roman" w:hAnsi="Times New Roman" w:cs="Times New Roman"/>
          <w:i/>
          <w:sz w:val="24"/>
          <w:szCs w:val="24"/>
        </w:rPr>
        <w:t>Whether or not there was a transaction, operation or scheme and whether such transaction, operation or scheme had the effect of avoiding or reducing tax and was abnormal in the sense prescribed under s 98 of the Act.</w:t>
      </w:r>
    </w:p>
    <w:p w:rsidR="00F146B3" w:rsidRDefault="009A403C" w:rsidP="00D31F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TOS in respect of royalties arose from the purported assignment of the five trademarks in question firstly from the appellant </w:t>
      </w:r>
      <w:r w:rsidR="000821E1">
        <w:rPr>
          <w:rFonts w:ascii="Times New Roman" w:hAnsi="Times New Roman" w:cs="Times New Roman"/>
          <w:sz w:val="24"/>
          <w:szCs w:val="24"/>
        </w:rPr>
        <w:t xml:space="preserve">to the flagship </w:t>
      </w:r>
      <w:r>
        <w:rPr>
          <w:rFonts w:ascii="Times New Roman" w:hAnsi="Times New Roman" w:cs="Times New Roman"/>
          <w:sz w:val="24"/>
          <w:szCs w:val="24"/>
        </w:rPr>
        <w:t xml:space="preserve">and then </w:t>
      </w:r>
      <w:r w:rsidR="000821E1">
        <w:rPr>
          <w:rFonts w:ascii="Times New Roman" w:hAnsi="Times New Roman" w:cs="Times New Roman"/>
          <w:sz w:val="24"/>
          <w:szCs w:val="24"/>
        </w:rPr>
        <w:t>from the flagship to</w:t>
      </w:r>
      <w:r w:rsidR="0091712A">
        <w:rPr>
          <w:rFonts w:ascii="Times New Roman" w:hAnsi="Times New Roman" w:cs="Times New Roman"/>
          <w:sz w:val="24"/>
          <w:szCs w:val="24"/>
        </w:rPr>
        <w:t xml:space="preserve"> SCI on the same day, </w:t>
      </w:r>
      <w:r w:rsidR="000821E1">
        <w:rPr>
          <w:rFonts w:ascii="Times New Roman" w:hAnsi="Times New Roman" w:cs="Times New Roman"/>
          <w:sz w:val="24"/>
          <w:szCs w:val="24"/>
        </w:rPr>
        <w:t xml:space="preserve">1 April 2005. </w:t>
      </w:r>
      <w:r w:rsidR="0091712A">
        <w:rPr>
          <w:rFonts w:ascii="Times New Roman" w:hAnsi="Times New Roman" w:cs="Times New Roman"/>
          <w:sz w:val="24"/>
          <w:szCs w:val="24"/>
        </w:rPr>
        <w:t>JM represented the assignor and assignee in the first assignment and the assignor in the second in which the country manager represented the assignee.</w:t>
      </w:r>
      <w:r w:rsidR="007F33DC">
        <w:rPr>
          <w:rFonts w:ascii="Times New Roman" w:hAnsi="Times New Roman" w:cs="Times New Roman"/>
          <w:sz w:val="24"/>
          <w:szCs w:val="24"/>
        </w:rPr>
        <w:t xml:space="preserve"> Until the case manager established </w:t>
      </w:r>
      <w:r w:rsidR="00033669">
        <w:rPr>
          <w:rFonts w:ascii="Times New Roman" w:hAnsi="Times New Roman" w:cs="Times New Roman"/>
          <w:sz w:val="24"/>
          <w:szCs w:val="24"/>
        </w:rPr>
        <w:t xml:space="preserve">by third party verification with the Zimbabwe </w:t>
      </w:r>
      <w:r w:rsidR="00033669">
        <w:rPr>
          <w:rFonts w:ascii="Times New Roman" w:hAnsi="Times New Roman" w:cs="Times New Roman"/>
          <w:sz w:val="24"/>
          <w:szCs w:val="24"/>
        </w:rPr>
        <w:lastRenderedPageBreak/>
        <w:t xml:space="preserve">Trademarks Office </w:t>
      </w:r>
      <w:r w:rsidR="007F33DC">
        <w:rPr>
          <w:rFonts w:ascii="Times New Roman" w:hAnsi="Times New Roman" w:cs="Times New Roman"/>
          <w:sz w:val="24"/>
          <w:szCs w:val="24"/>
        </w:rPr>
        <w:t xml:space="preserve">that the </w:t>
      </w:r>
      <w:r w:rsidR="00033669">
        <w:rPr>
          <w:rFonts w:ascii="Times New Roman" w:hAnsi="Times New Roman" w:cs="Times New Roman"/>
          <w:sz w:val="24"/>
          <w:szCs w:val="24"/>
        </w:rPr>
        <w:t>appellant had never legally relinquished ownership</w:t>
      </w:r>
      <w:r w:rsidR="000A6B59">
        <w:rPr>
          <w:rStyle w:val="FootnoteReference"/>
          <w:rFonts w:ascii="Times New Roman" w:hAnsi="Times New Roman" w:cs="Times New Roman"/>
          <w:sz w:val="24"/>
          <w:szCs w:val="24"/>
        </w:rPr>
        <w:footnoteReference w:id="22"/>
      </w:r>
      <w:r w:rsidR="007F33DC">
        <w:rPr>
          <w:rFonts w:ascii="Times New Roman" w:hAnsi="Times New Roman" w:cs="Times New Roman"/>
          <w:sz w:val="24"/>
          <w:szCs w:val="24"/>
        </w:rPr>
        <w:t>, the appellant had maintained that they were owned</w:t>
      </w:r>
      <w:r w:rsidR="00DC2DF3">
        <w:rPr>
          <w:rStyle w:val="FootnoteReference"/>
          <w:rFonts w:ascii="Times New Roman" w:hAnsi="Times New Roman" w:cs="Times New Roman"/>
          <w:sz w:val="24"/>
          <w:szCs w:val="24"/>
        </w:rPr>
        <w:footnoteReference w:id="23"/>
      </w:r>
      <w:r w:rsidR="007F33DC">
        <w:rPr>
          <w:rFonts w:ascii="Times New Roman" w:hAnsi="Times New Roman" w:cs="Times New Roman"/>
          <w:sz w:val="24"/>
          <w:szCs w:val="24"/>
        </w:rPr>
        <w:t xml:space="preserve"> by SCI. </w:t>
      </w:r>
      <w:r w:rsidR="0091712A">
        <w:rPr>
          <w:rFonts w:ascii="Times New Roman" w:hAnsi="Times New Roman" w:cs="Times New Roman"/>
          <w:sz w:val="24"/>
          <w:szCs w:val="24"/>
        </w:rPr>
        <w:t xml:space="preserve"> </w:t>
      </w:r>
      <w:r w:rsidR="005A39D0">
        <w:rPr>
          <w:rFonts w:ascii="Times New Roman" w:hAnsi="Times New Roman" w:cs="Times New Roman"/>
          <w:sz w:val="24"/>
          <w:szCs w:val="24"/>
        </w:rPr>
        <w:t xml:space="preserve"> </w:t>
      </w:r>
      <w:r w:rsidR="00CE431E">
        <w:rPr>
          <w:rFonts w:ascii="Times New Roman" w:hAnsi="Times New Roman" w:cs="Times New Roman"/>
          <w:sz w:val="24"/>
          <w:szCs w:val="24"/>
        </w:rPr>
        <w:t>By virtue of ss 26, 28, 29 and 30 of the T</w:t>
      </w:r>
      <w:r w:rsidR="005E33B9">
        <w:rPr>
          <w:rFonts w:ascii="Times New Roman" w:hAnsi="Times New Roman" w:cs="Times New Roman"/>
          <w:sz w:val="24"/>
          <w:szCs w:val="24"/>
        </w:rPr>
        <w:t>rade Marks Act, these trademark</w:t>
      </w:r>
      <w:r w:rsidR="00DC414B">
        <w:rPr>
          <w:rFonts w:ascii="Times New Roman" w:hAnsi="Times New Roman" w:cs="Times New Roman"/>
          <w:sz w:val="24"/>
          <w:szCs w:val="24"/>
        </w:rPr>
        <w:t>s</w:t>
      </w:r>
      <w:r w:rsidR="00CE431E">
        <w:rPr>
          <w:rFonts w:ascii="Times New Roman" w:hAnsi="Times New Roman" w:cs="Times New Roman"/>
          <w:sz w:val="24"/>
          <w:szCs w:val="24"/>
        </w:rPr>
        <w:t xml:space="preserve"> are irrevocably owned by the appellant and protected from use by any competitor</w:t>
      </w:r>
      <w:r w:rsidR="00DC414B">
        <w:rPr>
          <w:rFonts w:ascii="Times New Roman" w:hAnsi="Times New Roman" w:cs="Times New Roman"/>
          <w:sz w:val="24"/>
          <w:szCs w:val="24"/>
        </w:rPr>
        <w:t xml:space="preserve">. </w:t>
      </w:r>
      <w:r w:rsidR="00033669">
        <w:rPr>
          <w:rFonts w:ascii="Times New Roman" w:hAnsi="Times New Roman" w:cs="Times New Roman"/>
          <w:sz w:val="24"/>
          <w:szCs w:val="24"/>
        </w:rPr>
        <w:t>T</w:t>
      </w:r>
      <w:r w:rsidR="00534AD6">
        <w:rPr>
          <w:rFonts w:ascii="Times New Roman" w:hAnsi="Times New Roman" w:cs="Times New Roman"/>
          <w:sz w:val="24"/>
          <w:szCs w:val="24"/>
        </w:rPr>
        <w:t xml:space="preserve">he appellant thereafter </w:t>
      </w:r>
      <w:r w:rsidR="00033669">
        <w:rPr>
          <w:rFonts w:ascii="Times New Roman" w:hAnsi="Times New Roman" w:cs="Times New Roman"/>
          <w:sz w:val="24"/>
          <w:szCs w:val="24"/>
        </w:rPr>
        <w:t>took the position that</w:t>
      </w:r>
      <w:r w:rsidR="00534AD6">
        <w:rPr>
          <w:rFonts w:ascii="Times New Roman" w:hAnsi="Times New Roman" w:cs="Times New Roman"/>
          <w:sz w:val="24"/>
          <w:szCs w:val="24"/>
        </w:rPr>
        <w:t xml:space="preserve"> the trademarks had no value on their own.</w:t>
      </w:r>
      <w:r w:rsidR="00A05125">
        <w:rPr>
          <w:rFonts w:ascii="Times New Roman" w:hAnsi="Times New Roman" w:cs="Times New Roman"/>
          <w:sz w:val="24"/>
          <w:szCs w:val="24"/>
        </w:rPr>
        <w:t xml:space="preserve"> </w:t>
      </w:r>
      <w:r w:rsidR="00F146B3">
        <w:rPr>
          <w:rFonts w:ascii="Times New Roman" w:hAnsi="Times New Roman" w:cs="Times New Roman"/>
          <w:sz w:val="24"/>
          <w:szCs w:val="24"/>
        </w:rPr>
        <w:t>The purported assignments constituted a TOS, the effect of wh</w:t>
      </w:r>
      <w:r w:rsidR="005E33B9">
        <w:rPr>
          <w:rFonts w:ascii="Times New Roman" w:hAnsi="Times New Roman" w:cs="Times New Roman"/>
          <w:sz w:val="24"/>
          <w:szCs w:val="24"/>
        </w:rPr>
        <w:t>ich was to divest income accruing</w:t>
      </w:r>
      <w:r w:rsidR="00F146B3">
        <w:rPr>
          <w:rFonts w:ascii="Times New Roman" w:hAnsi="Times New Roman" w:cs="Times New Roman"/>
          <w:sz w:val="24"/>
          <w:szCs w:val="24"/>
        </w:rPr>
        <w:t xml:space="preserve"> from the use of the trad</w:t>
      </w:r>
      <w:r w:rsidR="005E33B9">
        <w:rPr>
          <w:rFonts w:ascii="Times New Roman" w:hAnsi="Times New Roman" w:cs="Times New Roman"/>
          <w:sz w:val="24"/>
          <w:szCs w:val="24"/>
        </w:rPr>
        <w:t>emarks from the appellant to</w:t>
      </w:r>
      <w:r w:rsidR="00F146B3">
        <w:rPr>
          <w:rFonts w:ascii="Times New Roman" w:hAnsi="Times New Roman" w:cs="Times New Roman"/>
          <w:sz w:val="24"/>
          <w:szCs w:val="24"/>
        </w:rPr>
        <w:t xml:space="preserve"> SCI. </w:t>
      </w:r>
      <w:r w:rsidR="0089428E">
        <w:rPr>
          <w:rFonts w:ascii="Times New Roman" w:hAnsi="Times New Roman" w:cs="Times New Roman"/>
          <w:sz w:val="24"/>
          <w:szCs w:val="24"/>
        </w:rPr>
        <w:t>The purported a</w:t>
      </w:r>
      <w:r w:rsidR="005E33B9">
        <w:rPr>
          <w:rFonts w:ascii="Times New Roman" w:hAnsi="Times New Roman" w:cs="Times New Roman"/>
          <w:sz w:val="24"/>
          <w:szCs w:val="24"/>
        </w:rPr>
        <w:t>ssignments made SCI and not</w:t>
      </w:r>
      <w:r w:rsidR="0089428E">
        <w:rPr>
          <w:rFonts w:ascii="Times New Roman" w:hAnsi="Times New Roman" w:cs="Times New Roman"/>
          <w:sz w:val="24"/>
          <w:szCs w:val="24"/>
        </w:rPr>
        <w:t xml:space="preserve"> the appellant the recipient of that income.</w:t>
      </w:r>
      <w:r w:rsidR="009A3264">
        <w:rPr>
          <w:rFonts w:ascii="Times New Roman" w:hAnsi="Times New Roman" w:cs="Times New Roman"/>
          <w:sz w:val="24"/>
          <w:szCs w:val="24"/>
        </w:rPr>
        <w:t xml:space="preserve"> The appellant d</w:t>
      </w:r>
      <w:r w:rsidR="00033669">
        <w:rPr>
          <w:rFonts w:ascii="Times New Roman" w:hAnsi="Times New Roman" w:cs="Times New Roman"/>
          <w:sz w:val="24"/>
          <w:szCs w:val="24"/>
        </w:rPr>
        <w:t>ivested itself of</w:t>
      </w:r>
      <w:r w:rsidR="009A3264">
        <w:rPr>
          <w:rFonts w:ascii="Times New Roman" w:hAnsi="Times New Roman" w:cs="Times New Roman"/>
          <w:sz w:val="24"/>
          <w:szCs w:val="24"/>
        </w:rPr>
        <w:t xml:space="preserve"> income due to it as royalties for which it should have been taxed. </w:t>
      </w:r>
      <w:r w:rsidR="0089428E">
        <w:rPr>
          <w:rFonts w:ascii="Times New Roman" w:hAnsi="Times New Roman" w:cs="Times New Roman"/>
          <w:sz w:val="24"/>
          <w:szCs w:val="24"/>
        </w:rPr>
        <w:t>I</w:t>
      </w:r>
      <w:r w:rsidR="00F146B3">
        <w:rPr>
          <w:rFonts w:ascii="Times New Roman" w:hAnsi="Times New Roman" w:cs="Times New Roman"/>
          <w:sz w:val="24"/>
          <w:szCs w:val="24"/>
        </w:rPr>
        <w:t>t therefore had the effect of either avoiding or reducing the tax liability of the appellant.</w:t>
      </w:r>
    </w:p>
    <w:p w:rsidR="005D2313" w:rsidRPr="001C4085" w:rsidRDefault="005D2313" w:rsidP="00D31F13">
      <w:pPr>
        <w:autoSpaceDE w:val="0"/>
        <w:autoSpaceDN w:val="0"/>
        <w:adjustRightInd w:val="0"/>
        <w:spacing w:after="0" w:line="360" w:lineRule="auto"/>
        <w:jc w:val="both"/>
        <w:rPr>
          <w:rFonts w:ascii="Times New Roman" w:hAnsi="Times New Roman" w:cs="Times New Roman"/>
          <w:i/>
          <w:sz w:val="24"/>
          <w:szCs w:val="24"/>
          <w:lang w:val="en-US"/>
        </w:rPr>
      </w:pPr>
      <w:r w:rsidRPr="001C4085">
        <w:rPr>
          <w:rFonts w:ascii="Times New Roman" w:hAnsi="Times New Roman" w:cs="Times New Roman"/>
          <w:i/>
          <w:sz w:val="24"/>
          <w:szCs w:val="24"/>
          <w:lang w:val="en-US"/>
        </w:rPr>
        <w:t>W</w:t>
      </w:r>
      <w:r w:rsidR="00E30333">
        <w:rPr>
          <w:rFonts w:ascii="Times New Roman" w:hAnsi="Times New Roman" w:cs="Times New Roman"/>
          <w:i/>
          <w:sz w:val="24"/>
          <w:szCs w:val="24"/>
          <w:lang w:val="en-US"/>
        </w:rPr>
        <w:t>hether</w:t>
      </w:r>
      <w:r w:rsidRPr="001C4085">
        <w:rPr>
          <w:rFonts w:ascii="Times New Roman" w:hAnsi="Times New Roman" w:cs="Times New Roman"/>
          <w:i/>
          <w:sz w:val="24"/>
          <w:szCs w:val="24"/>
          <w:lang w:val="en-US"/>
        </w:rPr>
        <w:t xml:space="preserve"> the Commi</w:t>
      </w:r>
      <w:r w:rsidR="00E30333">
        <w:rPr>
          <w:rFonts w:ascii="Times New Roman" w:hAnsi="Times New Roman" w:cs="Times New Roman"/>
          <w:i/>
          <w:sz w:val="24"/>
          <w:szCs w:val="24"/>
          <w:lang w:val="en-US"/>
        </w:rPr>
        <w:t xml:space="preserve">ssioner’s opinion that </w:t>
      </w:r>
      <w:r w:rsidR="001A64A4">
        <w:rPr>
          <w:rFonts w:ascii="Times New Roman" w:hAnsi="Times New Roman" w:cs="Times New Roman"/>
          <w:i/>
          <w:sz w:val="24"/>
          <w:szCs w:val="24"/>
          <w:lang w:val="en-US"/>
        </w:rPr>
        <w:t xml:space="preserve">this TOS’s way and means was abnormal or created abnormal </w:t>
      </w:r>
      <w:r w:rsidR="007A5197">
        <w:rPr>
          <w:rFonts w:ascii="Times New Roman" w:hAnsi="Times New Roman" w:cs="Times New Roman"/>
          <w:i/>
          <w:sz w:val="24"/>
          <w:szCs w:val="24"/>
          <w:lang w:val="en-US"/>
        </w:rPr>
        <w:t>rights or obligations was wrong.</w:t>
      </w:r>
    </w:p>
    <w:p w:rsidR="00EA296E" w:rsidRDefault="003B0AD0" w:rsidP="00563C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substance of the TOS was that SCI, earned income from the other subsidiaries based outside Zimbabwe from the use </w:t>
      </w:r>
      <w:r w:rsidR="005E33B9">
        <w:rPr>
          <w:rFonts w:ascii="Times New Roman" w:hAnsi="Times New Roman" w:cs="Times New Roman"/>
          <w:sz w:val="24"/>
          <w:szCs w:val="24"/>
        </w:rPr>
        <w:t xml:space="preserve">of </w:t>
      </w:r>
      <w:r>
        <w:rPr>
          <w:rFonts w:ascii="Times New Roman" w:hAnsi="Times New Roman" w:cs="Times New Roman"/>
          <w:sz w:val="24"/>
          <w:szCs w:val="24"/>
        </w:rPr>
        <w:t xml:space="preserve">the trademarks </w:t>
      </w:r>
      <w:r w:rsidR="00792432">
        <w:rPr>
          <w:rFonts w:ascii="Times New Roman" w:hAnsi="Times New Roman" w:cs="Times New Roman"/>
          <w:sz w:val="24"/>
          <w:szCs w:val="24"/>
        </w:rPr>
        <w:t>in question. It was common cause that the appellant characterised this income as royalties during the investigations in correspondence and meetings held with the case manager</w:t>
      </w:r>
      <w:r w:rsidR="007A5197">
        <w:rPr>
          <w:rFonts w:ascii="Times New Roman" w:hAnsi="Times New Roman" w:cs="Times New Roman"/>
          <w:sz w:val="24"/>
          <w:szCs w:val="24"/>
        </w:rPr>
        <w:t xml:space="preserve"> and in subsequent e-mails between and amongst JM and the countr</w:t>
      </w:r>
      <w:r w:rsidR="00DC7B99">
        <w:rPr>
          <w:rFonts w:ascii="Times New Roman" w:hAnsi="Times New Roman" w:cs="Times New Roman"/>
          <w:sz w:val="24"/>
          <w:szCs w:val="24"/>
        </w:rPr>
        <w:t>y managers of its subsidiaries.</w:t>
      </w:r>
      <w:r w:rsidR="00792432">
        <w:rPr>
          <w:rFonts w:ascii="Times New Roman" w:hAnsi="Times New Roman" w:cs="Times New Roman"/>
          <w:sz w:val="24"/>
          <w:szCs w:val="24"/>
        </w:rPr>
        <w:t xml:space="preserve"> In fact, the appellant never disputed in the 43 paged objection letter of 23 December 2013 that these payments constituted royalties. It only </w:t>
      </w:r>
      <w:r w:rsidR="00FD07D5">
        <w:rPr>
          <w:rFonts w:ascii="Times New Roman" w:hAnsi="Times New Roman" w:cs="Times New Roman"/>
          <w:sz w:val="24"/>
          <w:szCs w:val="24"/>
        </w:rPr>
        <w:t>half-heartedly</w:t>
      </w:r>
      <w:r w:rsidR="00D45D8C">
        <w:rPr>
          <w:rStyle w:val="FootnoteReference"/>
          <w:rFonts w:ascii="Times New Roman" w:hAnsi="Times New Roman" w:cs="Times New Roman"/>
          <w:sz w:val="24"/>
          <w:szCs w:val="24"/>
        </w:rPr>
        <w:footnoteReference w:id="24"/>
      </w:r>
      <w:r w:rsidR="00FD07D5">
        <w:rPr>
          <w:rFonts w:ascii="Times New Roman" w:hAnsi="Times New Roman" w:cs="Times New Roman"/>
          <w:sz w:val="24"/>
          <w:szCs w:val="24"/>
        </w:rPr>
        <w:t xml:space="preserve"> </w:t>
      </w:r>
      <w:r w:rsidR="00792432">
        <w:rPr>
          <w:rFonts w:ascii="Times New Roman" w:hAnsi="Times New Roman" w:cs="Times New Roman"/>
          <w:sz w:val="24"/>
          <w:szCs w:val="24"/>
        </w:rPr>
        <w:t xml:space="preserve">did so </w:t>
      </w:r>
      <w:r w:rsidR="00FD07D5">
        <w:rPr>
          <w:rFonts w:ascii="Times New Roman" w:hAnsi="Times New Roman" w:cs="Times New Roman"/>
          <w:sz w:val="24"/>
          <w:szCs w:val="24"/>
        </w:rPr>
        <w:t xml:space="preserve">in the appellant’s case. However, the appellant implicitly conceded that </w:t>
      </w:r>
      <w:r w:rsidR="005E33B9">
        <w:rPr>
          <w:rFonts w:ascii="Times New Roman" w:hAnsi="Times New Roman" w:cs="Times New Roman"/>
          <w:sz w:val="24"/>
          <w:szCs w:val="24"/>
        </w:rPr>
        <w:t xml:space="preserve">the </w:t>
      </w:r>
      <w:r w:rsidR="00FD07D5">
        <w:rPr>
          <w:rFonts w:ascii="Times New Roman" w:hAnsi="Times New Roman" w:cs="Times New Roman"/>
          <w:sz w:val="24"/>
          <w:szCs w:val="24"/>
        </w:rPr>
        <w:t>amounts paid for the use of the trad</w:t>
      </w:r>
      <w:r w:rsidR="00625E07">
        <w:rPr>
          <w:rFonts w:ascii="Times New Roman" w:hAnsi="Times New Roman" w:cs="Times New Roman"/>
          <w:sz w:val="24"/>
          <w:szCs w:val="24"/>
        </w:rPr>
        <w:t>emarks were royalties</w:t>
      </w:r>
      <w:r w:rsidR="00FD07D5">
        <w:rPr>
          <w:rFonts w:ascii="Times New Roman" w:hAnsi="Times New Roman" w:cs="Times New Roman"/>
          <w:sz w:val="24"/>
          <w:szCs w:val="24"/>
        </w:rPr>
        <w:t xml:space="preserve"> by accepting that the Research and Marketing Agreement, such as the one consummated between SCI and its Malawi subsidiary was a royalty agreement. </w:t>
      </w:r>
      <w:r w:rsidR="009C177D">
        <w:rPr>
          <w:rFonts w:ascii="Times New Roman" w:hAnsi="Times New Roman" w:cs="Times New Roman"/>
          <w:sz w:val="24"/>
          <w:szCs w:val="24"/>
        </w:rPr>
        <w:t xml:space="preserve">In his unguarded moments during his long evidence in chief, JM also called the fees paid from such agreements royalties. </w:t>
      </w:r>
      <w:r w:rsidR="00407905">
        <w:rPr>
          <w:rFonts w:ascii="Times New Roman" w:hAnsi="Times New Roman" w:cs="Times New Roman"/>
          <w:sz w:val="24"/>
          <w:szCs w:val="24"/>
        </w:rPr>
        <w:t>He also explicitly did so in his letter to the case manager of 25 June 2013</w:t>
      </w:r>
      <w:r w:rsidR="00407905">
        <w:rPr>
          <w:rStyle w:val="FootnoteReference"/>
          <w:rFonts w:ascii="Times New Roman" w:hAnsi="Times New Roman" w:cs="Times New Roman"/>
          <w:sz w:val="24"/>
          <w:szCs w:val="24"/>
        </w:rPr>
        <w:footnoteReference w:id="25"/>
      </w:r>
      <w:r w:rsidR="00407905">
        <w:rPr>
          <w:rFonts w:ascii="Times New Roman" w:hAnsi="Times New Roman" w:cs="Times New Roman"/>
          <w:sz w:val="24"/>
          <w:szCs w:val="24"/>
        </w:rPr>
        <w:t xml:space="preserve">. </w:t>
      </w:r>
      <w:r w:rsidR="005E33B9">
        <w:rPr>
          <w:rFonts w:ascii="Times New Roman" w:hAnsi="Times New Roman" w:cs="Times New Roman"/>
          <w:sz w:val="24"/>
          <w:szCs w:val="24"/>
        </w:rPr>
        <w:t>Indeed, the</w:t>
      </w:r>
      <w:r w:rsidR="00FD07D5">
        <w:rPr>
          <w:rFonts w:ascii="Times New Roman" w:hAnsi="Times New Roman" w:cs="Times New Roman"/>
          <w:sz w:val="24"/>
          <w:szCs w:val="24"/>
        </w:rPr>
        <w:t xml:space="preserve"> agreement is in the nature of a royalty agreement in that it requires the Malawi subsidiary to pay fees to SCI for the right to use res</w:t>
      </w:r>
      <w:r w:rsidR="009C177D">
        <w:rPr>
          <w:rFonts w:ascii="Times New Roman" w:hAnsi="Times New Roman" w:cs="Times New Roman"/>
          <w:sz w:val="24"/>
          <w:szCs w:val="24"/>
        </w:rPr>
        <w:t xml:space="preserve">earch and marketing development </w:t>
      </w:r>
      <w:r w:rsidR="00EA296E">
        <w:rPr>
          <w:rFonts w:ascii="Times New Roman" w:hAnsi="Times New Roman" w:cs="Times New Roman"/>
          <w:sz w:val="24"/>
          <w:szCs w:val="24"/>
        </w:rPr>
        <w:t xml:space="preserve">intangibles </w:t>
      </w:r>
      <w:r w:rsidR="009C177D">
        <w:rPr>
          <w:rFonts w:ascii="Times New Roman" w:hAnsi="Times New Roman" w:cs="Times New Roman"/>
          <w:sz w:val="24"/>
          <w:szCs w:val="24"/>
        </w:rPr>
        <w:t>of hybrid seed</w:t>
      </w:r>
      <w:r w:rsidR="00FD07D5">
        <w:rPr>
          <w:rFonts w:ascii="Times New Roman" w:hAnsi="Times New Roman" w:cs="Times New Roman"/>
          <w:sz w:val="24"/>
          <w:szCs w:val="24"/>
        </w:rPr>
        <w:t xml:space="preserve"> engineered by SCI </w:t>
      </w:r>
      <w:r w:rsidR="009C177D">
        <w:rPr>
          <w:rFonts w:ascii="Times New Roman" w:hAnsi="Times New Roman" w:cs="Times New Roman"/>
          <w:sz w:val="24"/>
          <w:szCs w:val="24"/>
        </w:rPr>
        <w:t>as a percentage of</w:t>
      </w:r>
      <w:r w:rsidR="00FD07D5">
        <w:rPr>
          <w:rFonts w:ascii="Times New Roman" w:hAnsi="Times New Roman" w:cs="Times New Roman"/>
          <w:sz w:val="24"/>
          <w:szCs w:val="24"/>
        </w:rPr>
        <w:t xml:space="preserve"> the </w:t>
      </w:r>
      <w:r w:rsidR="009C177D">
        <w:rPr>
          <w:rFonts w:ascii="Times New Roman" w:hAnsi="Times New Roman" w:cs="Times New Roman"/>
          <w:sz w:val="24"/>
          <w:szCs w:val="24"/>
        </w:rPr>
        <w:t>net sales of these products.</w:t>
      </w:r>
      <w:r w:rsidR="008A7D4E">
        <w:rPr>
          <w:rFonts w:ascii="Times New Roman" w:hAnsi="Times New Roman" w:cs="Times New Roman"/>
          <w:sz w:val="24"/>
          <w:szCs w:val="24"/>
        </w:rPr>
        <w:t xml:space="preserve"> </w:t>
      </w:r>
    </w:p>
    <w:p w:rsidR="00CC309B" w:rsidRDefault="00CC309B" w:rsidP="003235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 asserted during the investigations, in pleadings and oral testimony of JM and argument that </w:t>
      </w:r>
      <w:r w:rsidR="005E33B9">
        <w:rPr>
          <w:rFonts w:ascii="Times New Roman" w:hAnsi="Times New Roman" w:cs="Times New Roman"/>
          <w:sz w:val="24"/>
          <w:szCs w:val="24"/>
        </w:rPr>
        <w:t xml:space="preserve">only </w:t>
      </w:r>
      <w:r>
        <w:rPr>
          <w:rFonts w:ascii="Times New Roman" w:hAnsi="Times New Roman" w:cs="Times New Roman"/>
          <w:sz w:val="24"/>
          <w:szCs w:val="24"/>
        </w:rPr>
        <w:t>two agreements were consummated during the tax years in question. Of these two, only one was ever effected. The assertion is contrary to the position portrayed in the “Group Proposal to Review Transfer Pricing Framework” of 24 October 2013 produced by an i</w:t>
      </w:r>
      <w:r w:rsidR="001C032E">
        <w:rPr>
          <w:rFonts w:ascii="Times New Roman" w:hAnsi="Times New Roman" w:cs="Times New Roman"/>
          <w:sz w:val="24"/>
          <w:szCs w:val="24"/>
        </w:rPr>
        <w:t>nternational transfer pricing</w:t>
      </w:r>
      <w:r>
        <w:rPr>
          <w:rFonts w:ascii="Times New Roman" w:hAnsi="Times New Roman" w:cs="Times New Roman"/>
          <w:sz w:val="24"/>
          <w:szCs w:val="24"/>
        </w:rPr>
        <w:t xml:space="preserve"> consultant fronted by Mr Erasmus, the lead representative of the appellant at the trial. These agreements were not availed to the case manager despite his requests, obviously because JM instructed his country managers not to cooperate with him as exemplified, firstly, by his e-mail of 26 June 2013 to the SCI country manager and secondly of 27 January 2014 to the managing directors of Tanzania, Zambia and Zimbabw</w:t>
      </w:r>
      <w:r w:rsidR="005E33B9">
        <w:rPr>
          <w:rFonts w:ascii="Times New Roman" w:hAnsi="Times New Roman" w:cs="Times New Roman"/>
          <w:sz w:val="24"/>
          <w:szCs w:val="24"/>
        </w:rPr>
        <w:t xml:space="preserve">e to fiddle the </w:t>
      </w:r>
      <w:r>
        <w:rPr>
          <w:rFonts w:ascii="Times New Roman" w:hAnsi="Times New Roman" w:cs="Times New Roman"/>
          <w:sz w:val="24"/>
          <w:szCs w:val="24"/>
        </w:rPr>
        <w:t>maize sales</w:t>
      </w:r>
      <w:r w:rsidR="005E33B9">
        <w:rPr>
          <w:rFonts w:ascii="Times New Roman" w:hAnsi="Times New Roman" w:cs="Times New Roman"/>
          <w:sz w:val="24"/>
          <w:szCs w:val="24"/>
        </w:rPr>
        <w:t xml:space="preserve"> transactions</w:t>
      </w:r>
      <w:r>
        <w:rPr>
          <w:rFonts w:ascii="Times New Roman" w:hAnsi="Times New Roman" w:cs="Times New Roman"/>
          <w:sz w:val="24"/>
          <w:szCs w:val="24"/>
        </w:rPr>
        <w:t xml:space="preserve"> between the three countries in order to minimize tax due to Zimbabwe from paying direct royalties of US$530 000</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I can only draw adverse inferences against the appellant for such unbecoming conduct</w:t>
      </w:r>
      <w:r w:rsidR="00EC4E3F">
        <w:rPr>
          <w:rFonts w:ascii="Times New Roman" w:hAnsi="Times New Roman" w:cs="Times New Roman"/>
          <w:sz w:val="24"/>
          <w:szCs w:val="24"/>
        </w:rPr>
        <w:t xml:space="preserve">. </w:t>
      </w:r>
    </w:p>
    <w:p w:rsidR="00BC10C8" w:rsidRDefault="00EA296E" w:rsidP="00B73C8E">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It was common cause that only Zimbabwe and Zambia had research stations from which germplasm</w:t>
      </w:r>
      <w:r w:rsidR="008156F7">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was engineered and forwarded to </w:t>
      </w:r>
      <w:r w:rsidR="003552C4">
        <w:rPr>
          <w:rFonts w:ascii="Times New Roman" w:hAnsi="Times New Roman" w:cs="Times New Roman"/>
          <w:sz w:val="24"/>
          <w:szCs w:val="24"/>
        </w:rPr>
        <w:t xml:space="preserve">the subsidiaries for trials. I understood the highly experienced scientist to have confirmed this position under cross examination. </w:t>
      </w:r>
      <w:r w:rsidR="0074368F">
        <w:rPr>
          <w:rFonts w:ascii="Times New Roman" w:hAnsi="Times New Roman" w:cs="Times New Roman"/>
          <w:sz w:val="24"/>
          <w:szCs w:val="24"/>
        </w:rPr>
        <w:t xml:space="preserve">He had overall control and command of all research as demonstrated by his representation of the appellant in the agreement executed with CIMMYT in March and April 2004 for the benefit of SCI and thereafter his job description. </w:t>
      </w:r>
      <w:r w:rsidR="008A5DCE">
        <w:rPr>
          <w:rFonts w:ascii="Times New Roman" w:hAnsi="Times New Roman" w:cs="Times New Roman"/>
          <w:sz w:val="24"/>
          <w:szCs w:val="24"/>
        </w:rPr>
        <w:t xml:space="preserve">That germplasm emanated from Zimbabwe was unwittingly confirmed by JM in his e-mail to the managing directors of Tanzania, Zambia and Zimbabwe of 27 January 2014. </w:t>
      </w:r>
      <w:r>
        <w:rPr>
          <w:rFonts w:ascii="Times New Roman" w:hAnsi="Times New Roman" w:cs="Times New Roman"/>
          <w:sz w:val="24"/>
          <w:szCs w:val="24"/>
        </w:rPr>
        <w:t>It emerged from the evidence of JM that the treasury function through which SCI accessed funds used by the other subsidiaries outside Zimbabwe, was bas</w:t>
      </w:r>
      <w:r w:rsidR="005E3EE2">
        <w:rPr>
          <w:rFonts w:ascii="Times New Roman" w:hAnsi="Times New Roman" w:cs="Times New Roman"/>
          <w:sz w:val="24"/>
          <w:szCs w:val="24"/>
        </w:rPr>
        <w:t>ed at the appellant’s</w:t>
      </w:r>
      <w:r>
        <w:rPr>
          <w:rFonts w:ascii="Times New Roman" w:hAnsi="Times New Roman" w:cs="Times New Roman"/>
          <w:sz w:val="24"/>
          <w:szCs w:val="24"/>
        </w:rPr>
        <w:t xml:space="preserve"> Harare </w:t>
      </w:r>
      <w:r w:rsidR="005E3EE2">
        <w:rPr>
          <w:rFonts w:ascii="Times New Roman" w:hAnsi="Times New Roman" w:cs="Times New Roman"/>
          <w:sz w:val="24"/>
          <w:szCs w:val="24"/>
        </w:rPr>
        <w:t xml:space="preserve">Borrowdale </w:t>
      </w:r>
      <w:r>
        <w:rPr>
          <w:rFonts w:ascii="Times New Roman" w:hAnsi="Times New Roman" w:cs="Times New Roman"/>
          <w:sz w:val="24"/>
          <w:szCs w:val="24"/>
        </w:rPr>
        <w:t xml:space="preserve">head office.  </w:t>
      </w:r>
      <w:r w:rsidR="003552C4">
        <w:rPr>
          <w:rFonts w:ascii="Times New Roman" w:hAnsi="Times New Roman" w:cs="Times New Roman"/>
          <w:sz w:val="24"/>
          <w:szCs w:val="24"/>
        </w:rPr>
        <w:t>It was further common cause that the trademarked varieties and all the unpatented varieties from registered in country PBRs were sold under the general trademark for market recognition</w:t>
      </w:r>
      <w:r w:rsidR="001A6E04">
        <w:rPr>
          <w:rFonts w:ascii="Times New Roman" w:hAnsi="Times New Roman" w:cs="Times New Roman"/>
          <w:sz w:val="24"/>
          <w:szCs w:val="24"/>
        </w:rPr>
        <w:t>, reputation goodwill and quality consistence</w:t>
      </w:r>
      <w:r w:rsidR="003552C4">
        <w:rPr>
          <w:rFonts w:ascii="Times New Roman" w:hAnsi="Times New Roman" w:cs="Times New Roman"/>
          <w:sz w:val="24"/>
          <w:szCs w:val="24"/>
        </w:rPr>
        <w:t xml:space="preserve">.  It is clear to me that </w:t>
      </w:r>
      <w:r w:rsidR="005E3EE2">
        <w:rPr>
          <w:rFonts w:ascii="Times New Roman" w:hAnsi="Times New Roman" w:cs="Times New Roman"/>
          <w:sz w:val="24"/>
          <w:szCs w:val="24"/>
        </w:rPr>
        <w:t xml:space="preserve">the </w:t>
      </w:r>
      <w:r w:rsidR="003552C4">
        <w:rPr>
          <w:rFonts w:ascii="Times New Roman" w:hAnsi="Times New Roman" w:cs="Times New Roman"/>
          <w:sz w:val="24"/>
          <w:szCs w:val="24"/>
        </w:rPr>
        <w:t>wit</w:t>
      </w:r>
      <w:r w:rsidR="00D36102">
        <w:rPr>
          <w:rFonts w:ascii="Times New Roman" w:hAnsi="Times New Roman" w:cs="Times New Roman"/>
          <w:sz w:val="24"/>
          <w:szCs w:val="24"/>
        </w:rPr>
        <w:t>, labour and intellect,</w:t>
      </w:r>
      <w:r w:rsidR="003552C4">
        <w:rPr>
          <w:rFonts w:ascii="Times New Roman" w:hAnsi="Times New Roman" w:cs="Times New Roman"/>
          <w:sz w:val="24"/>
          <w:szCs w:val="24"/>
        </w:rPr>
        <w:t xml:space="preserve"> and finances required to research, develop and market the two trademarked varieties and the rest of the unpatented PBRs </w:t>
      </w:r>
      <w:r w:rsidR="00A345F0">
        <w:rPr>
          <w:rFonts w:ascii="Times New Roman" w:hAnsi="Times New Roman" w:cs="Times New Roman"/>
          <w:sz w:val="24"/>
          <w:szCs w:val="24"/>
        </w:rPr>
        <w:t>bearing th</w:t>
      </w:r>
      <w:r w:rsidR="003552C4">
        <w:rPr>
          <w:rFonts w:ascii="Times New Roman" w:hAnsi="Times New Roman" w:cs="Times New Roman"/>
          <w:sz w:val="24"/>
          <w:szCs w:val="24"/>
        </w:rPr>
        <w:t>e general trademark originated from the appellant</w:t>
      </w:r>
      <w:r w:rsidR="00277E3D">
        <w:rPr>
          <w:rFonts w:ascii="Times New Roman" w:hAnsi="Times New Roman" w:cs="Times New Roman"/>
          <w:sz w:val="24"/>
          <w:szCs w:val="24"/>
        </w:rPr>
        <w:t xml:space="preserve"> and not from SCI as captured in the SCI-Malawi agreement</w:t>
      </w:r>
      <w:r w:rsidR="003552C4">
        <w:rPr>
          <w:rFonts w:ascii="Times New Roman" w:hAnsi="Times New Roman" w:cs="Times New Roman"/>
          <w:sz w:val="24"/>
          <w:szCs w:val="24"/>
        </w:rPr>
        <w:t>.</w:t>
      </w:r>
      <w:r w:rsidR="00BC10C8">
        <w:rPr>
          <w:rFonts w:ascii="Times New Roman" w:hAnsi="Times New Roman" w:cs="Times New Roman"/>
          <w:sz w:val="24"/>
          <w:szCs w:val="24"/>
        </w:rPr>
        <w:t xml:space="preserve"> </w:t>
      </w:r>
      <w:r w:rsidR="00BC10C8" w:rsidRPr="00BC10C8">
        <w:rPr>
          <w:rFonts w:ascii="Times New Roman" w:hAnsi="Times New Roman" w:cs="Times New Roman"/>
          <w:sz w:val="24"/>
          <w:szCs w:val="24"/>
        </w:rPr>
        <w:t>See</w:t>
      </w:r>
      <w:r w:rsidR="00BC10C8" w:rsidRPr="00BC10C8">
        <w:rPr>
          <w:rFonts w:ascii="Times New Roman" w:hAnsi="Times New Roman" w:cs="Times New Roman"/>
          <w:b/>
          <w:sz w:val="24"/>
          <w:szCs w:val="24"/>
        </w:rPr>
        <w:t xml:space="preserve"> </w:t>
      </w:r>
      <w:r w:rsidR="00BC10C8" w:rsidRPr="00BC10C8">
        <w:rPr>
          <w:rFonts w:ascii="Times New Roman" w:hAnsi="Times New Roman" w:cs="Times New Roman"/>
          <w:i/>
          <w:sz w:val="24"/>
          <w:szCs w:val="24"/>
          <w:lang w:val="en-US"/>
        </w:rPr>
        <w:t>Mil</w:t>
      </w:r>
      <w:r w:rsidR="00D07294">
        <w:rPr>
          <w:rFonts w:ascii="Times New Roman" w:hAnsi="Times New Roman" w:cs="Times New Roman"/>
          <w:i/>
          <w:sz w:val="24"/>
          <w:szCs w:val="24"/>
          <w:lang w:val="en-US"/>
        </w:rPr>
        <w:t>lin</w:t>
      </w:r>
      <w:r w:rsidR="00BC10C8" w:rsidRPr="00BC10C8">
        <w:rPr>
          <w:rFonts w:ascii="Times New Roman" w:hAnsi="Times New Roman" w:cs="Times New Roman"/>
          <w:i/>
          <w:sz w:val="24"/>
          <w:szCs w:val="24"/>
          <w:lang w:val="en-US"/>
        </w:rPr>
        <w:t xml:space="preserve"> </w:t>
      </w:r>
      <w:r w:rsidR="00BC10C8" w:rsidRPr="00411029">
        <w:rPr>
          <w:rFonts w:ascii="Times New Roman" w:hAnsi="Times New Roman" w:cs="Times New Roman"/>
          <w:sz w:val="24"/>
          <w:szCs w:val="24"/>
          <w:lang w:val="en-US"/>
        </w:rPr>
        <w:t xml:space="preserve">v </w:t>
      </w:r>
      <w:r w:rsidR="00BC10C8" w:rsidRPr="00BC10C8">
        <w:rPr>
          <w:rFonts w:ascii="Times New Roman" w:hAnsi="Times New Roman" w:cs="Times New Roman"/>
          <w:i/>
          <w:sz w:val="24"/>
          <w:szCs w:val="24"/>
          <w:lang w:val="en-US"/>
        </w:rPr>
        <w:t>CIR</w:t>
      </w:r>
      <w:r w:rsidR="00BC10C8">
        <w:rPr>
          <w:rFonts w:ascii="Times New Roman" w:hAnsi="Times New Roman" w:cs="Times New Roman"/>
          <w:sz w:val="24"/>
          <w:szCs w:val="24"/>
          <w:lang w:val="en-US"/>
        </w:rPr>
        <w:t xml:space="preserve"> 1928</w:t>
      </w:r>
      <w:r w:rsidR="00D07294">
        <w:rPr>
          <w:rFonts w:ascii="Times New Roman" w:hAnsi="Times New Roman" w:cs="Times New Roman"/>
          <w:sz w:val="24"/>
          <w:szCs w:val="24"/>
          <w:lang w:val="en-US"/>
        </w:rPr>
        <w:t xml:space="preserve"> AD 207</w:t>
      </w:r>
      <w:r w:rsidR="00BC10C8">
        <w:rPr>
          <w:rFonts w:ascii="Times New Roman" w:hAnsi="Times New Roman" w:cs="Times New Roman"/>
          <w:sz w:val="24"/>
          <w:szCs w:val="24"/>
          <w:lang w:val="en-US"/>
        </w:rPr>
        <w:t xml:space="preserve"> (3 SATC 170</w:t>
      </w:r>
      <w:r w:rsidR="00BA4663">
        <w:rPr>
          <w:rFonts w:ascii="Times New Roman" w:hAnsi="Times New Roman" w:cs="Times New Roman"/>
          <w:sz w:val="24"/>
          <w:szCs w:val="24"/>
          <w:lang w:val="en-US"/>
        </w:rPr>
        <w:t>)</w:t>
      </w:r>
      <w:r w:rsidR="00BC10C8">
        <w:rPr>
          <w:rStyle w:val="FootnoteReference"/>
          <w:rFonts w:ascii="Times New Roman" w:hAnsi="Times New Roman" w:cs="Times New Roman"/>
          <w:sz w:val="24"/>
          <w:szCs w:val="24"/>
          <w:lang w:val="en-US"/>
        </w:rPr>
        <w:footnoteReference w:id="28"/>
      </w:r>
      <w:r w:rsidR="00BC10C8">
        <w:rPr>
          <w:rFonts w:ascii="Times New Roman" w:hAnsi="Times New Roman" w:cs="Times New Roman"/>
          <w:sz w:val="24"/>
          <w:szCs w:val="24"/>
          <w:lang w:val="en-US"/>
        </w:rPr>
        <w:t xml:space="preserve">. </w:t>
      </w:r>
    </w:p>
    <w:p w:rsidR="00B3648B" w:rsidRDefault="003552C4" w:rsidP="00B3648B">
      <w:pPr>
        <w:spacing w:after="0" w:line="360" w:lineRule="auto"/>
        <w:jc w:val="both"/>
        <w:rPr>
          <w:rFonts w:ascii="Times New Roman" w:hAnsi="Times New Roman" w:cs="Times New Roman"/>
          <w:sz w:val="24"/>
          <w:szCs w:val="24"/>
        </w:rPr>
      </w:pPr>
      <w:r w:rsidRPr="00BC10C8">
        <w:rPr>
          <w:rFonts w:ascii="Times New Roman" w:hAnsi="Times New Roman" w:cs="Times New Roman"/>
          <w:b/>
          <w:sz w:val="24"/>
          <w:szCs w:val="24"/>
        </w:rPr>
        <w:lastRenderedPageBreak/>
        <w:t xml:space="preserve"> </w:t>
      </w:r>
      <w:r w:rsidR="00411029">
        <w:rPr>
          <w:rFonts w:ascii="Times New Roman" w:hAnsi="Times New Roman" w:cs="Times New Roman"/>
          <w:b/>
          <w:sz w:val="24"/>
          <w:szCs w:val="24"/>
        </w:rPr>
        <w:tab/>
      </w:r>
      <w:r w:rsidR="005D3742">
        <w:rPr>
          <w:rFonts w:ascii="Times New Roman" w:hAnsi="Times New Roman" w:cs="Times New Roman"/>
          <w:sz w:val="24"/>
          <w:szCs w:val="24"/>
        </w:rPr>
        <w:t xml:space="preserve">The assignments </w:t>
      </w:r>
      <w:r w:rsidR="005F3D4F">
        <w:rPr>
          <w:rFonts w:ascii="Times New Roman" w:hAnsi="Times New Roman" w:cs="Times New Roman"/>
          <w:sz w:val="24"/>
          <w:szCs w:val="24"/>
        </w:rPr>
        <w:t xml:space="preserve">and subsequent royalty agreements </w:t>
      </w:r>
      <w:r w:rsidR="005D3742">
        <w:rPr>
          <w:rFonts w:ascii="Times New Roman" w:hAnsi="Times New Roman" w:cs="Times New Roman"/>
          <w:sz w:val="24"/>
          <w:szCs w:val="24"/>
        </w:rPr>
        <w:t>created abnormal rights and obligations between the true owner of the trademarks</w:t>
      </w:r>
      <w:r w:rsidR="00765523">
        <w:rPr>
          <w:rFonts w:ascii="Times New Roman" w:hAnsi="Times New Roman" w:cs="Times New Roman"/>
          <w:sz w:val="24"/>
          <w:szCs w:val="24"/>
        </w:rPr>
        <w:t>-the appellant</w:t>
      </w:r>
      <w:r w:rsidR="005D3742">
        <w:rPr>
          <w:rFonts w:ascii="Times New Roman" w:hAnsi="Times New Roman" w:cs="Times New Roman"/>
          <w:sz w:val="24"/>
          <w:szCs w:val="24"/>
        </w:rPr>
        <w:t>, SCI and the users. The true owner divested itself of the right to receive royalties from the users. The purported assignee was vested with the right to do so. The users were obliged to pay royalties to the purported assignee. These corporate incestuous relations</w:t>
      </w:r>
      <w:r w:rsidR="00CC1069">
        <w:rPr>
          <w:rFonts w:ascii="Times New Roman" w:hAnsi="Times New Roman" w:cs="Times New Roman"/>
          <w:sz w:val="24"/>
          <w:szCs w:val="24"/>
        </w:rPr>
        <w:t>hips</w:t>
      </w:r>
      <w:r w:rsidR="005D3742">
        <w:rPr>
          <w:rFonts w:ascii="Times New Roman" w:hAnsi="Times New Roman" w:cs="Times New Roman"/>
          <w:sz w:val="24"/>
          <w:szCs w:val="24"/>
        </w:rPr>
        <w:t xml:space="preserve"> would not be undertaken by, and were therefore anathema to the conduct between, unrelated parties. Income from the use of trademarks would accrue to the true owner and the user would pay the agreed royalties to the true owner. The sacred rights and obligations conferred by ownership and utilization would be hallowed and not subverted by unrelated parties. It is my finding that the way and manner in which the TOS was consummated by the appellant and its subsidiaries was abnormal. I further find that the TOS </w:t>
      </w:r>
      <w:r w:rsidR="00775A25">
        <w:rPr>
          <w:rFonts w:ascii="Times New Roman" w:hAnsi="Times New Roman" w:cs="Times New Roman"/>
          <w:sz w:val="24"/>
          <w:szCs w:val="24"/>
        </w:rPr>
        <w:t>also created abnormal rights or</w:t>
      </w:r>
      <w:r w:rsidR="005D3742">
        <w:rPr>
          <w:rFonts w:ascii="Times New Roman" w:hAnsi="Times New Roman" w:cs="Times New Roman"/>
          <w:sz w:val="24"/>
          <w:szCs w:val="24"/>
        </w:rPr>
        <w:t xml:space="preserve"> obligations between the appellant, SCI and its other in-country subsidiaries. </w:t>
      </w:r>
    </w:p>
    <w:p w:rsidR="00EC1617" w:rsidRPr="00B3648B" w:rsidRDefault="00FA6C4C" w:rsidP="00B364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alternative, such an abnormal arrangement created abnormal rights or obligations between SCI and these subsidiaries in that royalties which accrued to the appellant were diverted to SCI. </w:t>
      </w:r>
      <w:r w:rsidR="00F57947">
        <w:rPr>
          <w:rFonts w:ascii="Times New Roman" w:hAnsi="Times New Roman" w:cs="Times New Roman"/>
          <w:sz w:val="24"/>
          <w:szCs w:val="24"/>
        </w:rPr>
        <w:t xml:space="preserve">The conduct of the taxpayer fell into the impermissible second paradigm articulated </w:t>
      </w:r>
      <w:r w:rsidR="00F57947" w:rsidRPr="00EC1617">
        <w:rPr>
          <w:rFonts w:ascii="Times New Roman" w:hAnsi="Times New Roman" w:cs="Times New Roman"/>
          <w:sz w:val="24"/>
          <w:szCs w:val="24"/>
        </w:rPr>
        <w:t xml:space="preserve">in </w:t>
      </w:r>
      <w:r w:rsidR="00EC1617" w:rsidRPr="00105F79">
        <w:rPr>
          <w:rFonts w:ascii="Times New Roman" w:eastAsia="Calibri" w:hAnsi="Times New Roman" w:cs="Times New Roman"/>
          <w:i/>
          <w:color w:val="000000"/>
          <w:sz w:val="24"/>
          <w:szCs w:val="24"/>
        </w:rPr>
        <w:t>CIR</w:t>
      </w:r>
      <w:r w:rsidR="00EC1617" w:rsidRPr="00411029">
        <w:rPr>
          <w:rFonts w:ascii="Times New Roman" w:eastAsia="Calibri" w:hAnsi="Times New Roman" w:cs="Times New Roman"/>
          <w:color w:val="000000"/>
          <w:sz w:val="24"/>
          <w:szCs w:val="24"/>
        </w:rPr>
        <w:t xml:space="preserve"> v</w:t>
      </w:r>
      <w:r w:rsidR="00EC1617" w:rsidRPr="00105F79">
        <w:rPr>
          <w:rFonts w:ascii="Times New Roman" w:eastAsia="Calibri" w:hAnsi="Times New Roman" w:cs="Times New Roman"/>
          <w:i/>
          <w:color w:val="000000"/>
          <w:sz w:val="24"/>
          <w:szCs w:val="24"/>
        </w:rPr>
        <w:t xml:space="preserve"> King</w:t>
      </w:r>
      <w:r w:rsidR="00EC1617" w:rsidRPr="00EC1617">
        <w:rPr>
          <w:rFonts w:ascii="Times New Roman" w:eastAsia="Calibri" w:hAnsi="Times New Roman" w:cs="Times New Roman"/>
          <w:color w:val="000000"/>
          <w:sz w:val="24"/>
          <w:szCs w:val="24"/>
        </w:rPr>
        <w:t xml:space="preserve"> 1947 (2) SA 196 (AD) at</w:t>
      </w:r>
      <w:r w:rsidR="00B95B6C">
        <w:rPr>
          <w:rFonts w:ascii="Times New Roman" w:eastAsia="Calibri" w:hAnsi="Times New Roman" w:cs="Times New Roman"/>
          <w:color w:val="000000"/>
          <w:sz w:val="24"/>
          <w:szCs w:val="24"/>
        </w:rPr>
        <w:t xml:space="preserve"> 2</w:t>
      </w:r>
      <w:r w:rsidR="006079E1">
        <w:rPr>
          <w:rFonts w:ascii="Times New Roman" w:eastAsia="Calibri" w:hAnsi="Times New Roman" w:cs="Times New Roman"/>
          <w:color w:val="000000"/>
          <w:sz w:val="24"/>
          <w:szCs w:val="24"/>
        </w:rPr>
        <w:t>10</w:t>
      </w:r>
      <w:r w:rsidR="007A43E5">
        <w:rPr>
          <w:rFonts w:ascii="Times New Roman" w:eastAsia="Calibri" w:hAnsi="Times New Roman" w:cs="Times New Roman"/>
          <w:color w:val="000000"/>
          <w:sz w:val="24"/>
          <w:szCs w:val="24"/>
        </w:rPr>
        <w:t xml:space="preserve"> and 216</w:t>
      </w:r>
      <w:r w:rsidR="00F72A12">
        <w:rPr>
          <w:rFonts w:ascii="Times New Roman" w:eastAsia="Calibri" w:hAnsi="Times New Roman" w:cs="Times New Roman"/>
          <w:color w:val="000000"/>
          <w:sz w:val="24"/>
          <w:szCs w:val="24"/>
        </w:rPr>
        <w:t>, 14 SATC 184 at 198</w:t>
      </w:r>
      <w:r w:rsidR="007A43E5">
        <w:rPr>
          <w:rFonts w:ascii="Times New Roman" w:eastAsia="Calibri" w:hAnsi="Times New Roman" w:cs="Times New Roman"/>
          <w:color w:val="000000"/>
          <w:sz w:val="24"/>
          <w:szCs w:val="24"/>
        </w:rPr>
        <w:t xml:space="preserve"> and 204</w:t>
      </w:r>
      <w:r w:rsidR="00F57947" w:rsidRPr="00EC1617">
        <w:rPr>
          <w:rFonts w:ascii="Times New Roman" w:eastAsia="Calibri" w:hAnsi="Times New Roman" w:cs="Times New Roman"/>
          <w:color w:val="000000"/>
          <w:sz w:val="24"/>
          <w:szCs w:val="24"/>
        </w:rPr>
        <w:t xml:space="preserve">” </w:t>
      </w:r>
      <w:r w:rsidR="00EC1617">
        <w:rPr>
          <w:rFonts w:ascii="Times New Roman" w:eastAsia="Calibri" w:hAnsi="Times New Roman" w:cs="Times New Roman"/>
          <w:color w:val="000000"/>
          <w:sz w:val="24"/>
          <w:szCs w:val="24"/>
        </w:rPr>
        <w:t xml:space="preserve">and to which </w:t>
      </w:r>
      <w:r w:rsidR="00EC1617" w:rsidRPr="00EC1617">
        <w:rPr>
          <w:rFonts w:ascii="Times New Roman" w:eastAsia="Calibri" w:hAnsi="Times New Roman" w:cs="Times New Roman"/>
          <w:i/>
          <w:color w:val="000000"/>
          <w:sz w:val="24"/>
          <w:szCs w:val="24"/>
        </w:rPr>
        <w:t>Commissioner</w:t>
      </w:r>
      <w:r w:rsidR="00F57947" w:rsidRPr="00EC1617">
        <w:rPr>
          <w:rFonts w:ascii="Times New Roman" w:eastAsia="Calibri" w:hAnsi="Times New Roman" w:cs="Times New Roman"/>
          <w:i/>
          <w:color w:val="000000"/>
          <w:sz w:val="24"/>
          <w:szCs w:val="24"/>
        </w:rPr>
        <w:t xml:space="preserve"> of Taxes </w:t>
      </w:r>
      <w:r w:rsidR="00F57947" w:rsidRPr="00040328">
        <w:rPr>
          <w:rFonts w:ascii="Times New Roman" w:eastAsia="Calibri" w:hAnsi="Times New Roman" w:cs="Times New Roman"/>
          <w:color w:val="000000"/>
          <w:sz w:val="24"/>
          <w:szCs w:val="24"/>
        </w:rPr>
        <w:t>v</w:t>
      </w:r>
      <w:r w:rsidR="00F57947" w:rsidRPr="00EC1617">
        <w:rPr>
          <w:rFonts w:ascii="Times New Roman" w:eastAsia="Calibri" w:hAnsi="Times New Roman" w:cs="Times New Roman"/>
          <w:i/>
          <w:color w:val="000000"/>
          <w:sz w:val="24"/>
          <w:szCs w:val="24"/>
        </w:rPr>
        <w:t xml:space="preserve"> Ferera</w:t>
      </w:r>
      <w:r w:rsidR="00EC1617">
        <w:rPr>
          <w:rFonts w:ascii="Times New Roman" w:eastAsia="Calibri" w:hAnsi="Times New Roman" w:cs="Times New Roman"/>
          <w:color w:val="000000"/>
          <w:sz w:val="24"/>
          <w:szCs w:val="24"/>
        </w:rPr>
        <w:t xml:space="preserve"> 1976 (2) SA 653 (RAD)</w:t>
      </w:r>
      <w:r w:rsidR="00F72A12">
        <w:rPr>
          <w:rFonts w:ascii="Times New Roman" w:eastAsia="Calibri" w:hAnsi="Times New Roman" w:cs="Times New Roman"/>
          <w:color w:val="000000"/>
          <w:sz w:val="24"/>
          <w:szCs w:val="24"/>
        </w:rPr>
        <w:t xml:space="preserve"> at 659D-</w:t>
      </w:r>
      <w:r w:rsidR="00B95B6C">
        <w:rPr>
          <w:rFonts w:ascii="Times New Roman" w:eastAsia="Calibri" w:hAnsi="Times New Roman" w:cs="Times New Roman"/>
          <w:color w:val="000000"/>
          <w:sz w:val="24"/>
          <w:szCs w:val="24"/>
        </w:rPr>
        <w:t>E</w:t>
      </w:r>
      <w:r w:rsidR="00EC1617">
        <w:rPr>
          <w:rFonts w:ascii="Times New Roman" w:eastAsia="Calibri" w:hAnsi="Times New Roman" w:cs="Times New Roman"/>
          <w:color w:val="000000"/>
          <w:sz w:val="24"/>
          <w:szCs w:val="24"/>
        </w:rPr>
        <w:t xml:space="preserve"> </w:t>
      </w:r>
      <w:r w:rsidR="00B95B6C">
        <w:rPr>
          <w:rFonts w:ascii="Times New Roman" w:eastAsia="Calibri" w:hAnsi="Times New Roman" w:cs="Times New Roman"/>
          <w:color w:val="000000"/>
          <w:sz w:val="24"/>
          <w:szCs w:val="24"/>
        </w:rPr>
        <w:t>cited in approval:</w:t>
      </w:r>
      <w:r w:rsidR="00F57947" w:rsidRPr="00EC1617">
        <w:rPr>
          <w:rFonts w:ascii="Times New Roman" w:eastAsia="Calibri" w:hAnsi="Times New Roman" w:cs="Times New Roman"/>
          <w:color w:val="000000"/>
          <w:sz w:val="24"/>
          <w:szCs w:val="24"/>
        </w:rPr>
        <w:t xml:space="preserve"> </w:t>
      </w:r>
    </w:p>
    <w:p w:rsidR="00F72A12" w:rsidRPr="00040328" w:rsidRDefault="00EC1617" w:rsidP="00040328">
      <w:pPr>
        <w:spacing w:after="0" w:line="240" w:lineRule="auto"/>
        <w:ind w:left="720"/>
        <w:jc w:val="both"/>
        <w:rPr>
          <w:rFonts w:ascii="Times New Roman" w:eastAsia="Calibri" w:hAnsi="Times New Roman" w:cs="Times New Roman"/>
          <w:color w:val="000000"/>
        </w:rPr>
      </w:pPr>
      <w:r w:rsidRPr="00040328">
        <w:rPr>
          <w:rFonts w:ascii="Times New Roman" w:eastAsia="Calibri" w:hAnsi="Times New Roman" w:cs="Times New Roman"/>
          <w:color w:val="000000"/>
        </w:rPr>
        <w:t>“</w:t>
      </w:r>
      <w:r w:rsidR="00126FEF" w:rsidRPr="00040328">
        <w:rPr>
          <w:rFonts w:ascii="Times New Roman" w:eastAsia="Calibri" w:hAnsi="Times New Roman" w:cs="Times New Roman"/>
          <w:color w:val="000000"/>
        </w:rPr>
        <w:t>But the Commissioner would be properly aggrieved if a transaction or operation were entered into which prevented income from accruing to the taxpayer while leaving him in the position of one to whom the income would normally and naturally accrue</w:t>
      </w:r>
      <w:r w:rsidRPr="00040328">
        <w:rPr>
          <w:rFonts w:ascii="Times New Roman" w:eastAsia="Calibri" w:hAnsi="Times New Roman" w:cs="Times New Roman"/>
          <w:color w:val="000000"/>
        </w:rPr>
        <w:t>.</w:t>
      </w:r>
    </w:p>
    <w:p w:rsidR="00F72A12" w:rsidRPr="00040328" w:rsidRDefault="00F72A12" w:rsidP="00040328">
      <w:pPr>
        <w:spacing w:after="0" w:line="240" w:lineRule="auto"/>
        <w:ind w:left="720"/>
        <w:jc w:val="both"/>
        <w:rPr>
          <w:rFonts w:ascii="Times New Roman" w:eastAsia="Calibri" w:hAnsi="Times New Roman" w:cs="Times New Roman"/>
          <w:color w:val="000000"/>
        </w:rPr>
      </w:pPr>
      <w:r w:rsidRPr="00040328">
        <w:rPr>
          <w:rFonts w:ascii="Times New Roman" w:eastAsia="Calibri" w:hAnsi="Times New Roman" w:cs="Times New Roman"/>
          <w:color w:val="000000"/>
        </w:rPr>
        <w:t>And</w:t>
      </w:r>
    </w:p>
    <w:p w:rsidR="00040328" w:rsidRDefault="00F72A12" w:rsidP="00040328">
      <w:pPr>
        <w:spacing w:after="0" w:line="240" w:lineRule="auto"/>
        <w:ind w:left="720"/>
        <w:jc w:val="both"/>
        <w:rPr>
          <w:rFonts w:ascii="Times New Roman" w:eastAsia="Calibri" w:hAnsi="Times New Roman" w:cs="Times New Roman"/>
          <w:color w:val="000000"/>
        </w:rPr>
      </w:pPr>
      <w:r w:rsidRPr="00040328">
        <w:rPr>
          <w:rFonts w:ascii="Times New Roman" w:eastAsia="Calibri" w:hAnsi="Times New Roman" w:cs="Times New Roman"/>
          <w:color w:val="000000"/>
        </w:rPr>
        <w:t xml:space="preserve">Now normally and naturally the owner of an income-producing asset receives the income and the labourer receives the reward for his labour. Any departure from this order of things, if done with the object of prejudicing the </w:t>
      </w:r>
      <w:r w:rsidRPr="00040328">
        <w:rPr>
          <w:rFonts w:ascii="Times New Roman" w:eastAsia="Calibri" w:hAnsi="Times New Roman" w:cs="Times New Roman"/>
          <w:i/>
          <w:color w:val="000000"/>
        </w:rPr>
        <w:t xml:space="preserve">fiscus, </w:t>
      </w:r>
      <w:r w:rsidRPr="00040328">
        <w:rPr>
          <w:rFonts w:ascii="Times New Roman" w:eastAsia="Calibri" w:hAnsi="Times New Roman" w:cs="Times New Roman"/>
          <w:color w:val="000000"/>
        </w:rPr>
        <w:t>is the subject of the legitimate objection by the Commissioner, which is met by the machinery of the section.”</w:t>
      </w:r>
    </w:p>
    <w:p w:rsidR="00CE431E" w:rsidRPr="00040328" w:rsidRDefault="00F72A12" w:rsidP="00040328">
      <w:pPr>
        <w:spacing w:after="0" w:line="240" w:lineRule="auto"/>
        <w:ind w:left="720"/>
        <w:jc w:val="both"/>
        <w:rPr>
          <w:rFonts w:ascii="Times New Roman" w:hAnsi="Times New Roman" w:cs="Times New Roman"/>
        </w:rPr>
      </w:pPr>
      <w:r w:rsidRPr="00040328">
        <w:rPr>
          <w:rFonts w:ascii="Times New Roman" w:eastAsia="Calibri" w:hAnsi="Times New Roman" w:cs="Times New Roman"/>
          <w:color w:val="000000"/>
        </w:rPr>
        <w:t xml:space="preserve"> </w:t>
      </w:r>
      <w:r w:rsidRPr="00040328">
        <w:rPr>
          <w:rFonts w:ascii="Times New Roman" w:eastAsia="Calibri" w:hAnsi="Times New Roman" w:cs="Times New Roman"/>
          <w:i/>
          <w:color w:val="000000"/>
        </w:rPr>
        <w:t xml:space="preserve"> </w:t>
      </w:r>
    </w:p>
    <w:p w:rsidR="00DF78F1" w:rsidRPr="00040328" w:rsidRDefault="00AC5CDD" w:rsidP="00040328">
      <w:pPr>
        <w:spacing w:after="0" w:line="360" w:lineRule="auto"/>
        <w:ind w:firstLine="720"/>
        <w:jc w:val="both"/>
        <w:rPr>
          <w:rFonts w:ascii="Times New Roman" w:hAnsi="Times New Roman" w:cs="Times New Roman"/>
          <w:sz w:val="24"/>
          <w:szCs w:val="24"/>
        </w:rPr>
      </w:pPr>
      <w:r w:rsidRPr="007B735F">
        <w:rPr>
          <w:rFonts w:ascii="Times New Roman" w:hAnsi="Times New Roman" w:cs="Times New Roman"/>
          <w:sz w:val="24"/>
          <w:szCs w:val="24"/>
        </w:rPr>
        <w:t>I am satisfied that t</w:t>
      </w:r>
      <w:r w:rsidR="00E36FA4" w:rsidRPr="007B735F">
        <w:rPr>
          <w:rFonts w:ascii="Times New Roman" w:hAnsi="Times New Roman" w:cs="Times New Roman"/>
          <w:sz w:val="24"/>
          <w:szCs w:val="24"/>
        </w:rPr>
        <w:t xml:space="preserve">he </w:t>
      </w:r>
      <w:r w:rsidR="00E04DDF">
        <w:rPr>
          <w:rFonts w:ascii="Times New Roman" w:hAnsi="Times New Roman" w:cs="Times New Roman"/>
          <w:sz w:val="24"/>
          <w:szCs w:val="24"/>
        </w:rPr>
        <w:t xml:space="preserve">income that was divested to SCI was in reality the income of the appellant. The Commissioner, therefore, </w:t>
      </w:r>
      <w:r w:rsidR="00E36FA4" w:rsidRPr="007B735F">
        <w:rPr>
          <w:rFonts w:ascii="Times New Roman" w:hAnsi="Times New Roman" w:cs="Times New Roman"/>
          <w:sz w:val="24"/>
          <w:szCs w:val="24"/>
        </w:rPr>
        <w:t xml:space="preserve">correctly </w:t>
      </w:r>
      <w:r w:rsidRPr="007B735F">
        <w:rPr>
          <w:rFonts w:ascii="Times New Roman" w:hAnsi="Times New Roman" w:cs="Times New Roman"/>
          <w:sz w:val="24"/>
          <w:szCs w:val="24"/>
        </w:rPr>
        <w:t xml:space="preserve">found the ways and means and in the alternative the rights or obligations created by the TOS in respect of royalty fees to have been abnormal. </w:t>
      </w:r>
    </w:p>
    <w:p w:rsidR="007E6150" w:rsidRPr="00040328" w:rsidRDefault="0029502F" w:rsidP="00D31F13">
      <w:pPr>
        <w:autoSpaceDE w:val="0"/>
        <w:autoSpaceDN w:val="0"/>
        <w:adjustRightInd w:val="0"/>
        <w:spacing w:after="0" w:line="360" w:lineRule="auto"/>
        <w:jc w:val="both"/>
        <w:rPr>
          <w:rFonts w:ascii="Times New Roman" w:hAnsi="Times New Roman" w:cs="Times New Roman"/>
          <w:i/>
          <w:sz w:val="24"/>
          <w:szCs w:val="24"/>
          <w:lang w:val="en-US"/>
        </w:rPr>
      </w:pPr>
      <w:r w:rsidRPr="00ED4E63">
        <w:rPr>
          <w:rFonts w:ascii="Times New Roman" w:hAnsi="Times New Roman" w:cs="Times New Roman"/>
          <w:i/>
          <w:sz w:val="24"/>
          <w:szCs w:val="24"/>
          <w:lang w:val="en-US"/>
        </w:rPr>
        <w:t>The further opinion that the avoidance, postponement or reduction of tax liability was the sole purpose or one of main purposes of the TOS</w:t>
      </w:r>
    </w:p>
    <w:p w:rsidR="009D5340" w:rsidRDefault="00EB0479" w:rsidP="00040328">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sidR="0029502F">
        <w:rPr>
          <w:rFonts w:ascii="Times New Roman" w:hAnsi="Times New Roman" w:cs="Times New Roman"/>
          <w:sz w:val="24"/>
          <w:szCs w:val="24"/>
          <w:lang w:val="en-US"/>
        </w:rPr>
        <w:t>am unable to impugn the opinion of the Commissioner that one of the main purposes for embarking on such a TOS was to avoid or reduce the tax liability of the ap</w:t>
      </w:r>
      <w:r w:rsidR="00CC1069">
        <w:rPr>
          <w:rFonts w:ascii="Times New Roman" w:hAnsi="Times New Roman" w:cs="Times New Roman"/>
          <w:sz w:val="24"/>
          <w:szCs w:val="24"/>
          <w:lang w:val="en-US"/>
        </w:rPr>
        <w:t>pellant. I, however, accept the other main reason</w:t>
      </w:r>
      <w:r w:rsidR="0029502F">
        <w:rPr>
          <w:rFonts w:ascii="Times New Roman" w:hAnsi="Times New Roman" w:cs="Times New Roman"/>
          <w:sz w:val="24"/>
          <w:szCs w:val="24"/>
          <w:lang w:val="en-US"/>
        </w:rPr>
        <w:t xml:space="preserve"> for doing so was to benefit from the favourable </w:t>
      </w:r>
      <w:r w:rsidR="0029502F">
        <w:rPr>
          <w:rFonts w:ascii="Times New Roman" w:hAnsi="Times New Roman" w:cs="Times New Roman"/>
          <w:sz w:val="24"/>
          <w:szCs w:val="24"/>
          <w:lang w:val="en-US"/>
        </w:rPr>
        <w:lastRenderedPageBreak/>
        <w:t>investment and capital raising laws in B</w:t>
      </w:r>
      <w:r w:rsidR="00515B8E">
        <w:rPr>
          <w:rFonts w:ascii="Times New Roman" w:hAnsi="Times New Roman" w:cs="Times New Roman"/>
          <w:sz w:val="24"/>
          <w:szCs w:val="24"/>
          <w:lang w:val="en-US"/>
        </w:rPr>
        <w:t>ots</w:t>
      </w:r>
      <w:r w:rsidR="0029502F">
        <w:rPr>
          <w:rFonts w:ascii="Times New Roman" w:hAnsi="Times New Roman" w:cs="Times New Roman"/>
          <w:sz w:val="24"/>
          <w:szCs w:val="24"/>
          <w:lang w:val="en-US"/>
        </w:rPr>
        <w:t>wana</w:t>
      </w:r>
      <w:r w:rsidR="00515B8E">
        <w:rPr>
          <w:rFonts w:ascii="Times New Roman" w:hAnsi="Times New Roman" w:cs="Times New Roman"/>
          <w:sz w:val="24"/>
          <w:szCs w:val="24"/>
          <w:lang w:val="en-US"/>
        </w:rPr>
        <w:t xml:space="preserve"> in 2005. However, that purpose lost its luster in the period of the tax review, which coincided with the introduction of </w:t>
      </w:r>
      <w:r w:rsidR="007E6150">
        <w:rPr>
          <w:rFonts w:ascii="Times New Roman" w:hAnsi="Times New Roman" w:cs="Times New Roman"/>
          <w:sz w:val="24"/>
          <w:szCs w:val="24"/>
          <w:lang w:val="en-US"/>
        </w:rPr>
        <w:t xml:space="preserve">a </w:t>
      </w:r>
      <w:r w:rsidR="00515B8E">
        <w:rPr>
          <w:rFonts w:ascii="Times New Roman" w:hAnsi="Times New Roman" w:cs="Times New Roman"/>
          <w:sz w:val="24"/>
          <w:szCs w:val="24"/>
          <w:lang w:val="en-US"/>
        </w:rPr>
        <w:t>vibrant multicurrency regime and con</w:t>
      </w:r>
      <w:r w:rsidR="002273D4">
        <w:rPr>
          <w:rFonts w:ascii="Times New Roman" w:hAnsi="Times New Roman" w:cs="Times New Roman"/>
          <w:sz w:val="24"/>
          <w:szCs w:val="24"/>
          <w:lang w:val="en-US"/>
        </w:rPr>
        <w:t>sequent</w:t>
      </w:r>
      <w:r w:rsidR="00515B8E">
        <w:rPr>
          <w:rFonts w:ascii="Times New Roman" w:hAnsi="Times New Roman" w:cs="Times New Roman"/>
          <w:sz w:val="24"/>
          <w:szCs w:val="24"/>
          <w:lang w:val="en-US"/>
        </w:rPr>
        <w:t xml:space="preserve"> creation of favourable macroeconomic policies</w:t>
      </w:r>
      <w:r w:rsidR="00CC1069">
        <w:rPr>
          <w:rFonts w:ascii="Times New Roman" w:hAnsi="Times New Roman" w:cs="Times New Roman"/>
          <w:sz w:val="24"/>
          <w:szCs w:val="24"/>
          <w:lang w:val="en-US"/>
        </w:rPr>
        <w:t xml:space="preserve"> in Zimbabwe</w:t>
      </w:r>
      <w:r w:rsidR="00515B8E">
        <w:rPr>
          <w:rFonts w:ascii="Times New Roman" w:hAnsi="Times New Roman" w:cs="Times New Roman"/>
          <w:sz w:val="24"/>
          <w:szCs w:val="24"/>
          <w:lang w:val="en-US"/>
        </w:rPr>
        <w:t xml:space="preserve">. </w:t>
      </w:r>
    </w:p>
    <w:p w:rsidR="007A70E1" w:rsidRDefault="00012C10" w:rsidP="006F4778">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cumulative effect of the existence of a TOS and the two separate opinions of the </w:t>
      </w:r>
      <w:r w:rsidR="007E6150">
        <w:rPr>
          <w:rFonts w:ascii="Times New Roman" w:hAnsi="Times New Roman" w:cs="Times New Roman"/>
          <w:sz w:val="24"/>
          <w:szCs w:val="24"/>
          <w:lang w:val="en-US"/>
        </w:rPr>
        <w:t>Commissioner</w:t>
      </w:r>
      <w:r>
        <w:rPr>
          <w:rFonts w:ascii="Times New Roman" w:hAnsi="Times New Roman" w:cs="Times New Roman"/>
          <w:sz w:val="24"/>
          <w:szCs w:val="24"/>
          <w:lang w:val="en-US"/>
        </w:rPr>
        <w:t xml:space="preserve"> inevitably required her to implement the closing words of s 98. She was obliged to </w:t>
      </w:r>
      <w:r w:rsidR="000248AC">
        <w:rPr>
          <w:rFonts w:ascii="Times New Roman" w:hAnsi="Times New Roman" w:cs="Times New Roman"/>
          <w:sz w:val="24"/>
          <w:szCs w:val="24"/>
          <w:lang w:val="en-US"/>
        </w:rPr>
        <w:t>“</w:t>
      </w:r>
      <w:r w:rsidR="000248AC" w:rsidRPr="0009224A">
        <w:rPr>
          <w:rFonts w:ascii="Times New Roman" w:hAnsi="Times New Roman" w:cs="Times New Roman"/>
          <w:sz w:val="24"/>
          <w:szCs w:val="24"/>
          <w:lang w:val="en-US"/>
        </w:rPr>
        <w:t>determine the liability for any tax and the amount thereof as if the transaction, operation or scheme had not been entered into or carried out, or in such manner as in the circumstances of the case he considers appropriate for the prevention or diminution of such avoidance, postponement or reduction.</w:t>
      </w:r>
      <w:r w:rsidR="000248AC">
        <w:rPr>
          <w:rFonts w:ascii="Times New Roman" w:hAnsi="Times New Roman" w:cs="Times New Roman"/>
          <w:sz w:val="24"/>
          <w:szCs w:val="24"/>
          <w:lang w:val="en-US"/>
        </w:rPr>
        <w:t>”</w:t>
      </w:r>
      <w:r w:rsidR="00E920DF">
        <w:rPr>
          <w:rFonts w:ascii="Times New Roman" w:hAnsi="Times New Roman" w:cs="Times New Roman"/>
          <w:sz w:val="24"/>
          <w:szCs w:val="24"/>
          <w:lang w:val="en-US"/>
        </w:rPr>
        <w:t xml:space="preserve"> </w:t>
      </w:r>
      <w:r w:rsidR="00217F3D">
        <w:rPr>
          <w:rFonts w:ascii="Times New Roman" w:hAnsi="Times New Roman" w:cs="Times New Roman"/>
          <w:sz w:val="24"/>
          <w:szCs w:val="24"/>
          <w:lang w:val="en-US"/>
        </w:rPr>
        <w:t>The Commissioner</w:t>
      </w:r>
      <w:r w:rsidR="00E920DF">
        <w:rPr>
          <w:rFonts w:ascii="Times New Roman" w:hAnsi="Times New Roman" w:cs="Times New Roman"/>
          <w:sz w:val="24"/>
          <w:szCs w:val="24"/>
          <w:lang w:val="en-US"/>
        </w:rPr>
        <w:t xml:space="preserve"> could </w:t>
      </w:r>
      <w:r w:rsidR="00217F3D">
        <w:rPr>
          <w:rFonts w:ascii="Times New Roman" w:hAnsi="Times New Roman" w:cs="Times New Roman"/>
          <w:sz w:val="24"/>
          <w:szCs w:val="24"/>
          <w:lang w:val="en-US"/>
        </w:rPr>
        <w:t>efficaciously do so</w:t>
      </w:r>
      <w:r w:rsidR="00E920DF">
        <w:rPr>
          <w:rFonts w:ascii="Times New Roman" w:hAnsi="Times New Roman" w:cs="Times New Roman"/>
          <w:sz w:val="24"/>
          <w:szCs w:val="24"/>
          <w:lang w:val="en-US"/>
        </w:rPr>
        <w:t xml:space="preserve"> with the cooperation of the appellant.</w:t>
      </w:r>
      <w:r w:rsidR="00217F3D">
        <w:rPr>
          <w:rFonts w:ascii="Times New Roman" w:hAnsi="Times New Roman" w:cs="Times New Roman"/>
          <w:sz w:val="24"/>
          <w:szCs w:val="24"/>
          <w:lang w:val="en-US"/>
        </w:rPr>
        <w:t xml:space="preserve"> </w:t>
      </w:r>
      <w:r w:rsidR="004633E2">
        <w:rPr>
          <w:rFonts w:ascii="Times New Roman" w:hAnsi="Times New Roman" w:cs="Times New Roman"/>
          <w:sz w:val="24"/>
          <w:szCs w:val="24"/>
          <w:lang w:val="en-US"/>
        </w:rPr>
        <w:t xml:space="preserve">The cooperation between the parties was exemplified by the </w:t>
      </w:r>
      <w:r w:rsidR="007E6150">
        <w:rPr>
          <w:rFonts w:ascii="Times New Roman" w:hAnsi="Times New Roman" w:cs="Times New Roman"/>
          <w:sz w:val="24"/>
          <w:szCs w:val="24"/>
          <w:lang w:val="en-US"/>
        </w:rPr>
        <w:t>Commissioner and appellant’s acceptance</w:t>
      </w:r>
      <w:r w:rsidR="004633E2">
        <w:rPr>
          <w:rFonts w:ascii="Times New Roman" w:hAnsi="Times New Roman" w:cs="Times New Roman"/>
          <w:sz w:val="24"/>
          <w:szCs w:val="24"/>
          <w:lang w:val="en-US"/>
        </w:rPr>
        <w:t xml:space="preserve"> to treat</w:t>
      </w:r>
      <w:r w:rsidR="007E6150">
        <w:rPr>
          <w:rFonts w:ascii="Times New Roman" w:hAnsi="Times New Roman" w:cs="Times New Roman"/>
          <w:sz w:val="24"/>
          <w:szCs w:val="24"/>
          <w:lang w:val="en-US"/>
        </w:rPr>
        <w:t xml:space="preserve"> and use </w:t>
      </w:r>
      <w:r w:rsidR="004633E2">
        <w:rPr>
          <w:rFonts w:ascii="Times New Roman" w:hAnsi="Times New Roman" w:cs="Times New Roman"/>
          <w:sz w:val="24"/>
          <w:szCs w:val="24"/>
          <w:lang w:val="en-US"/>
        </w:rPr>
        <w:t xml:space="preserve">the SCI-Malawi agreement as </w:t>
      </w:r>
      <w:r w:rsidR="00CC1069">
        <w:rPr>
          <w:rFonts w:ascii="Times New Roman" w:hAnsi="Times New Roman" w:cs="Times New Roman"/>
          <w:sz w:val="24"/>
          <w:szCs w:val="24"/>
          <w:lang w:val="en-US"/>
        </w:rPr>
        <w:t xml:space="preserve">the </w:t>
      </w:r>
      <w:r w:rsidR="007E6150">
        <w:rPr>
          <w:rFonts w:ascii="Times New Roman" w:hAnsi="Times New Roman" w:cs="Times New Roman"/>
          <w:sz w:val="24"/>
          <w:szCs w:val="24"/>
          <w:lang w:val="en-US"/>
        </w:rPr>
        <w:t>basis for calculating</w:t>
      </w:r>
      <w:r w:rsidR="004633E2">
        <w:rPr>
          <w:rFonts w:ascii="Times New Roman" w:hAnsi="Times New Roman" w:cs="Times New Roman"/>
          <w:sz w:val="24"/>
          <w:szCs w:val="24"/>
          <w:lang w:val="en-US"/>
        </w:rPr>
        <w:t xml:space="preserve"> the imputed or notional royalties that were deemed to have accrued to the appellant. The purported “without prejudice” communication from the appellant must therefore be viewed in this light. The without prejudice communication cumulatively related to the computation rates and not to liability. As I have indicated elsewhere in this judgment, the question of liability was neve</w:t>
      </w:r>
      <w:r w:rsidR="000B0CC3">
        <w:rPr>
          <w:rFonts w:ascii="Times New Roman" w:hAnsi="Times New Roman" w:cs="Times New Roman"/>
          <w:sz w:val="24"/>
          <w:szCs w:val="24"/>
          <w:lang w:val="en-US"/>
        </w:rPr>
        <w:t xml:space="preserve">r disputed until much later. By then, the horse had bolted. The appellant’s case had been crystallized by the position it adopted in its objection, which in tax disputes </w:t>
      </w:r>
      <w:r w:rsidR="007E6150">
        <w:rPr>
          <w:rFonts w:ascii="Times New Roman" w:hAnsi="Times New Roman" w:cs="Times New Roman"/>
          <w:sz w:val="24"/>
          <w:szCs w:val="24"/>
          <w:lang w:val="en-US"/>
        </w:rPr>
        <w:t xml:space="preserve">is </w:t>
      </w:r>
      <w:r w:rsidR="000B0CC3">
        <w:rPr>
          <w:rFonts w:ascii="Times New Roman" w:hAnsi="Times New Roman" w:cs="Times New Roman"/>
          <w:sz w:val="24"/>
          <w:szCs w:val="24"/>
          <w:lang w:val="en-US"/>
        </w:rPr>
        <w:t>the key pleading which freezes the rights which the Commissioner and later the Special Court for Income Tax Appeals can determine.</w:t>
      </w:r>
    </w:p>
    <w:p w:rsidR="000B0CC3" w:rsidRDefault="000B0CC3" w:rsidP="00A177F2">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appellant’s fervent belief that the Commissioner was obliged to compute an arm’s length notional royalty is not borne out by the closing words of s 98.  All that is required of her is to assess, in her discretion, a figure that totally extirpates the TOS or one that </w:t>
      </w:r>
      <w:r w:rsidR="005F36E9">
        <w:rPr>
          <w:rFonts w:ascii="Times New Roman" w:hAnsi="Times New Roman" w:cs="Times New Roman"/>
          <w:sz w:val="24"/>
          <w:szCs w:val="24"/>
          <w:lang w:val="en-US"/>
        </w:rPr>
        <w:t>takes away the illicit tax gain. This the Commissioner did by using the profit before tax figure for maize sales provided by the appellant. The appellant criticized it for including sales derived from other hybrid seed varieties. In my view, the criticism was unwarranted. I find the use of that formula to have been</w:t>
      </w:r>
      <w:r w:rsidR="008A53F3">
        <w:rPr>
          <w:rFonts w:ascii="Times New Roman" w:hAnsi="Times New Roman" w:cs="Times New Roman"/>
          <w:sz w:val="24"/>
          <w:szCs w:val="24"/>
          <w:lang w:val="en-US"/>
        </w:rPr>
        <w:t xml:space="preserve"> eminently sensible. This is because the </w:t>
      </w:r>
      <w:r w:rsidR="00D431B8">
        <w:rPr>
          <w:rFonts w:ascii="Times New Roman" w:hAnsi="Times New Roman" w:cs="Times New Roman"/>
          <w:sz w:val="24"/>
          <w:szCs w:val="24"/>
          <w:lang w:val="en-US"/>
        </w:rPr>
        <w:t>general trademark was asso</w:t>
      </w:r>
      <w:r w:rsidR="00CB6EAD">
        <w:rPr>
          <w:rFonts w:ascii="Times New Roman" w:hAnsi="Times New Roman" w:cs="Times New Roman"/>
          <w:sz w:val="24"/>
          <w:szCs w:val="24"/>
          <w:lang w:val="en-US"/>
        </w:rPr>
        <w:t>ciated with all the hybrid</w:t>
      </w:r>
      <w:r w:rsidR="00D431B8">
        <w:rPr>
          <w:rFonts w:ascii="Times New Roman" w:hAnsi="Times New Roman" w:cs="Times New Roman"/>
          <w:sz w:val="24"/>
          <w:szCs w:val="24"/>
          <w:lang w:val="en-US"/>
        </w:rPr>
        <w:t xml:space="preserve"> seed varieties sold in country by all the subsidiaries and from which the Commissioner derived the </w:t>
      </w:r>
      <w:r w:rsidR="008A53F3">
        <w:rPr>
          <w:rFonts w:ascii="Times New Roman" w:hAnsi="Times New Roman" w:cs="Times New Roman"/>
          <w:sz w:val="24"/>
          <w:szCs w:val="24"/>
          <w:lang w:val="en-US"/>
        </w:rPr>
        <w:t xml:space="preserve">gross </w:t>
      </w:r>
      <w:r w:rsidR="00D431B8">
        <w:rPr>
          <w:rFonts w:ascii="Times New Roman" w:hAnsi="Times New Roman" w:cs="Times New Roman"/>
          <w:sz w:val="24"/>
          <w:szCs w:val="24"/>
          <w:lang w:val="en-US"/>
        </w:rPr>
        <w:t xml:space="preserve">profit. </w:t>
      </w:r>
    </w:p>
    <w:p w:rsidR="003E4A3D" w:rsidRDefault="003E4A3D" w:rsidP="002B7734">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amended assessmen</w:t>
      </w:r>
      <w:r w:rsidR="00451B5F">
        <w:rPr>
          <w:rFonts w:ascii="Times New Roman" w:hAnsi="Times New Roman" w:cs="Times New Roman"/>
          <w:sz w:val="24"/>
          <w:szCs w:val="24"/>
          <w:lang w:val="en-US"/>
        </w:rPr>
        <w:t>ts issued by the Commissioner</w:t>
      </w:r>
      <w:r>
        <w:rPr>
          <w:rFonts w:ascii="Times New Roman" w:hAnsi="Times New Roman" w:cs="Times New Roman"/>
          <w:sz w:val="24"/>
          <w:szCs w:val="24"/>
          <w:lang w:val="en-US"/>
        </w:rPr>
        <w:t xml:space="preserve"> are therefore unimpeachable. </w:t>
      </w:r>
    </w:p>
    <w:p w:rsidR="00607925" w:rsidRPr="00E51E45" w:rsidRDefault="00CF5A99" w:rsidP="00D31F13">
      <w:pPr>
        <w:autoSpaceDE w:val="0"/>
        <w:autoSpaceDN w:val="0"/>
        <w:adjustRightInd w:val="0"/>
        <w:spacing w:after="0" w:line="360" w:lineRule="auto"/>
        <w:jc w:val="both"/>
        <w:rPr>
          <w:rFonts w:ascii="Times New Roman" w:hAnsi="Times New Roman" w:cs="Times New Roman"/>
          <w:sz w:val="24"/>
          <w:szCs w:val="24"/>
          <w:u w:val="single"/>
          <w:lang w:val="en-US"/>
        </w:rPr>
      </w:pPr>
      <w:r>
        <w:rPr>
          <w:rFonts w:ascii="Times New Roman" w:hAnsi="Times New Roman" w:cs="Times New Roman"/>
          <w:sz w:val="24"/>
          <w:szCs w:val="24"/>
          <w:u w:val="single"/>
          <w:lang w:val="en-US"/>
        </w:rPr>
        <w:t>Penalty</w:t>
      </w:r>
      <w:r w:rsidR="00A61CCB" w:rsidRPr="00E51E45">
        <w:rPr>
          <w:rFonts w:ascii="Times New Roman" w:hAnsi="Times New Roman" w:cs="Times New Roman"/>
          <w:sz w:val="24"/>
          <w:szCs w:val="24"/>
          <w:u w:val="single"/>
          <w:lang w:val="en-US"/>
        </w:rPr>
        <w:t xml:space="preserve"> </w:t>
      </w:r>
    </w:p>
    <w:p w:rsidR="00462616" w:rsidRDefault="00462616" w:rsidP="00B55E75">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CF5A99">
        <w:rPr>
          <w:rFonts w:ascii="Times New Roman" w:hAnsi="Times New Roman" w:cs="Times New Roman"/>
          <w:sz w:val="24"/>
          <w:szCs w:val="24"/>
          <w:lang w:val="en-US"/>
        </w:rPr>
        <w:t xml:space="preserve">case manager first imposed a penalty of 100%, which he reduced to 75% on 2 August 2013. However in the assessment letter of 25 November 2013, he further reduced it to </w:t>
      </w:r>
      <w:r w:rsidR="00CF5A99">
        <w:rPr>
          <w:rFonts w:ascii="Times New Roman" w:hAnsi="Times New Roman" w:cs="Times New Roman"/>
          <w:sz w:val="24"/>
          <w:szCs w:val="24"/>
          <w:lang w:val="en-US"/>
        </w:rPr>
        <w:lastRenderedPageBreak/>
        <w:t xml:space="preserve">60%. In the exercise of her s 62 (4) </w:t>
      </w:r>
      <w:r w:rsidR="007D1C87">
        <w:rPr>
          <w:rFonts w:ascii="Times New Roman" w:hAnsi="Times New Roman" w:cs="Times New Roman"/>
          <w:sz w:val="24"/>
          <w:szCs w:val="24"/>
          <w:lang w:val="en-US"/>
        </w:rPr>
        <w:t xml:space="preserve">of the Income Tax </w:t>
      </w:r>
      <w:r w:rsidR="00CF5A99">
        <w:rPr>
          <w:rFonts w:ascii="Times New Roman" w:hAnsi="Times New Roman" w:cs="Times New Roman"/>
          <w:sz w:val="24"/>
          <w:szCs w:val="24"/>
          <w:lang w:val="en-US"/>
        </w:rPr>
        <w:t xml:space="preserve">powers the Commissioner increased the penalty to 100%. </w:t>
      </w:r>
    </w:p>
    <w:p w:rsidR="008A69F0" w:rsidRDefault="00CF5A99" w:rsidP="008A69F0">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argument, Mr </w:t>
      </w:r>
      <w:r w:rsidRPr="0082057E">
        <w:rPr>
          <w:rFonts w:ascii="Times New Roman" w:hAnsi="Times New Roman" w:cs="Times New Roman"/>
          <w:i/>
          <w:sz w:val="24"/>
          <w:szCs w:val="24"/>
          <w:lang w:val="en-US"/>
        </w:rPr>
        <w:t xml:space="preserve">Erasmus </w:t>
      </w:r>
      <w:r>
        <w:rPr>
          <w:rFonts w:ascii="Times New Roman" w:hAnsi="Times New Roman" w:cs="Times New Roman"/>
          <w:sz w:val="24"/>
          <w:szCs w:val="24"/>
          <w:lang w:val="en-US"/>
        </w:rPr>
        <w:t>wrongly contented that the Commissioner was not imbued with the power to alter the penalty imposed in the assessments. He wrongly sought to separate the penalty from the assessment. My view is that the assessment includes the principal amount, penalty and interest, which in any event was what the appellant had objected to. The power to impose a penalty befitting the offender, the offence and the interests of the community is reposed in the Commissioner by the overarching provisions of s 46 of the Income Tax Act</w:t>
      </w:r>
      <w:r w:rsidR="0082057E">
        <w:rPr>
          <w:rFonts w:ascii="Times New Roman" w:hAnsi="Times New Roman" w:cs="Times New Roman"/>
          <w:sz w:val="24"/>
          <w:szCs w:val="24"/>
          <w:lang w:val="en-US"/>
        </w:rPr>
        <w:t>, which inter alia hit any taxpayer who, inter alia fails to submit returns or submits incorrect returns as happened in the present matter</w:t>
      </w:r>
      <w:r>
        <w:rPr>
          <w:rFonts w:ascii="Times New Roman" w:hAnsi="Times New Roman" w:cs="Times New Roman"/>
          <w:sz w:val="24"/>
          <w:szCs w:val="24"/>
          <w:lang w:val="en-US"/>
        </w:rPr>
        <w:t xml:space="preserve">. </w:t>
      </w:r>
    </w:p>
    <w:p w:rsidR="008A69F0" w:rsidRDefault="008A69F0" w:rsidP="00B55E75">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Like the Commissioner, I am satisfied that the conduct of the appellant through its GFD was reprehensible. I am not persuaded that the appellant sought to apply the OECD TPGs in good faith at all. That conduct showed that the failu</w:t>
      </w:r>
      <w:r w:rsidR="0082057E">
        <w:rPr>
          <w:rFonts w:ascii="Times New Roman" w:hAnsi="Times New Roman" w:cs="Times New Roman"/>
          <w:sz w:val="24"/>
          <w:szCs w:val="24"/>
          <w:lang w:val="en-US"/>
        </w:rPr>
        <w:t>re to render any tax returns on</w:t>
      </w:r>
      <w:r>
        <w:rPr>
          <w:rFonts w:ascii="Times New Roman" w:hAnsi="Times New Roman" w:cs="Times New Roman"/>
          <w:sz w:val="24"/>
          <w:szCs w:val="24"/>
          <w:lang w:val="en-US"/>
        </w:rPr>
        <w:t xml:space="preserve"> the part of the appellant was deliberately designed to defraud the revenue. In these circumstances the only befitting penalty is the maximum possib</w:t>
      </w:r>
      <w:r w:rsidR="0082057E">
        <w:rPr>
          <w:rFonts w:ascii="Times New Roman" w:hAnsi="Times New Roman" w:cs="Times New Roman"/>
          <w:sz w:val="24"/>
          <w:szCs w:val="24"/>
          <w:lang w:val="en-US"/>
        </w:rPr>
        <w:t>le penalty provided by s 46,</w:t>
      </w:r>
      <w:r>
        <w:rPr>
          <w:rFonts w:ascii="Times New Roman" w:hAnsi="Times New Roman" w:cs="Times New Roman"/>
          <w:sz w:val="24"/>
          <w:szCs w:val="24"/>
          <w:lang w:val="en-US"/>
        </w:rPr>
        <w:t xml:space="preserve"> of 100%.</w:t>
      </w:r>
    </w:p>
    <w:p w:rsidR="008A69F0" w:rsidRDefault="008A69F0" w:rsidP="00B55E75">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Accordingly I would, as I do hereby do, impose a penalty of 100%.</w:t>
      </w:r>
    </w:p>
    <w:p w:rsidR="006B1403" w:rsidRPr="0082057E" w:rsidRDefault="006B1403" w:rsidP="0082057E">
      <w:pPr>
        <w:autoSpaceDE w:val="0"/>
        <w:autoSpaceDN w:val="0"/>
        <w:adjustRightInd w:val="0"/>
        <w:spacing w:after="0" w:line="360" w:lineRule="auto"/>
        <w:jc w:val="both"/>
        <w:rPr>
          <w:rFonts w:ascii="Times New Roman" w:hAnsi="Times New Roman" w:cs="Times New Roman"/>
          <w:sz w:val="24"/>
          <w:szCs w:val="24"/>
          <w:lang w:val="en-US"/>
        </w:rPr>
      </w:pPr>
      <w:r w:rsidRPr="00831353">
        <w:rPr>
          <w:rFonts w:ascii="Times New Roman" w:hAnsi="Times New Roman" w:cs="Times New Roman"/>
          <w:sz w:val="24"/>
          <w:szCs w:val="24"/>
          <w:u w:val="single"/>
          <w:lang w:val="en-US"/>
        </w:rPr>
        <w:t>Costs</w:t>
      </w:r>
    </w:p>
    <w:p w:rsidR="008D70E6" w:rsidRDefault="008D70E6" w:rsidP="0029502F">
      <w:pPr>
        <w:autoSpaceDE w:val="0"/>
        <w:autoSpaceDN w:val="0"/>
        <w:adjustRightInd w:val="0"/>
        <w:spacing w:after="0" w:line="240" w:lineRule="auto"/>
        <w:jc w:val="both"/>
        <w:rPr>
          <w:rFonts w:ascii="Times New Roman" w:hAnsi="Times New Roman" w:cs="Times New Roman"/>
          <w:sz w:val="24"/>
          <w:szCs w:val="24"/>
          <w:lang w:val="en-US"/>
        </w:rPr>
      </w:pPr>
    </w:p>
    <w:p w:rsidR="006B1403" w:rsidRDefault="008D70E6" w:rsidP="003419E2">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6B1403">
        <w:rPr>
          <w:rFonts w:ascii="Times New Roman" w:hAnsi="Times New Roman" w:cs="Times New Roman"/>
          <w:sz w:val="24"/>
          <w:szCs w:val="24"/>
          <w:lang w:val="en-US"/>
        </w:rPr>
        <w:t xml:space="preserve"> grounds of appeal were not frivolous. I cannot therefore impose an adverse order for costs against the appellant.</w:t>
      </w:r>
      <w:r w:rsidR="00CF1FB7">
        <w:rPr>
          <w:rFonts w:ascii="Times New Roman" w:hAnsi="Times New Roman" w:cs="Times New Roman"/>
          <w:sz w:val="24"/>
          <w:szCs w:val="24"/>
          <w:lang w:val="en-US"/>
        </w:rPr>
        <w:t xml:space="preserve"> Rather, each party must bear its own costs.</w:t>
      </w:r>
    </w:p>
    <w:p w:rsidR="006B1403" w:rsidRDefault="006B1403" w:rsidP="0029502F">
      <w:pPr>
        <w:autoSpaceDE w:val="0"/>
        <w:autoSpaceDN w:val="0"/>
        <w:adjustRightInd w:val="0"/>
        <w:spacing w:after="0" w:line="240" w:lineRule="auto"/>
        <w:jc w:val="both"/>
        <w:rPr>
          <w:rFonts w:ascii="Times New Roman" w:hAnsi="Times New Roman" w:cs="Times New Roman"/>
          <w:sz w:val="24"/>
          <w:szCs w:val="24"/>
          <w:lang w:val="en-US"/>
        </w:rPr>
      </w:pPr>
    </w:p>
    <w:p w:rsidR="006B1403" w:rsidRPr="00831353" w:rsidRDefault="006B1403" w:rsidP="0029502F">
      <w:pPr>
        <w:autoSpaceDE w:val="0"/>
        <w:autoSpaceDN w:val="0"/>
        <w:adjustRightInd w:val="0"/>
        <w:spacing w:after="0" w:line="240" w:lineRule="auto"/>
        <w:jc w:val="both"/>
        <w:rPr>
          <w:rFonts w:ascii="Times New Roman" w:hAnsi="Times New Roman" w:cs="Times New Roman"/>
          <w:sz w:val="24"/>
          <w:szCs w:val="24"/>
          <w:u w:val="single"/>
          <w:lang w:val="en-US"/>
        </w:rPr>
      </w:pPr>
      <w:r w:rsidRPr="00831353">
        <w:rPr>
          <w:rFonts w:ascii="Times New Roman" w:hAnsi="Times New Roman" w:cs="Times New Roman"/>
          <w:sz w:val="24"/>
          <w:szCs w:val="24"/>
          <w:u w:val="single"/>
          <w:lang w:val="en-US"/>
        </w:rPr>
        <w:t>Disposition</w:t>
      </w:r>
    </w:p>
    <w:p w:rsidR="006B1403" w:rsidRDefault="006B1403" w:rsidP="0029502F">
      <w:pPr>
        <w:autoSpaceDE w:val="0"/>
        <w:autoSpaceDN w:val="0"/>
        <w:adjustRightInd w:val="0"/>
        <w:spacing w:after="0" w:line="240" w:lineRule="auto"/>
        <w:jc w:val="both"/>
        <w:rPr>
          <w:rFonts w:ascii="Times New Roman" w:hAnsi="Times New Roman" w:cs="Times New Roman"/>
          <w:sz w:val="24"/>
          <w:szCs w:val="24"/>
          <w:lang w:val="en-US"/>
        </w:rPr>
      </w:pPr>
    </w:p>
    <w:p w:rsidR="006B1403" w:rsidRDefault="006B1403" w:rsidP="003419E2">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premises I make the following order:</w:t>
      </w:r>
    </w:p>
    <w:p w:rsidR="006B1403" w:rsidRDefault="006B1403" w:rsidP="003419E2">
      <w:pPr>
        <w:pStyle w:val="ListParagraph"/>
        <w:numPr>
          <w:ilvl w:val="0"/>
          <w:numId w:val="32"/>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appeal be and is hereby dismissed in its entirety.</w:t>
      </w:r>
    </w:p>
    <w:p w:rsidR="006B1403" w:rsidRDefault="00296D28" w:rsidP="003419E2">
      <w:pPr>
        <w:pStyle w:val="ListParagraph"/>
        <w:numPr>
          <w:ilvl w:val="0"/>
          <w:numId w:val="32"/>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amended assessments,</w:t>
      </w:r>
      <w:r w:rsidR="00250D99" w:rsidRPr="00250D99">
        <w:rPr>
          <w:rFonts w:ascii="Times New Roman" w:hAnsi="Times New Roman" w:cs="Times New Roman"/>
          <w:sz w:val="24"/>
          <w:szCs w:val="24"/>
        </w:rPr>
        <w:t xml:space="preserve"> numbers 1/699, 1/698; 1/697 and 1/700 </w:t>
      </w:r>
      <w:r w:rsidR="006B1403" w:rsidRPr="00250D99">
        <w:rPr>
          <w:rFonts w:ascii="Times New Roman" w:hAnsi="Times New Roman" w:cs="Times New Roman"/>
          <w:sz w:val="24"/>
          <w:szCs w:val="24"/>
          <w:lang w:val="en-US"/>
        </w:rPr>
        <w:t>issued by</w:t>
      </w:r>
      <w:r w:rsidR="006B1403">
        <w:rPr>
          <w:rFonts w:ascii="Times New Roman" w:hAnsi="Times New Roman" w:cs="Times New Roman"/>
          <w:sz w:val="24"/>
          <w:szCs w:val="24"/>
          <w:lang w:val="en-US"/>
        </w:rPr>
        <w:t xml:space="preserve"> the Commissioner are confirmed.</w:t>
      </w:r>
    </w:p>
    <w:p w:rsidR="006B1403" w:rsidRPr="006B1403" w:rsidRDefault="006B1403" w:rsidP="003419E2">
      <w:pPr>
        <w:pStyle w:val="ListParagraph"/>
        <w:numPr>
          <w:ilvl w:val="0"/>
          <w:numId w:val="32"/>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Each party shall bear its own cost</w:t>
      </w:r>
      <w:r w:rsidR="00BD0234">
        <w:rPr>
          <w:rFonts w:ascii="Times New Roman" w:hAnsi="Times New Roman" w:cs="Times New Roman"/>
          <w:sz w:val="24"/>
          <w:szCs w:val="24"/>
          <w:lang w:val="en-US"/>
        </w:rPr>
        <w:t>s.</w:t>
      </w:r>
    </w:p>
    <w:p w:rsidR="006B1403" w:rsidRDefault="006B1403" w:rsidP="006B1403">
      <w:pPr>
        <w:autoSpaceDE w:val="0"/>
        <w:autoSpaceDN w:val="0"/>
        <w:adjustRightInd w:val="0"/>
        <w:spacing w:after="0" w:line="240" w:lineRule="auto"/>
        <w:ind w:left="360"/>
        <w:jc w:val="both"/>
        <w:rPr>
          <w:rFonts w:ascii="Times New Roman" w:hAnsi="Times New Roman" w:cs="Times New Roman"/>
          <w:sz w:val="24"/>
          <w:szCs w:val="24"/>
          <w:lang w:val="en-US"/>
        </w:rPr>
      </w:pPr>
    </w:p>
    <w:p w:rsidR="006B1403" w:rsidRDefault="006B1403" w:rsidP="006B1403">
      <w:pPr>
        <w:autoSpaceDE w:val="0"/>
        <w:autoSpaceDN w:val="0"/>
        <w:adjustRightInd w:val="0"/>
        <w:spacing w:after="0" w:line="240" w:lineRule="auto"/>
        <w:ind w:left="360"/>
        <w:jc w:val="both"/>
        <w:rPr>
          <w:rFonts w:ascii="Times New Roman" w:hAnsi="Times New Roman" w:cs="Times New Roman"/>
          <w:sz w:val="24"/>
          <w:szCs w:val="24"/>
          <w:lang w:val="en-US"/>
        </w:rPr>
      </w:pPr>
    </w:p>
    <w:p w:rsidR="007F0F41" w:rsidRDefault="007F0F41" w:rsidP="003419E2">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Atherstone and</w:t>
      </w:r>
      <w:r w:rsidR="006B1403">
        <w:rPr>
          <w:rFonts w:ascii="Times New Roman" w:hAnsi="Times New Roman" w:cs="Times New Roman"/>
          <w:i/>
          <w:sz w:val="24"/>
          <w:szCs w:val="24"/>
          <w:lang w:val="en-US"/>
        </w:rPr>
        <w:t xml:space="preserve"> Cook, </w:t>
      </w:r>
      <w:r w:rsidR="006B1403">
        <w:rPr>
          <w:rFonts w:ascii="Times New Roman" w:hAnsi="Times New Roman" w:cs="Times New Roman"/>
          <w:sz w:val="24"/>
          <w:szCs w:val="24"/>
          <w:lang w:val="en-US"/>
        </w:rPr>
        <w:t>the appellant’s legal practitioners</w:t>
      </w:r>
    </w:p>
    <w:p w:rsidR="006B1403" w:rsidRDefault="006B1403" w:rsidP="006B1403">
      <w:pPr>
        <w:autoSpaceDE w:val="0"/>
        <w:autoSpaceDN w:val="0"/>
        <w:adjustRightInd w:val="0"/>
        <w:spacing w:after="0" w:line="240" w:lineRule="auto"/>
        <w:ind w:left="360"/>
        <w:jc w:val="both"/>
        <w:rPr>
          <w:rFonts w:ascii="Times New Roman" w:hAnsi="Times New Roman" w:cs="Times New Roman"/>
          <w:sz w:val="24"/>
          <w:szCs w:val="24"/>
          <w:lang w:val="en-US"/>
        </w:rPr>
      </w:pPr>
    </w:p>
    <w:p w:rsidR="007F0F41" w:rsidRPr="006B1403" w:rsidRDefault="007F0F41" w:rsidP="006B1403">
      <w:pPr>
        <w:autoSpaceDE w:val="0"/>
        <w:autoSpaceDN w:val="0"/>
        <w:adjustRightInd w:val="0"/>
        <w:spacing w:after="0" w:line="240" w:lineRule="auto"/>
        <w:ind w:left="360"/>
        <w:jc w:val="both"/>
        <w:rPr>
          <w:rFonts w:ascii="Times New Roman" w:hAnsi="Times New Roman" w:cs="Times New Roman"/>
          <w:sz w:val="24"/>
          <w:szCs w:val="24"/>
          <w:lang w:val="en-US"/>
        </w:rPr>
      </w:pPr>
    </w:p>
    <w:p w:rsidR="003E4A3D" w:rsidRPr="0029502F" w:rsidRDefault="003E4A3D" w:rsidP="0029502F">
      <w:pPr>
        <w:autoSpaceDE w:val="0"/>
        <w:autoSpaceDN w:val="0"/>
        <w:adjustRightInd w:val="0"/>
        <w:spacing w:after="0" w:line="240" w:lineRule="auto"/>
        <w:jc w:val="both"/>
        <w:rPr>
          <w:rFonts w:ascii="Times New Roman" w:hAnsi="Times New Roman" w:cs="Times New Roman"/>
          <w:sz w:val="24"/>
          <w:szCs w:val="24"/>
          <w:lang w:val="en-US"/>
        </w:rPr>
      </w:pPr>
    </w:p>
    <w:p w:rsidR="0029502F" w:rsidRDefault="0029502F" w:rsidP="0090558E">
      <w:pPr>
        <w:jc w:val="both"/>
        <w:rPr>
          <w:rFonts w:ascii="Times New Roman" w:hAnsi="Times New Roman" w:cs="Times New Roman"/>
          <w:sz w:val="24"/>
          <w:szCs w:val="24"/>
        </w:rPr>
      </w:pPr>
    </w:p>
    <w:p w:rsidR="0029502F" w:rsidRDefault="0029502F" w:rsidP="0090558E">
      <w:pPr>
        <w:jc w:val="both"/>
        <w:rPr>
          <w:rFonts w:ascii="Times New Roman" w:hAnsi="Times New Roman" w:cs="Times New Roman"/>
          <w:sz w:val="24"/>
          <w:szCs w:val="24"/>
        </w:rPr>
      </w:pPr>
    </w:p>
    <w:p w:rsidR="00BA0484" w:rsidRDefault="00BA0484" w:rsidP="0090558E">
      <w:pPr>
        <w:jc w:val="both"/>
        <w:rPr>
          <w:rFonts w:ascii="Times New Roman" w:hAnsi="Times New Roman" w:cs="Times New Roman"/>
          <w:sz w:val="24"/>
          <w:szCs w:val="24"/>
        </w:rPr>
      </w:pPr>
    </w:p>
    <w:p w:rsidR="00DF78F1" w:rsidRDefault="00DF78F1" w:rsidP="0090558E">
      <w:pPr>
        <w:jc w:val="both"/>
        <w:rPr>
          <w:rFonts w:ascii="Times New Roman" w:hAnsi="Times New Roman" w:cs="Times New Roman"/>
          <w:sz w:val="24"/>
          <w:szCs w:val="24"/>
        </w:rPr>
      </w:pPr>
    </w:p>
    <w:p w:rsidR="005E4EA2" w:rsidRDefault="005E4EA2" w:rsidP="00590AAF">
      <w:pPr>
        <w:tabs>
          <w:tab w:val="left" w:pos="2160"/>
        </w:tabs>
        <w:spacing w:before="240" w:beforeAutospacing="1" w:line="240" w:lineRule="auto"/>
        <w:jc w:val="both"/>
        <w:rPr>
          <w:rFonts w:ascii="Calibri" w:eastAsia="Calibri" w:hAnsi="Calibri" w:cs="Calibri"/>
          <w:b/>
          <w:color w:val="000000"/>
        </w:rPr>
      </w:pPr>
    </w:p>
    <w:p w:rsidR="00567954" w:rsidRDefault="00567954" w:rsidP="00567954">
      <w:pPr>
        <w:jc w:val="both"/>
      </w:pPr>
    </w:p>
    <w:p w:rsidR="00567954" w:rsidRDefault="00567954" w:rsidP="00567954">
      <w:pPr>
        <w:jc w:val="both"/>
      </w:pPr>
    </w:p>
    <w:p w:rsidR="00567954" w:rsidRDefault="00567954" w:rsidP="00567954">
      <w:pPr>
        <w:jc w:val="both"/>
      </w:pPr>
    </w:p>
    <w:p w:rsidR="00567954" w:rsidRDefault="00567954" w:rsidP="00567954"/>
    <w:p w:rsidR="00567954" w:rsidRPr="007B22AF" w:rsidRDefault="00567954" w:rsidP="00567954">
      <w:pPr>
        <w:jc w:val="both"/>
      </w:pPr>
    </w:p>
    <w:p w:rsidR="002B6F2E" w:rsidRDefault="002B6F2E" w:rsidP="00567954">
      <w:pPr>
        <w:jc w:val="both"/>
        <w:rPr>
          <w:b/>
          <w:i/>
        </w:rPr>
      </w:pPr>
    </w:p>
    <w:p w:rsidR="00567954" w:rsidRPr="008F1CD0" w:rsidRDefault="00567954" w:rsidP="00072834">
      <w:pPr>
        <w:jc w:val="both"/>
      </w:pPr>
      <w:r>
        <w:rPr>
          <w:b/>
          <w:u w:val="single"/>
        </w:rPr>
        <w:t xml:space="preserve"> </w:t>
      </w:r>
    </w:p>
    <w:p w:rsidR="00567954" w:rsidRDefault="00567954" w:rsidP="00567954">
      <w:pPr>
        <w:jc w:val="both"/>
        <w:rPr>
          <w:b/>
        </w:rPr>
      </w:pPr>
    </w:p>
    <w:p w:rsidR="00567954" w:rsidRDefault="00567954" w:rsidP="00F0541F">
      <w:pPr>
        <w:jc w:val="both"/>
        <w:rPr>
          <w:b/>
        </w:rPr>
      </w:pPr>
    </w:p>
    <w:p w:rsidR="00567954" w:rsidRDefault="00567954" w:rsidP="00B25F77">
      <w:pPr>
        <w:rPr>
          <w:b/>
          <w:u w:val="single"/>
        </w:rPr>
      </w:pPr>
      <w:r>
        <w:rPr>
          <w:b/>
        </w:rPr>
        <w:t xml:space="preserve"> </w:t>
      </w:r>
    </w:p>
    <w:p w:rsidR="003E292B" w:rsidRDefault="003E292B" w:rsidP="003E292B">
      <w:pPr>
        <w:jc w:val="both"/>
        <w:rPr>
          <w:rFonts w:ascii="Times New Roman" w:hAnsi="Times New Roman" w:cs="Times New Roman"/>
          <w:sz w:val="24"/>
          <w:szCs w:val="24"/>
        </w:rPr>
      </w:pPr>
    </w:p>
    <w:p w:rsidR="003E292B" w:rsidRDefault="003E292B" w:rsidP="004D24AF">
      <w:pPr>
        <w:jc w:val="both"/>
        <w:rPr>
          <w:b/>
        </w:rPr>
      </w:pPr>
    </w:p>
    <w:p w:rsidR="00567954" w:rsidRDefault="00567954" w:rsidP="00567954">
      <w:pPr>
        <w:jc w:val="both"/>
        <w:rPr>
          <w:b/>
        </w:rPr>
      </w:pPr>
    </w:p>
    <w:p w:rsidR="00567954" w:rsidRPr="0014505E" w:rsidRDefault="00567954" w:rsidP="00567954">
      <w:pPr>
        <w:jc w:val="both"/>
        <w:rPr>
          <w:b/>
          <w:u w:val="single"/>
        </w:rPr>
      </w:pPr>
    </w:p>
    <w:p w:rsidR="00567954" w:rsidRPr="00430AD7" w:rsidRDefault="00567954" w:rsidP="00567954">
      <w:pPr>
        <w:jc w:val="both"/>
        <w:rPr>
          <w:b/>
          <w:u w:val="single"/>
        </w:rPr>
      </w:pPr>
    </w:p>
    <w:p w:rsidR="00567954" w:rsidRDefault="00567954" w:rsidP="00567954"/>
    <w:p w:rsidR="00567954" w:rsidRDefault="00567954" w:rsidP="00567954"/>
    <w:p w:rsidR="00567954" w:rsidRPr="00042D39" w:rsidRDefault="00567954" w:rsidP="00567954"/>
    <w:p w:rsidR="00567954" w:rsidRPr="00567954" w:rsidRDefault="00567954" w:rsidP="00567954">
      <w:pPr>
        <w:jc w:val="both"/>
        <w:rPr>
          <w:rFonts w:ascii="Times New Roman" w:hAnsi="Times New Roman" w:cs="Times New Roman"/>
          <w:sz w:val="24"/>
          <w:szCs w:val="24"/>
        </w:rPr>
      </w:pPr>
    </w:p>
    <w:sectPr w:rsidR="00567954" w:rsidRPr="0056795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5CE" w:rsidRDefault="00AF25CE" w:rsidP="00224890">
      <w:pPr>
        <w:spacing w:after="0" w:line="240" w:lineRule="auto"/>
      </w:pPr>
      <w:r>
        <w:separator/>
      </w:r>
    </w:p>
  </w:endnote>
  <w:endnote w:type="continuationSeparator" w:id="0">
    <w:p w:rsidR="00AF25CE" w:rsidRDefault="00AF25CE" w:rsidP="00224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5CE" w:rsidRDefault="00AF25CE" w:rsidP="00224890">
      <w:pPr>
        <w:spacing w:after="0" w:line="240" w:lineRule="auto"/>
      </w:pPr>
      <w:r>
        <w:separator/>
      </w:r>
    </w:p>
  </w:footnote>
  <w:footnote w:type="continuationSeparator" w:id="0">
    <w:p w:rsidR="00AF25CE" w:rsidRDefault="00AF25CE" w:rsidP="00224890">
      <w:pPr>
        <w:spacing w:after="0" w:line="240" w:lineRule="auto"/>
      </w:pPr>
      <w:r>
        <w:continuationSeparator/>
      </w:r>
    </w:p>
  </w:footnote>
  <w:footnote w:id="1">
    <w:p w:rsidR="00407DCC" w:rsidRPr="00502DBA" w:rsidRDefault="00407DCC" w:rsidP="004A4D87">
      <w:pPr>
        <w:pStyle w:val="FootnoteText"/>
        <w:jc w:val="both"/>
        <w:rPr>
          <w:rFonts w:ascii="Times New Roman" w:hAnsi="Times New Roman" w:cs="Times New Roman"/>
          <w:lang w:val="en-US"/>
        </w:rPr>
      </w:pPr>
      <w:r w:rsidRPr="00502DBA">
        <w:rPr>
          <w:rStyle w:val="FootnoteReference"/>
          <w:rFonts w:ascii="Times New Roman" w:hAnsi="Times New Roman" w:cs="Times New Roman"/>
        </w:rPr>
        <w:footnoteRef/>
      </w:r>
      <w:r w:rsidRPr="00502DBA">
        <w:rPr>
          <w:rFonts w:ascii="Times New Roman" w:hAnsi="Times New Roman" w:cs="Times New Roman"/>
        </w:rPr>
        <w:t xml:space="preserve"> </w:t>
      </w:r>
      <w:r w:rsidRPr="00502DBA">
        <w:rPr>
          <w:rFonts w:ascii="Times New Roman" w:hAnsi="Times New Roman" w:cs="Times New Roman"/>
          <w:lang w:val="en-US"/>
        </w:rPr>
        <w:t>E-mail of 10 October 2012 p. 105 of respondent’s bundle of documents.</w:t>
      </w:r>
    </w:p>
  </w:footnote>
  <w:footnote w:id="2">
    <w:p w:rsidR="00407DCC" w:rsidRPr="00314D8F" w:rsidRDefault="00407DCC" w:rsidP="00631069">
      <w:pPr>
        <w:pStyle w:val="FootnoteText"/>
        <w:jc w:val="both"/>
        <w:rPr>
          <w:rFonts w:ascii="Times New Roman" w:hAnsi="Times New Roman" w:cs="Times New Roman"/>
        </w:rPr>
      </w:pPr>
      <w:r w:rsidRPr="00314D8F">
        <w:rPr>
          <w:rStyle w:val="FootnoteReference"/>
          <w:rFonts w:ascii="Times New Roman" w:hAnsi="Times New Roman" w:cs="Times New Roman"/>
        </w:rPr>
        <w:footnoteRef/>
      </w:r>
      <w:r w:rsidRPr="00314D8F">
        <w:rPr>
          <w:rFonts w:ascii="Times New Roman" w:hAnsi="Times New Roman" w:cs="Times New Roman"/>
        </w:rPr>
        <w:t xml:space="preserve"> The trademarks were registered in Botswana, Malawi, Zambia, Kenya, Zimbabwe, South Africa, Lesotho, Swaziland, Namibia, Uganda, Egypt and Mozambique.   </w:t>
      </w:r>
    </w:p>
  </w:footnote>
  <w:footnote w:id="3">
    <w:p w:rsidR="00407DCC" w:rsidRPr="00314D8F" w:rsidRDefault="00407DCC" w:rsidP="00631069">
      <w:pPr>
        <w:pStyle w:val="FootnoteText"/>
        <w:jc w:val="both"/>
        <w:rPr>
          <w:rFonts w:ascii="Times New Roman" w:hAnsi="Times New Roman" w:cs="Times New Roman"/>
          <w:lang w:val="en-US"/>
        </w:rPr>
      </w:pPr>
      <w:r w:rsidRPr="00314D8F">
        <w:rPr>
          <w:rStyle w:val="FootnoteReference"/>
          <w:rFonts w:ascii="Times New Roman" w:hAnsi="Times New Roman" w:cs="Times New Roman"/>
        </w:rPr>
        <w:footnoteRef/>
      </w:r>
      <w:r w:rsidRPr="00314D8F">
        <w:rPr>
          <w:rFonts w:ascii="Times New Roman" w:hAnsi="Times New Roman" w:cs="Times New Roman"/>
        </w:rPr>
        <w:t xml:space="preserve"> </w:t>
      </w:r>
      <w:r w:rsidRPr="00314D8F">
        <w:rPr>
          <w:rFonts w:ascii="Times New Roman" w:hAnsi="Times New Roman" w:cs="Times New Roman"/>
          <w:lang w:val="en-US"/>
        </w:rPr>
        <w:t>P47, 57-58 of the appellant’s bundle and p92-93 of the respondent’s bundle.</w:t>
      </w:r>
    </w:p>
  </w:footnote>
  <w:footnote w:id="4">
    <w:p w:rsidR="00407DCC" w:rsidRPr="004F7AE3" w:rsidRDefault="00407DCC" w:rsidP="003C231E">
      <w:pPr>
        <w:pStyle w:val="FootnoteText"/>
        <w:jc w:val="both"/>
        <w:rPr>
          <w:rFonts w:ascii="Times New Roman" w:hAnsi="Times New Roman" w:cs="Times New Roman"/>
        </w:rPr>
      </w:pPr>
      <w:r w:rsidRPr="004F7AE3">
        <w:rPr>
          <w:rStyle w:val="FootnoteReference"/>
          <w:rFonts w:ascii="Times New Roman" w:hAnsi="Times New Roman" w:cs="Times New Roman"/>
        </w:rPr>
        <w:footnoteRef/>
      </w:r>
      <w:r w:rsidRPr="004F7AE3">
        <w:rPr>
          <w:rFonts w:ascii="Times New Roman" w:hAnsi="Times New Roman" w:cs="Times New Roman"/>
        </w:rPr>
        <w:t xml:space="preserve"> In the 2005 assignments.</w:t>
      </w:r>
    </w:p>
  </w:footnote>
  <w:footnote w:id="5">
    <w:p w:rsidR="00407DCC" w:rsidRPr="004F7AE3" w:rsidRDefault="00407DCC" w:rsidP="003C231E">
      <w:pPr>
        <w:pStyle w:val="FootnoteText"/>
        <w:jc w:val="both"/>
        <w:rPr>
          <w:rFonts w:ascii="Times New Roman" w:hAnsi="Times New Roman" w:cs="Times New Roman"/>
        </w:rPr>
      </w:pPr>
      <w:r w:rsidRPr="004F7AE3">
        <w:rPr>
          <w:rStyle w:val="FootnoteReference"/>
          <w:rFonts w:ascii="Times New Roman" w:hAnsi="Times New Roman" w:cs="Times New Roman"/>
        </w:rPr>
        <w:footnoteRef/>
      </w:r>
      <w:r w:rsidRPr="004F7AE3">
        <w:rPr>
          <w:rFonts w:ascii="Times New Roman" w:hAnsi="Times New Roman" w:cs="Times New Roman"/>
        </w:rPr>
        <w:t xml:space="preserve"> Expended at local trademarks office and ARIPO between 23 February and 18 March 2013 in invoices Annexure E of appellant’s case.</w:t>
      </w:r>
    </w:p>
  </w:footnote>
  <w:footnote w:id="6">
    <w:p w:rsidR="00407DCC" w:rsidRPr="004F7AE3" w:rsidRDefault="00407DCC" w:rsidP="003C231E">
      <w:pPr>
        <w:pStyle w:val="FootnoteText"/>
        <w:jc w:val="both"/>
        <w:rPr>
          <w:rFonts w:ascii="Times New Roman" w:hAnsi="Times New Roman" w:cs="Times New Roman"/>
        </w:rPr>
      </w:pPr>
      <w:r w:rsidRPr="004F7AE3">
        <w:rPr>
          <w:rStyle w:val="FootnoteReference"/>
          <w:rFonts w:ascii="Times New Roman" w:hAnsi="Times New Roman" w:cs="Times New Roman"/>
        </w:rPr>
        <w:footnoteRef/>
      </w:r>
      <w:r w:rsidRPr="004F7AE3">
        <w:rPr>
          <w:rFonts w:ascii="Times New Roman" w:hAnsi="Times New Roman" w:cs="Times New Roman"/>
        </w:rPr>
        <w:t xml:space="preserve"> Para 133 of appellant’s case.</w:t>
      </w:r>
    </w:p>
  </w:footnote>
  <w:footnote w:id="7">
    <w:p w:rsidR="00407DCC" w:rsidRPr="00AE2F90" w:rsidRDefault="00407DCC" w:rsidP="00631069">
      <w:pPr>
        <w:pStyle w:val="FootnoteText"/>
        <w:jc w:val="both"/>
        <w:rPr>
          <w:rFonts w:ascii="Times New Roman" w:hAnsi="Times New Roman" w:cs="Times New Roman"/>
        </w:rPr>
      </w:pPr>
      <w:r w:rsidRPr="00AE2F90">
        <w:rPr>
          <w:rStyle w:val="FootnoteReference"/>
          <w:rFonts w:ascii="Times New Roman" w:hAnsi="Times New Roman" w:cs="Times New Roman"/>
        </w:rPr>
        <w:footnoteRef/>
      </w:r>
      <w:r w:rsidR="00AE2F90">
        <w:rPr>
          <w:rFonts w:ascii="Times New Roman" w:hAnsi="Times New Roman" w:cs="Times New Roman"/>
        </w:rPr>
        <w:t xml:space="preserve"> The two parties were Syngent</w:t>
      </w:r>
      <w:r w:rsidR="00BE2425">
        <w:rPr>
          <w:rFonts w:ascii="Times New Roman" w:hAnsi="Times New Roman" w:cs="Times New Roman"/>
        </w:rPr>
        <w:t xml:space="preserve">a on the one hand and Delta </w:t>
      </w:r>
      <w:r w:rsidRPr="00AE2F90">
        <w:rPr>
          <w:rFonts w:ascii="Times New Roman" w:hAnsi="Times New Roman" w:cs="Times New Roman"/>
        </w:rPr>
        <w:t xml:space="preserve">&amp; Pine Land Company on the other. </w:t>
      </w:r>
    </w:p>
  </w:footnote>
  <w:footnote w:id="8">
    <w:p w:rsidR="00855B55" w:rsidRPr="00882D77" w:rsidRDefault="00855B55" w:rsidP="00855B55">
      <w:pPr>
        <w:pStyle w:val="FootnoteText"/>
        <w:jc w:val="both"/>
        <w:rPr>
          <w:rFonts w:ascii="Times New Roman" w:eastAsiaTheme="minorEastAsia" w:hAnsi="Times New Roman" w:cs="Times New Roman"/>
          <w:u w:val="single"/>
        </w:rPr>
      </w:pPr>
      <w:r w:rsidRPr="00882D77">
        <w:rPr>
          <w:rStyle w:val="FootnoteReference"/>
          <w:rFonts w:ascii="Times New Roman" w:hAnsi="Times New Roman" w:cs="Times New Roman"/>
        </w:rPr>
        <w:footnoteRef/>
      </w:r>
      <w:r w:rsidRPr="00882D77">
        <w:rPr>
          <w:rFonts w:ascii="Times New Roman" w:hAnsi="Times New Roman" w:cs="Times New Roman"/>
        </w:rPr>
        <w:t xml:space="preserve"> The formula was Gross Sales -Intra-Group Sales -Cost of Sales ÷ Cost of Sales (</w:t>
      </w:r>
      <w:r w:rsidRPr="00882D77">
        <w:rPr>
          <w:rFonts w:ascii="Times New Roman" w:eastAsiaTheme="minorEastAsia" w:hAnsi="Times New Roman" w:cs="Times New Roman"/>
        </w:rPr>
        <w:t xml:space="preserve"> </w:t>
      </w:r>
      <m:oMath>
        <m:f>
          <m:fPr>
            <m:ctrlPr>
              <w:rPr>
                <w:rFonts w:ascii="Cambria Math" w:hAnsi="Cambria Math" w:cs="Times New Roman"/>
                <w:i/>
              </w:rPr>
            </m:ctrlPr>
          </m:fPr>
          <m:num>
            <m:r>
              <w:rPr>
                <w:rFonts w:ascii="Cambria Math" w:hAnsi="Cambria Math" w:cs="Times New Roman"/>
              </w:rPr>
              <m:t>GS-</m:t>
            </m:r>
            <m:d>
              <m:dPr>
                <m:ctrlPr>
                  <w:rPr>
                    <w:rFonts w:ascii="Cambria Math" w:hAnsi="Cambria Math" w:cs="Times New Roman"/>
                    <w:i/>
                  </w:rPr>
                </m:ctrlPr>
              </m:dPr>
              <m:e>
                <m:r>
                  <w:rPr>
                    <w:rFonts w:ascii="Cambria Math" w:hAnsi="Cambria Math" w:cs="Times New Roman"/>
                  </w:rPr>
                  <m:t>IGS+CS</m:t>
                </m:r>
              </m:e>
            </m:d>
          </m:num>
          <m:den>
            <m:r>
              <w:rPr>
                <w:rFonts w:ascii="Cambria Math" w:hAnsi="Cambria Math" w:cs="Times New Roman"/>
              </w:rPr>
              <m:t>CS</m:t>
            </m:r>
          </m:den>
        </m:f>
      </m:oMath>
      <w:r w:rsidRPr="00882D77">
        <w:rPr>
          <w:rFonts w:ascii="Times New Roman" w:eastAsiaTheme="minorEastAsia" w:hAnsi="Times New Roman" w:cs="Times New Roman"/>
        </w:rPr>
        <w:t>).</w:t>
      </w:r>
    </w:p>
  </w:footnote>
  <w:footnote w:id="9">
    <w:p w:rsidR="00407DCC" w:rsidRPr="00882D77" w:rsidRDefault="00407DCC" w:rsidP="008D7BEF">
      <w:pPr>
        <w:pStyle w:val="FootnoteText"/>
        <w:jc w:val="both"/>
        <w:rPr>
          <w:rFonts w:ascii="Times New Roman" w:hAnsi="Times New Roman" w:cs="Times New Roman"/>
        </w:rPr>
      </w:pPr>
      <w:r w:rsidRPr="00882D77">
        <w:rPr>
          <w:rStyle w:val="FootnoteReference"/>
          <w:rFonts w:ascii="Times New Roman" w:hAnsi="Times New Roman" w:cs="Times New Roman"/>
        </w:rPr>
        <w:footnoteRef/>
      </w:r>
      <w:r w:rsidRPr="00882D77">
        <w:rPr>
          <w:rFonts w:ascii="Times New Roman" w:hAnsi="Times New Roman" w:cs="Times New Roman"/>
        </w:rPr>
        <w:t xml:space="preserve"> 36 [2015] DE RUBUS 76.</w:t>
      </w:r>
    </w:p>
  </w:footnote>
  <w:footnote w:id="10">
    <w:p w:rsidR="00A007EB" w:rsidRPr="00A007EB" w:rsidRDefault="00A007EB" w:rsidP="00A007EB">
      <w:pPr>
        <w:pStyle w:val="FootnoteText"/>
        <w:jc w:val="both"/>
        <w:rPr>
          <w:rFonts w:ascii="Times New Roman" w:hAnsi="Times New Roman" w:cs="Times New Roman"/>
          <w:lang w:val="en-US"/>
        </w:rPr>
      </w:pPr>
      <w:r w:rsidRPr="00A007EB">
        <w:rPr>
          <w:rStyle w:val="FootnoteReference"/>
          <w:rFonts w:ascii="Times New Roman" w:hAnsi="Times New Roman" w:cs="Times New Roman"/>
        </w:rPr>
        <w:footnoteRef/>
      </w:r>
      <w:r w:rsidRPr="00A007EB">
        <w:rPr>
          <w:rFonts w:ascii="Times New Roman" w:hAnsi="Times New Roman" w:cs="Times New Roman"/>
        </w:rPr>
        <w:t xml:space="preserve"> </w:t>
      </w:r>
      <w:r w:rsidRPr="00A007EB">
        <w:rPr>
          <w:rFonts w:ascii="Times New Roman" w:hAnsi="Times New Roman" w:cs="Times New Roman"/>
          <w:lang w:val="en-US"/>
        </w:rPr>
        <w:t>Chapter 11.6 p1063 at p1 511 of appellant’s bundle.</w:t>
      </w:r>
    </w:p>
  </w:footnote>
  <w:footnote w:id="11">
    <w:p w:rsidR="00407DCC" w:rsidRPr="007518A8" w:rsidRDefault="00407DCC" w:rsidP="00D25E9D">
      <w:pPr>
        <w:pStyle w:val="FootnoteText"/>
        <w:jc w:val="both"/>
        <w:rPr>
          <w:rFonts w:ascii="Times New Roman" w:hAnsi="Times New Roman" w:cs="Times New Roman"/>
        </w:rPr>
      </w:pPr>
      <w:r w:rsidRPr="007518A8">
        <w:rPr>
          <w:rStyle w:val="FootnoteReference"/>
          <w:rFonts w:ascii="Times New Roman" w:hAnsi="Times New Roman" w:cs="Times New Roman"/>
        </w:rPr>
        <w:footnoteRef/>
      </w:r>
      <w:r w:rsidRPr="007518A8">
        <w:rPr>
          <w:rFonts w:ascii="Times New Roman" w:hAnsi="Times New Roman" w:cs="Times New Roman"/>
        </w:rPr>
        <w:t xml:space="preserve"> Where group accounts are a combination of the accounts of both the holding company and its subsidiaries. </w:t>
      </w:r>
    </w:p>
  </w:footnote>
  <w:footnote w:id="12">
    <w:p w:rsidR="005B70E3" w:rsidRPr="00C35A10" w:rsidRDefault="005B70E3" w:rsidP="00C35A10">
      <w:pPr>
        <w:pStyle w:val="FootnoteText"/>
        <w:jc w:val="both"/>
        <w:rPr>
          <w:rFonts w:ascii="Times New Roman" w:hAnsi="Times New Roman" w:cs="Times New Roman"/>
          <w:lang w:val="en-US"/>
        </w:rPr>
      </w:pPr>
      <w:r w:rsidRPr="00C35A10">
        <w:rPr>
          <w:rStyle w:val="FootnoteReference"/>
          <w:rFonts w:ascii="Times New Roman" w:hAnsi="Times New Roman" w:cs="Times New Roman"/>
        </w:rPr>
        <w:footnoteRef/>
      </w:r>
      <w:r w:rsidRPr="00C35A10">
        <w:rPr>
          <w:rFonts w:ascii="Times New Roman" w:hAnsi="Times New Roman" w:cs="Times New Roman"/>
        </w:rPr>
        <w:t xml:space="preserve"> </w:t>
      </w:r>
      <w:r w:rsidRPr="00C35A10">
        <w:rPr>
          <w:rFonts w:ascii="Times New Roman" w:hAnsi="Times New Roman" w:cs="Times New Roman"/>
          <w:lang w:val="en-US"/>
        </w:rPr>
        <w:t>Zimbabwe contributed average research of 77% against Botswana’s 3% during these tax years.</w:t>
      </w:r>
    </w:p>
  </w:footnote>
  <w:footnote w:id="13">
    <w:p w:rsidR="00580966" w:rsidRPr="00580966" w:rsidRDefault="00580966">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12 January 2012.</w:t>
      </w:r>
    </w:p>
  </w:footnote>
  <w:footnote w:id="14">
    <w:p w:rsidR="00407DCC" w:rsidRPr="00DD6FB4" w:rsidRDefault="00407DCC" w:rsidP="00DD6FB4">
      <w:pPr>
        <w:jc w:val="both"/>
        <w:rPr>
          <w:rFonts w:ascii="Times New Roman" w:hAnsi="Times New Roman" w:cs="Times New Roman"/>
          <w:sz w:val="20"/>
          <w:szCs w:val="20"/>
        </w:rPr>
      </w:pPr>
      <w:r w:rsidRPr="00DD6FB4">
        <w:rPr>
          <w:rStyle w:val="FootnoteReference"/>
          <w:rFonts w:ascii="Times New Roman" w:hAnsi="Times New Roman" w:cs="Times New Roman"/>
          <w:sz w:val="20"/>
          <w:szCs w:val="20"/>
        </w:rPr>
        <w:footnoteRef/>
      </w:r>
      <w:r w:rsidRPr="00DD6FB4">
        <w:rPr>
          <w:rFonts w:ascii="Times New Roman" w:hAnsi="Times New Roman" w:cs="Times New Roman"/>
          <w:sz w:val="20"/>
          <w:szCs w:val="20"/>
        </w:rPr>
        <w:t xml:space="preserve">“I am of the humble view that where local legislation provides for the law, it is always imperative to apply that law and use any international instruments in interpreting that local law. I do not think that using the international instruments while side lining local legislation is allowed. Doing that, in my considered view, will defeat the intention of the framers of the local legislation.” </w:t>
      </w:r>
    </w:p>
    <w:p w:rsidR="00407DCC" w:rsidRPr="00DD6FB4" w:rsidRDefault="00407DCC">
      <w:pPr>
        <w:pStyle w:val="FootnoteText"/>
        <w:rPr>
          <w:lang w:val="en-US"/>
        </w:rPr>
      </w:pPr>
    </w:p>
  </w:footnote>
  <w:footnote w:id="15">
    <w:p w:rsidR="00407DCC" w:rsidRPr="000F5BA6" w:rsidRDefault="00407DCC" w:rsidP="00105DB4">
      <w:pPr>
        <w:pStyle w:val="FootnoteText"/>
        <w:jc w:val="both"/>
        <w:rPr>
          <w:rFonts w:ascii="Times New Roman" w:hAnsi="Times New Roman" w:cs="Times New Roman"/>
          <w:lang w:val="en-US"/>
        </w:rPr>
      </w:pPr>
      <w:r w:rsidRPr="000F5BA6">
        <w:rPr>
          <w:rStyle w:val="FootnoteReference"/>
          <w:rFonts w:ascii="Times New Roman" w:hAnsi="Times New Roman" w:cs="Times New Roman"/>
        </w:rPr>
        <w:footnoteRef/>
      </w:r>
      <w:r w:rsidRPr="000F5BA6">
        <w:rPr>
          <w:rFonts w:ascii="Times New Roman" w:hAnsi="Times New Roman" w:cs="Times New Roman"/>
        </w:rPr>
        <w:t xml:space="preserve"> </w:t>
      </w:r>
      <w:r w:rsidRPr="000F5BA6">
        <w:rPr>
          <w:rFonts w:ascii="Times New Roman" w:hAnsi="Times New Roman" w:cs="Times New Roman"/>
          <w:lang w:val="en-US"/>
        </w:rPr>
        <w:t>The Constitution of Zimbabwe Amendment (No. 20) of 2013.</w:t>
      </w:r>
    </w:p>
  </w:footnote>
  <w:footnote w:id="16">
    <w:p w:rsidR="004C6F25" w:rsidRPr="004C6F25" w:rsidRDefault="004C6F25" w:rsidP="004C6F25">
      <w:pPr>
        <w:pStyle w:val="FootnoteText"/>
        <w:jc w:val="both"/>
        <w:rPr>
          <w:rFonts w:ascii="Times New Roman" w:hAnsi="Times New Roman" w:cs="Times New Roman"/>
        </w:rPr>
      </w:pPr>
      <w:r w:rsidRPr="004C6F25">
        <w:rPr>
          <w:rStyle w:val="FootnoteReference"/>
          <w:rFonts w:ascii="Times New Roman" w:hAnsi="Times New Roman" w:cs="Times New Roman"/>
        </w:rPr>
        <w:footnoteRef/>
      </w:r>
      <w:r w:rsidRPr="004C6F25">
        <w:rPr>
          <w:rFonts w:ascii="Times New Roman" w:hAnsi="Times New Roman" w:cs="Times New Roman"/>
        </w:rPr>
        <w:t xml:space="preserve"> 2010 Kluwer Law International.</w:t>
      </w:r>
    </w:p>
  </w:footnote>
  <w:footnote w:id="17">
    <w:p w:rsidR="00383307" w:rsidRPr="00DC0533" w:rsidRDefault="00383307">
      <w:pPr>
        <w:pStyle w:val="FootnoteText"/>
        <w:rPr>
          <w:rFonts w:ascii="Times New Roman" w:hAnsi="Times New Roman" w:cs="Times New Roman"/>
          <w:i/>
          <w:lang w:val="en-US"/>
        </w:rPr>
      </w:pPr>
      <w:r w:rsidRPr="00DC0533">
        <w:rPr>
          <w:rStyle w:val="FootnoteReference"/>
          <w:rFonts w:ascii="Times New Roman" w:hAnsi="Times New Roman" w:cs="Times New Roman"/>
        </w:rPr>
        <w:footnoteRef/>
      </w:r>
      <w:r w:rsidRPr="00DC0533">
        <w:rPr>
          <w:rFonts w:ascii="Times New Roman" w:hAnsi="Times New Roman" w:cs="Times New Roman"/>
        </w:rPr>
        <w:t xml:space="preserve"> </w:t>
      </w:r>
      <w:r w:rsidRPr="00DC0533">
        <w:rPr>
          <w:rFonts w:ascii="Times New Roman" w:hAnsi="Times New Roman" w:cs="Times New Roman"/>
          <w:i/>
          <w:lang w:val="en-US"/>
        </w:rPr>
        <w:t>Glenister v President of the Republic of South Africa &amp; Ors</w:t>
      </w:r>
      <w:r w:rsidRPr="00DC0533">
        <w:rPr>
          <w:rFonts w:ascii="Times New Roman" w:hAnsi="Times New Roman" w:cs="Times New Roman"/>
          <w:lang w:val="en-US"/>
        </w:rPr>
        <w:t xml:space="preserve"> Case No. CCT 48/10 [2011] ZACC 6 para [187] in reference to </w:t>
      </w:r>
      <w:r w:rsidRPr="00DC0533">
        <w:rPr>
          <w:rFonts w:ascii="Times New Roman" w:hAnsi="Times New Roman" w:cs="Times New Roman"/>
          <w:i/>
          <w:lang w:val="en-US"/>
        </w:rPr>
        <w:t>Specialised Anti-corruption Institutions: Review of Models (OECD Report)</w:t>
      </w:r>
      <w:r w:rsidRPr="00DC0533">
        <w:rPr>
          <w:rFonts w:ascii="Times New Roman" w:hAnsi="Times New Roman" w:cs="Times New Roman"/>
          <w:lang w:val="en-US"/>
        </w:rPr>
        <w:t>and not OECD TPGs</w:t>
      </w:r>
    </w:p>
  </w:footnote>
  <w:footnote w:id="18">
    <w:p w:rsidR="00407DCC" w:rsidRPr="007F1384" w:rsidRDefault="00407DCC" w:rsidP="007F1384">
      <w:pPr>
        <w:pStyle w:val="FootnoteText"/>
        <w:jc w:val="both"/>
        <w:rPr>
          <w:rFonts w:ascii="Times New Roman" w:hAnsi="Times New Roman" w:cs="Times New Roman"/>
        </w:rPr>
      </w:pPr>
      <w:r w:rsidRPr="007F1384">
        <w:rPr>
          <w:rStyle w:val="FootnoteReference"/>
          <w:rFonts w:ascii="Times New Roman" w:hAnsi="Times New Roman" w:cs="Times New Roman"/>
        </w:rPr>
        <w:footnoteRef/>
      </w:r>
      <w:r w:rsidRPr="007F1384">
        <w:rPr>
          <w:rFonts w:ascii="Times New Roman" w:hAnsi="Times New Roman" w:cs="Times New Roman"/>
        </w:rPr>
        <w:t xml:space="preserve"> The contract of sale was executed in Zimbabwe, </w:t>
      </w:r>
      <w:r w:rsidRPr="007F1384">
        <w:rPr>
          <w:rFonts w:ascii="Times New Roman" w:hAnsi="Times New Roman" w:cs="Times New Roman"/>
          <w:lang w:val="en-US"/>
        </w:rPr>
        <w:t xml:space="preserve">service/work derived from trade by </w:t>
      </w:r>
      <w:r>
        <w:rPr>
          <w:rFonts w:ascii="Times New Roman" w:hAnsi="Times New Roman" w:cs="Times New Roman"/>
          <w:lang w:val="en-US"/>
        </w:rPr>
        <w:t xml:space="preserve">a </w:t>
      </w:r>
      <w:r w:rsidRPr="007F1384">
        <w:rPr>
          <w:rFonts w:ascii="Times New Roman" w:hAnsi="Times New Roman" w:cs="Times New Roman"/>
          <w:lang w:val="en-US"/>
        </w:rPr>
        <w:t>Zim</w:t>
      </w:r>
      <w:r>
        <w:rPr>
          <w:rFonts w:ascii="Times New Roman" w:hAnsi="Times New Roman" w:cs="Times New Roman"/>
          <w:lang w:val="en-US"/>
        </w:rPr>
        <w:t xml:space="preserve">babwean company, and </w:t>
      </w:r>
      <w:r w:rsidRPr="007F1384">
        <w:rPr>
          <w:rFonts w:ascii="Times New Roman" w:hAnsi="Times New Roman" w:cs="Times New Roman"/>
          <w:lang w:val="en-US"/>
        </w:rPr>
        <w:t>rendered by Zim</w:t>
      </w:r>
      <w:r>
        <w:rPr>
          <w:rFonts w:ascii="Times New Roman" w:hAnsi="Times New Roman" w:cs="Times New Roman"/>
          <w:lang w:val="en-US"/>
        </w:rPr>
        <w:t>babwe</w:t>
      </w:r>
      <w:r w:rsidRPr="007F1384">
        <w:rPr>
          <w:rFonts w:ascii="Times New Roman" w:hAnsi="Times New Roman" w:cs="Times New Roman"/>
          <w:lang w:val="en-US"/>
        </w:rPr>
        <w:t xml:space="preserve"> based employee</w:t>
      </w:r>
      <w:r>
        <w:rPr>
          <w:rFonts w:ascii="Times New Roman" w:hAnsi="Times New Roman" w:cs="Times New Roman"/>
          <w:lang w:val="en-US"/>
        </w:rPr>
        <w:t>s</w:t>
      </w:r>
      <w:r w:rsidRPr="007F1384">
        <w:rPr>
          <w:rFonts w:ascii="Times New Roman" w:hAnsi="Times New Roman" w:cs="Times New Roman"/>
          <w:lang w:val="en-US"/>
        </w:rPr>
        <w:t xml:space="preserve"> in-</w:t>
      </w:r>
      <w:r>
        <w:rPr>
          <w:rFonts w:ascii="Times New Roman" w:hAnsi="Times New Roman" w:cs="Times New Roman"/>
          <w:lang w:val="en-US"/>
        </w:rPr>
        <w:t xml:space="preserve"> the host country.</w:t>
      </w:r>
    </w:p>
  </w:footnote>
  <w:footnote w:id="19">
    <w:p w:rsidR="005A05D3" w:rsidRPr="00547F26" w:rsidRDefault="005A05D3" w:rsidP="005A05D3">
      <w:pPr>
        <w:pStyle w:val="FootnoteText"/>
        <w:jc w:val="both"/>
        <w:rPr>
          <w:rFonts w:ascii="Times New Roman" w:hAnsi="Times New Roman" w:cs="Times New Roman"/>
        </w:rPr>
      </w:pPr>
      <w:r w:rsidRPr="00547F26">
        <w:rPr>
          <w:rStyle w:val="FootnoteReference"/>
          <w:rFonts w:ascii="Times New Roman" w:hAnsi="Times New Roman" w:cs="Times New Roman"/>
        </w:rPr>
        <w:footnoteRef/>
      </w:r>
      <w:r w:rsidRPr="00547F26">
        <w:rPr>
          <w:rFonts w:ascii="Times New Roman" w:hAnsi="Times New Roman" w:cs="Times New Roman"/>
        </w:rPr>
        <w:t xml:space="preserve"> Pp121-126 of respondent’s bundle.</w:t>
      </w:r>
    </w:p>
  </w:footnote>
  <w:footnote w:id="20">
    <w:p w:rsidR="005A05D3" w:rsidRPr="00547F26" w:rsidRDefault="005A05D3" w:rsidP="005A05D3">
      <w:pPr>
        <w:pStyle w:val="FootnoteText"/>
        <w:jc w:val="both"/>
        <w:rPr>
          <w:rFonts w:ascii="Times New Roman" w:hAnsi="Times New Roman" w:cs="Times New Roman"/>
        </w:rPr>
      </w:pPr>
      <w:r w:rsidRPr="00547F26">
        <w:rPr>
          <w:rStyle w:val="FootnoteReference"/>
          <w:rFonts w:ascii="Times New Roman" w:hAnsi="Times New Roman" w:cs="Times New Roman"/>
        </w:rPr>
        <w:footnoteRef/>
      </w:r>
      <w:r w:rsidRPr="00547F26">
        <w:rPr>
          <w:rFonts w:ascii="Times New Roman" w:hAnsi="Times New Roman" w:cs="Times New Roman"/>
        </w:rPr>
        <w:t xml:space="preserve"> Regional Development Manager, Group Research Manager, Group Technical Services Manager, Group Marketing Manager, Group Accounting Manager,  Regional Internal Audit Manager, Group treasury Manager, Country Manager Kenya, Group Technical Manager, Group Processing Manager and Financial Director Zimbabwe.</w:t>
      </w:r>
    </w:p>
  </w:footnote>
  <w:footnote w:id="21">
    <w:p w:rsidR="00407DCC" w:rsidRPr="006B57DA" w:rsidRDefault="00407DCC" w:rsidP="00334151">
      <w:pPr>
        <w:autoSpaceDE w:val="0"/>
        <w:autoSpaceDN w:val="0"/>
        <w:adjustRightInd w:val="0"/>
        <w:spacing w:after="0" w:line="240" w:lineRule="auto"/>
        <w:jc w:val="both"/>
        <w:rPr>
          <w:rFonts w:ascii="Times New Roman" w:hAnsi="Times New Roman" w:cs="Times New Roman"/>
          <w:sz w:val="20"/>
          <w:szCs w:val="20"/>
          <w:lang w:val="en-US"/>
        </w:rPr>
      </w:pPr>
      <w:r w:rsidRPr="006B57DA">
        <w:rPr>
          <w:rStyle w:val="FootnoteReference"/>
          <w:rFonts w:ascii="Times New Roman" w:hAnsi="Times New Roman" w:cs="Times New Roman"/>
          <w:sz w:val="20"/>
          <w:szCs w:val="20"/>
        </w:rPr>
        <w:footnoteRef/>
      </w:r>
      <w:r w:rsidRPr="006B57DA">
        <w:rPr>
          <w:rFonts w:ascii="Times New Roman" w:hAnsi="Times New Roman" w:cs="Times New Roman"/>
          <w:sz w:val="20"/>
          <w:szCs w:val="20"/>
        </w:rPr>
        <w:t xml:space="preserve"> </w:t>
      </w:r>
      <w:r w:rsidRPr="006B57DA">
        <w:rPr>
          <w:rFonts w:ascii="Times New Roman" w:hAnsi="Times New Roman" w:cs="Times New Roman"/>
          <w:sz w:val="20"/>
          <w:szCs w:val="20"/>
          <w:lang w:val="en-US"/>
        </w:rPr>
        <w:t>At p 239-18 of the pleadings bundle where external expert noted that “Appellant charges management fees to all the subsidiaries in the Group, except for subsidiaries that are currently in the incubation period of four years.”</w:t>
      </w:r>
    </w:p>
    <w:p w:rsidR="00407DCC" w:rsidRPr="006B57DA" w:rsidRDefault="00407DCC" w:rsidP="0085729B">
      <w:pPr>
        <w:pStyle w:val="FootnoteText"/>
        <w:jc w:val="both"/>
        <w:rPr>
          <w:rFonts w:ascii="Times New Roman" w:hAnsi="Times New Roman" w:cs="Times New Roman"/>
        </w:rPr>
      </w:pPr>
    </w:p>
  </w:footnote>
  <w:footnote w:id="22">
    <w:p w:rsidR="00407DCC" w:rsidRPr="00431637" w:rsidRDefault="00407DCC" w:rsidP="001402BC">
      <w:pPr>
        <w:pStyle w:val="FootnoteText"/>
        <w:jc w:val="both"/>
        <w:rPr>
          <w:rFonts w:ascii="Times New Roman" w:hAnsi="Times New Roman" w:cs="Times New Roman"/>
          <w:lang w:val="en-US"/>
        </w:rPr>
      </w:pPr>
      <w:r w:rsidRPr="00431637">
        <w:rPr>
          <w:rStyle w:val="FootnoteReference"/>
          <w:rFonts w:ascii="Times New Roman" w:hAnsi="Times New Roman" w:cs="Times New Roman"/>
        </w:rPr>
        <w:footnoteRef/>
      </w:r>
      <w:r w:rsidRPr="00431637">
        <w:rPr>
          <w:rFonts w:ascii="Times New Roman" w:hAnsi="Times New Roman" w:cs="Times New Roman"/>
        </w:rPr>
        <w:t xml:space="preserve"> </w:t>
      </w:r>
      <w:r w:rsidRPr="00431637">
        <w:rPr>
          <w:rFonts w:ascii="Times New Roman" w:hAnsi="Times New Roman" w:cs="Times New Roman"/>
          <w:lang w:val="en-US"/>
        </w:rPr>
        <w:t>By third party verification letters from Zimbabwe Trademarks Office of 29 April 2013 and 14 January 2014, notwithstanding tax consultant letter to her of 28 May 2013 to pf p 87 of respondent’s bundle that assignment legally completed in early 2013.</w:t>
      </w:r>
    </w:p>
  </w:footnote>
  <w:footnote w:id="23">
    <w:p w:rsidR="00407DCC" w:rsidRPr="00431637" w:rsidRDefault="00407DCC" w:rsidP="001402BC">
      <w:pPr>
        <w:pStyle w:val="FootnoteText"/>
        <w:jc w:val="both"/>
        <w:rPr>
          <w:rFonts w:ascii="Times New Roman" w:hAnsi="Times New Roman" w:cs="Times New Roman"/>
          <w:lang w:val="en-US"/>
        </w:rPr>
      </w:pPr>
      <w:r w:rsidRPr="00431637">
        <w:rPr>
          <w:rStyle w:val="FootnoteReference"/>
          <w:rFonts w:ascii="Times New Roman" w:hAnsi="Times New Roman" w:cs="Times New Roman"/>
        </w:rPr>
        <w:footnoteRef/>
      </w:r>
      <w:r w:rsidRPr="00431637">
        <w:rPr>
          <w:rFonts w:ascii="Times New Roman" w:hAnsi="Times New Roman" w:cs="Times New Roman"/>
        </w:rPr>
        <w:t xml:space="preserve"> </w:t>
      </w:r>
      <w:r w:rsidRPr="00431637">
        <w:rPr>
          <w:rFonts w:ascii="Times New Roman" w:hAnsi="Times New Roman" w:cs="Times New Roman"/>
          <w:lang w:val="en-US"/>
        </w:rPr>
        <w:t xml:space="preserve">By payment of renewal fees by SCI in E1-E7 of main bundle dated 23 February 2011 &amp; 6 July 2012 of US$5 500 each, and 6 July 2012 of US$1 725 &amp; 13 March 2013 of US$1 200 in Zimbabwe, 24 October 2011 in Zambia and 1 November 2011 in South Africa of US$ 3 170, 15 June 2012 of US$5 500 and 18 March 2013 of EUR 10 450 to ARIPO covering </w:t>
      </w:r>
      <w:r w:rsidRPr="00431637">
        <w:rPr>
          <w:rFonts w:ascii="Times New Roman" w:hAnsi="Times New Roman" w:cs="Times New Roman"/>
        </w:rPr>
        <w:t xml:space="preserve">South Africa, Botswana, Kenya, Mozambique and Zambia Lesotho, Malawi, Swaziland, Tanzania, Uganda and Zimbabwe. </w:t>
      </w:r>
      <w:r w:rsidRPr="00431637">
        <w:rPr>
          <w:rFonts w:ascii="Times New Roman" w:hAnsi="Times New Roman" w:cs="Times New Roman"/>
          <w:lang w:val="en-US"/>
        </w:rPr>
        <w:t xml:space="preserve"> </w:t>
      </w:r>
    </w:p>
  </w:footnote>
  <w:footnote w:id="24">
    <w:p w:rsidR="00407DCC" w:rsidRPr="00D45D8C" w:rsidRDefault="00407DCC" w:rsidP="00D45D8C">
      <w:pPr>
        <w:pStyle w:val="FootnoteText"/>
        <w:jc w:val="both"/>
        <w:rPr>
          <w:rFonts w:ascii="Times New Roman" w:hAnsi="Times New Roman" w:cs="Times New Roman"/>
          <w:lang w:val="en-US"/>
        </w:rPr>
      </w:pPr>
      <w:r w:rsidRPr="00B97613">
        <w:rPr>
          <w:rStyle w:val="FootnoteReference"/>
          <w:rFonts w:ascii="Times New Roman" w:hAnsi="Times New Roman" w:cs="Times New Roman"/>
        </w:rPr>
        <w:footnoteRef/>
      </w:r>
      <w:r w:rsidRPr="00B97613">
        <w:rPr>
          <w:rFonts w:ascii="Times New Roman" w:hAnsi="Times New Roman" w:cs="Times New Roman"/>
        </w:rPr>
        <w:t xml:space="preserve"> </w:t>
      </w:r>
      <w:r w:rsidRPr="00B97613">
        <w:rPr>
          <w:rFonts w:ascii="Times New Roman" w:hAnsi="Times New Roman" w:cs="Times New Roman"/>
          <w:lang w:val="en-US"/>
        </w:rPr>
        <w:t>By reference</w:t>
      </w:r>
      <w:r>
        <w:rPr>
          <w:lang w:val="en-US"/>
        </w:rPr>
        <w:t xml:space="preserve"> </w:t>
      </w:r>
      <w:r>
        <w:rPr>
          <w:rFonts w:ascii="Times New Roman" w:hAnsi="Times New Roman" w:cs="Times New Roman"/>
          <w:lang w:val="en-US"/>
        </w:rPr>
        <w:t xml:space="preserve">to prior without prejudice correspondence on the rate of and not in respect of liability for royalties of 28 May 2013 on p 300, 11 June 2013 p 200, 19 August 2013 p 246 (for progress sake) of main bundle.  </w:t>
      </w:r>
    </w:p>
  </w:footnote>
  <w:footnote w:id="25">
    <w:p w:rsidR="00407DCC" w:rsidRPr="00407905" w:rsidRDefault="00407DCC" w:rsidP="00407905">
      <w:pPr>
        <w:pStyle w:val="FootnoteText"/>
        <w:jc w:val="both"/>
        <w:rPr>
          <w:rFonts w:ascii="Times New Roman" w:hAnsi="Times New Roman" w:cs="Times New Roman"/>
          <w:lang w:val="en-US"/>
        </w:rPr>
      </w:pPr>
      <w:r w:rsidRPr="00407905">
        <w:rPr>
          <w:rStyle w:val="FootnoteReference"/>
          <w:rFonts w:ascii="Times New Roman" w:hAnsi="Times New Roman" w:cs="Times New Roman"/>
        </w:rPr>
        <w:footnoteRef/>
      </w:r>
      <w:r w:rsidRPr="00407905">
        <w:rPr>
          <w:rFonts w:ascii="Times New Roman" w:hAnsi="Times New Roman" w:cs="Times New Roman"/>
        </w:rPr>
        <w:t xml:space="preserve"> </w:t>
      </w:r>
      <w:r w:rsidRPr="00407905">
        <w:rPr>
          <w:rFonts w:ascii="Times New Roman" w:hAnsi="Times New Roman" w:cs="Times New Roman"/>
          <w:lang w:val="en-US"/>
        </w:rPr>
        <w:t>P394</w:t>
      </w:r>
      <w:r>
        <w:rPr>
          <w:rFonts w:ascii="Times New Roman" w:hAnsi="Times New Roman" w:cs="Times New Roman"/>
          <w:lang w:val="en-US"/>
        </w:rPr>
        <w:t xml:space="preserve"> and p 396 of the main bundle as a royalty and intangible related remuneration, respectively. </w:t>
      </w:r>
    </w:p>
  </w:footnote>
  <w:footnote w:id="26">
    <w:p w:rsidR="00407DCC" w:rsidRPr="008804EE" w:rsidRDefault="00407DCC" w:rsidP="00CC309B">
      <w:pPr>
        <w:pStyle w:val="FootnoteText"/>
        <w:jc w:val="both"/>
        <w:rPr>
          <w:rFonts w:ascii="Times New Roman" w:hAnsi="Times New Roman" w:cs="Times New Roman"/>
          <w:lang w:val="en-US"/>
        </w:rPr>
      </w:pPr>
      <w:r w:rsidRPr="008804EE">
        <w:rPr>
          <w:rStyle w:val="FootnoteReference"/>
          <w:rFonts w:ascii="Times New Roman" w:hAnsi="Times New Roman" w:cs="Times New Roman"/>
        </w:rPr>
        <w:footnoteRef/>
      </w:r>
      <w:r w:rsidRPr="008804EE">
        <w:rPr>
          <w:rFonts w:ascii="Times New Roman" w:hAnsi="Times New Roman" w:cs="Times New Roman"/>
        </w:rPr>
        <w:t xml:space="preserve"> </w:t>
      </w:r>
      <w:r w:rsidRPr="008804EE">
        <w:rPr>
          <w:rFonts w:ascii="Times New Roman" w:hAnsi="Times New Roman" w:cs="Times New Roman"/>
          <w:lang w:val="en-US"/>
        </w:rPr>
        <w:t xml:space="preserve">The </w:t>
      </w:r>
      <w:r>
        <w:rPr>
          <w:rFonts w:ascii="Times New Roman" w:hAnsi="Times New Roman" w:cs="Times New Roman"/>
          <w:lang w:val="en-US"/>
        </w:rPr>
        <w:t xml:space="preserve">transaction involved misrepresenting that sale of hybrid seed of 20 metric tonnes from Zimbabwe to Tanzania had come from Zambia. </w:t>
      </w:r>
    </w:p>
  </w:footnote>
  <w:footnote w:id="27">
    <w:p w:rsidR="00407DCC" w:rsidRPr="00924C64" w:rsidRDefault="00407DCC">
      <w:pPr>
        <w:pStyle w:val="FootnoteText"/>
        <w:rPr>
          <w:rFonts w:ascii="Times New Roman" w:hAnsi="Times New Roman" w:cs="Times New Roman"/>
          <w:lang w:val="en-US"/>
        </w:rPr>
      </w:pPr>
      <w:r w:rsidRPr="00924C64">
        <w:rPr>
          <w:rStyle w:val="FootnoteReference"/>
          <w:rFonts w:ascii="Times New Roman" w:hAnsi="Times New Roman" w:cs="Times New Roman"/>
        </w:rPr>
        <w:footnoteRef/>
      </w:r>
      <w:r w:rsidRPr="00924C64">
        <w:rPr>
          <w:rFonts w:ascii="Times New Roman" w:hAnsi="Times New Roman" w:cs="Times New Roman"/>
        </w:rPr>
        <w:t xml:space="preserve"> </w:t>
      </w:r>
      <w:r w:rsidRPr="00924C64">
        <w:rPr>
          <w:rFonts w:ascii="Times New Roman" w:hAnsi="Times New Roman" w:cs="Times New Roman"/>
          <w:lang w:val="en-US"/>
        </w:rPr>
        <w:t xml:space="preserve">Compared </w:t>
      </w:r>
      <w:r>
        <w:rPr>
          <w:rFonts w:ascii="Times New Roman" w:hAnsi="Times New Roman" w:cs="Times New Roman"/>
          <w:lang w:val="en-US"/>
        </w:rPr>
        <w:t xml:space="preserve">to pharmaceutical industry’s “value in combination of products” in </w:t>
      </w:r>
      <w:r w:rsidRPr="00924C64">
        <w:rPr>
          <w:rFonts w:ascii="Times New Roman" w:hAnsi="Times New Roman" w:cs="Times New Roman"/>
        </w:rPr>
        <w:t xml:space="preserve">B1.4.5.5 </w:t>
      </w:r>
      <w:r>
        <w:rPr>
          <w:rFonts w:ascii="Times New Roman" w:hAnsi="Times New Roman" w:cs="Times New Roman"/>
        </w:rPr>
        <w:t xml:space="preserve">of the appellant’s case on p 85 of main bundle. </w:t>
      </w:r>
    </w:p>
  </w:footnote>
  <w:footnote w:id="28">
    <w:p w:rsidR="00407DCC" w:rsidRPr="00BC10C8" w:rsidRDefault="00407DCC" w:rsidP="00BC10C8">
      <w:pPr>
        <w:pStyle w:val="FootnoteText"/>
        <w:jc w:val="both"/>
        <w:rPr>
          <w:rFonts w:ascii="Times New Roman" w:hAnsi="Times New Roman" w:cs="Times New Roman"/>
          <w:lang w:val="en-US"/>
        </w:rPr>
      </w:pPr>
      <w:r w:rsidRPr="00BC10C8">
        <w:rPr>
          <w:rStyle w:val="FootnoteReference"/>
          <w:rFonts w:ascii="Times New Roman" w:hAnsi="Times New Roman" w:cs="Times New Roman"/>
        </w:rPr>
        <w:footnoteRef/>
      </w:r>
      <w:r w:rsidRPr="00BC10C8">
        <w:rPr>
          <w:rFonts w:ascii="Times New Roman" w:hAnsi="Times New Roman" w:cs="Times New Roman"/>
        </w:rPr>
        <w:t xml:space="preserve"> Held that the </w:t>
      </w:r>
      <w:r w:rsidRPr="00BC10C8">
        <w:rPr>
          <w:rFonts w:ascii="Times New Roman" w:hAnsi="Times New Roman" w:cs="Times New Roman"/>
          <w:lang w:val="en-US"/>
        </w:rPr>
        <w:t>source of royalties was the place where books were written</w:t>
      </w:r>
      <w:r>
        <w:rPr>
          <w:rFonts w:ascii="Times New Roman" w:hAnsi="Times New Roman" w:cs="Times New Roman"/>
          <w:lang w:val="en-US"/>
        </w:rPr>
        <w:t xml:space="preserve"> (faculties of wit, labour and intellect) and</w:t>
      </w:r>
      <w:r w:rsidRPr="00BC10C8">
        <w:rPr>
          <w:rFonts w:ascii="Times New Roman" w:hAnsi="Times New Roman" w:cs="Times New Roman"/>
          <w:lang w:val="en-US"/>
        </w:rPr>
        <w:t xml:space="preserve"> not where they were published and copyrighted.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448771"/>
      <w:docPartObj>
        <w:docPartGallery w:val="Page Numbers (Top of Page)"/>
        <w:docPartUnique/>
      </w:docPartObj>
    </w:sdtPr>
    <w:sdtEndPr>
      <w:rPr>
        <w:noProof/>
      </w:rPr>
    </w:sdtEndPr>
    <w:sdtContent>
      <w:p w:rsidR="003516C2" w:rsidRDefault="00407DCC">
        <w:pPr>
          <w:pStyle w:val="Header"/>
          <w:jc w:val="right"/>
          <w:rPr>
            <w:noProof/>
          </w:rPr>
        </w:pPr>
        <w:r>
          <w:fldChar w:fldCharType="begin"/>
        </w:r>
        <w:r>
          <w:instrText xml:space="preserve"> PAGE   \* MERGEFORMAT </w:instrText>
        </w:r>
        <w:r>
          <w:fldChar w:fldCharType="separate"/>
        </w:r>
        <w:r w:rsidR="00782A11">
          <w:rPr>
            <w:noProof/>
          </w:rPr>
          <w:t>1</w:t>
        </w:r>
        <w:r>
          <w:rPr>
            <w:noProof/>
          </w:rPr>
          <w:fldChar w:fldCharType="end"/>
        </w:r>
      </w:p>
      <w:p w:rsidR="003516C2" w:rsidRDefault="003516C2">
        <w:pPr>
          <w:pStyle w:val="Header"/>
          <w:jc w:val="right"/>
          <w:rPr>
            <w:noProof/>
          </w:rPr>
        </w:pPr>
        <w:r>
          <w:rPr>
            <w:noProof/>
          </w:rPr>
          <w:t>HH</w:t>
        </w:r>
        <w:r w:rsidR="008D081C">
          <w:rPr>
            <w:noProof/>
          </w:rPr>
          <w:t xml:space="preserve"> 338-21</w:t>
        </w:r>
      </w:p>
      <w:p w:rsidR="00407DCC" w:rsidRDefault="003516C2">
        <w:pPr>
          <w:pStyle w:val="Header"/>
          <w:jc w:val="right"/>
        </w:pPr>
        <w:r>
          <w:rPr>
            <w:noProof/>
          </w:rPr>
          <w:t>FA 16/14</w:t>
        </w:r>
      </w:p>
    </w:sdtContent>
  </w:sdt>
  <w:p w:rsidR="00407DCC" w:rsidRDefault="00407DC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2C2B"/>
    <w:multiLevelType w:val="hybridMultilevel"/>
    <w:tmpl w:val="6EF641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9942422"/>
    <w:multiLevelType w:val="hybridMultilevel"/>
    <w:tmpl w:val="958A7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02D1D"/>
    <w:multiLevelType w:val="hybridMultilevel"/>
    <w:tmpl w:val="0A8CFB52"/>
    <w:lvl w:ilvl="0" w:tplc="922E644A">
      <w:start w:val="1"/>
      <w:numFmt w:val="lowerRoman"/>
      <w:lvlText w:val="(%1)"/>
      <w:lvlJc w:val="left"/>
      <w:pPr>
        <w:ind w:left="2880" w:hanging="720"/>
      </w:pPr>
    </w:lvl>
    <w:lvl w:ilvl="1" w:tplc="30090019">
      <w:start w:val="1"/>
      <w:numFmt w:val="lowerLetter"/>
      <w:lvlText w:val="%2."/>
      <w:lvlJc w:val="left"/>
      <w:pPr>
        <w:ind w:left="3240" w:hanging="360"/>
      </w:pPr>
    </w:lvl>
    <w:lvl w:ilvl="2" w:tplc="3009001B">
      <w:start w:val="1"/>
      <w:numFmt w:val="lowerRoman"/>
      <w:lvlText w:val="%3."/>
      <w:lvlJc w:val="right"/>
      <w:pPr>
        <w:ind w:left="3960" w:hanging="180"/>
      </w:pPr>
    </w:lvl>
    <w:lvl w:ilvl="3" w:tplc="3009000F">
      <w:start w:val="1"/>
      <w:numFmt w:val="decimal"/>
      <w:lvlText w:val="%4."/>
      <w:lvlJc w:val="left"/>
      <w:pPr>
        <w:ind w:left="4680" w:hanging="360"/>
      </w:pPr>
    </w:lvl>
    <w:lvl w:ilvl="4" w:tplc="30090019">
      <w:start w:val="1"/>
      <w:numFmt w:val="lowerLetter"/>
      <w:lvlText w:val="%5."/>
      <w:lvlJc w:val="left"/>
      <w:pPr>
        <w:ind w:left="5400" w:hanging="360"/>
      </w:pPr>
    </w:lvl>
    <w:lvl w:ilvl="5" w:tplc="3009001B">
      <w:start w:val="1"/>
      <w:numFmt w:val="lowerRoman"/>
      <w:lvlText w:val="%6."/>
      <w:lvlJc w:val="right"/>
      <w:pPr>
        <w:ind w:left="6120" w:hanging="180"/>
      </w:pPr>
    </w:lvl>
    <w:lvl w:ilvl="6" w:tplc="3009000F">
      <w:start w:val="1"/>
      <w:numFmt w:val="decimal"/>
      <w:lvlText w:val="%7."/>
      <w:lvlJc w:val="left"/>
      <w:pPr>
        <w:ind w:left="6840" w:hanging="360"/>
      </w:pPr>
    </w:lvl>
    <w:lvl w:ilvl="7" w:tplc="30090019">
      <w:start w:val="1"/>
      <w:numFmt w:val="lowerLetter"/>
      <w:lvlText w:val="%8."/>
      <w:lvlJc w:val="left"/>
      <w:pPr>
        <w:ind w:left="7560" w:hanging="360"/>
      </w:pPr>
    </w:lvl>
    <w:lvl w:ilvl="8" w:tplc="3009001B">
      <w:start w:val="1"/>
      <w:numFmt w:val="lowerRoman"/>
      <w:lvlText w:val="%9."/>
      <w:lvlJc w:val="right"/>
      <w:pPr>
        <w:ind w:left="8280" w:hanging="180"/>
      </w:pPr>
    </w:lvl>
  </w:abstractNum>
  <w:abstractNum w:abstractNumId="3" w15:restartNumberingAfterBreak="0">
    <w:nsid w:val="0A910EFB"/>
    <w:multiLevelType w:val="hybridMultilevel"/>
    <w:tmpl w:val="C20E14CC"/>
    <w:lvl w:ilvl="0" w:tplc="21FAEA1C">
      <w:start w:val="4"/>
      <w:numFmt w:val="bullet"/>
      <w:lvlText w:val="-"/>
      <w:lvlJc w:val="left"/>
      <w:pPr>
        <w:ind w:left="360" w:hanging="360"/>
      </w:pPr>
      <w:rPr>
        <w:rFonts w:ascii="Calibri" w:eastAsiaTheme="minorHAnsi" w:hAnsi="Calibri" w:cstheme="minorBidi" w:hint="default"/>
      </w:rPr>
    </w:lvl>
    <w:lvl w:ilvl="1" w:tplc="30090003">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4" w15:restartNumberingAfterBreak="0">
    <w:nsid w:val="0D0B0B7C"/>
    <w:multiLevelType w:val="hybridMultilevel"/>
    <w:tmpl w:val="9C90E3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0DF10551"/>
    <w:multiLevelType w:val="hybridMultilevel"/>
    <w:tmpl w:val="12326988"/>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4954E75"/>
    <w:multiLevelType w:val="hybridMultilevel"/>
    <w:tmpl w:val="12326988"/>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56B63A2"/>
    <w:multiLevelType w:val="hybridMultilevel"/>
    <w:tmpl w:val="A42485A4"/>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1CA52123"/>
    <w:multiLevelType w:val="hybridMultilevel"/>
    <w:tmpl w:val="D9D8E8D6"/>
    <w:lvl w:ilvl="0" w:tplc="C3F64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97403"/>
    <w:multiLevelType w:val="hybridMultilevel"/>
    <w:tmpl w:val="B8228A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1D9388C"/>
    <w:multiLevelType w:val="hybridMultilevel"/>
    <w:tmpl w:val="7F3A3B2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0C778A9"/>
    <w:multiLevelType w:val="multilevel"/>
    <w:tmpl w:val="64B25EDA"/>
    <w:lvl w:ilvl="0">
      <w:start w:val="7"/>
      <w:numFmt w:val="decimal"/>
      <w:lvlText w:val="%1"/>
      <w:lvlJc w:val="left"/>
      <w:pPr>
        <w:ind w:left="375" w:hanging="375"/>
      </w:pPr>
      <w:rPr>
        <w:rFonts w:hint="default"/>
      </w:rPr>
    </w:lvl>
    <w:lvl w:ilvl="1">
      <w:start w:val="35"/>
      <w:numFmt w:val="decimal"/>
      <w:lvlText w:val="%1.%2"/>
      <w:lvlJc w:val="left"/>
      <w:pPr>
        <w:ind w:left="1110" w:hanging="37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680" w:hanging="1800"/>
      </w:pPr>
      <w:rPr>
        <w:rFonts w:hint="default"/>
      </w:rPr>
    </w:lvl>
  </w:abstractNum>
  <w:abstractNum w:abstractNumId="12" w15:restartNumberingAfterBreak="0">
    <w:nsid w:val="37B6040A"/>
    <w:multiLevelType w:val="multilevel"/>
    <w:tmpl w:val="20825F5E"/>
    <w:lvl w:ilvl="0">
      <w:start w:val="7"/>
      <w:numFmt w:val="decimal"/>
      <w:lvlText w:val="%1"/>
      <w:lvlJc w:val="left"/>
      <w:pPr>
        <w:ind w:left="375" w:hanging="375"/>
      </w:pPr>
      <w:rPr>
        <w:rFonts w:hint="default"/>
      </w:rPr>
    </w:lvl>
    <w:lvl w:ilvl="1">
      <w:start w:val="36"/>
      <w:numFmt w:val="decimal"/>
      <w:lvlText w:val="%1.%2"/>
      <w:lvlJc w:val="left"/>
      <w:pPr>
        <w:ind w:left="1485" w:hanging="375"/>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3" w15:restartNumberingAfterBreak="0">
    <w:nsid w:val="3D76249C"/>
    <w:multiLevelType w:val="hybridMultilevel"/>
    <w:tmpl w:val="773CCEE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3E045788"/>
    <w:multiLevelType w:val="hybridMultilevel"/>
    <w:tmpl w:val="0EDC4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0A01DE"/>
    <w:multiLevelType w:val="hybridMultilevel"/>
    <w:tmpl w:val="E7589888"/>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482C095E"/>
    <w:multiLevelType w:val="hybridMultilevel"/>
    <w:tmpl w:val="3FBA37B8"/>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4D2C6460"/>
    <w:multiLevelType w:val="multilevel"/>
    <w:tmpl w:val="FF2CC98A"/>
    <w:lvl w:ilvl="0">
      <w:start w:val="7"/>
      <w:numFmt w:val="decimal"/>
      <w:lvlText w:val="%1"/>
      <w:lvlJc w:val="left"/>
      <w:pPr>
        <w:ind w:left="375" w:hanging="375"/>
      </w:pPr>
      <w:rPr>
        <w:rFonts w:hint="default"/>
      </w:rPr>
    </w:lvl>
    <w:lvl w:ilvl="1">
      <w:start w:val="3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0A76A24"/>
    <w:multiLevelType w:val="hybridMultilevel"/>
    <w:tmpl w:val="5E1E09BE"/>
    <w:lvl w:ilvl="0" w:tplc="7C10DCF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520B318E"/>
    <w:multiLevelType w:val="hybridMultilevel"/>
    <w:tmpl w:val="B87E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B926AE"/>
    <w:multiLevelType w:val="hybridMultilevel"/>
    <w:tmpl w:val="C256EA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CB08D3"/>
    <w:multiLevelType w:val="hybridMultilevel"/>
    <w:tmpl w:val="52C0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9E2B0F"/>
    <w:multiLevelType w:val="hybridMultilevel"/>
    <w:tmpl w:val="9348C2A6"/>
    <w:lvl w:ilvl="0" w:tplc="7116CED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66C44677"/>
    <w:multiLevelType w:val="hybridMultilevel"/>
    <w:tmpl w:val="1852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8B6F5F"/>
    <w:multiLevelType w:val="hybridMultilevel"/>
    <w:tmpl w:val="74FC5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650DD"/>
    <w:multiLevelType w:val="hybridMultilevel"/>
    <w:tmpl w:val="D8C6B49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74F777FB"/>
    <w:multiLevelType w:val="multilevel"/>
    <w:tmpl w:val="009A6820"/>
    <w:lvl w:ilvl="0">
      <w:start w:val="1"/>
      <w:numFmt w:val="decimal"/>
      <w:lvlText w:val="%1."/>
      <w:lvlJc w:val="left"/>
      <w:pPr>
        <w:ind w:left="720" w:hanging="360"/>
      </w:pPr>
      <w:rPr>
        <w:rFonts w:hint="default"/>
      </w:rPr>
    </w:lvl>
    <w:lvl w:ilvl="1">
      <w:start w:val="3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AA5EE4"/>
    <w:multiLevelType w:val="hybridMultilevel"/>
    <w:tmpl w:val="5EC2A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29304C"/>
    <w:multiLevelType w:val="hybridMultilevel"/>
    <w:tmpl w:val="C5D28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080DEB"/>
    <w:multiLevelType w:val="hybridMultilevel"/>
    <w:tmpl w:val="83200A4C"/>
    <w:lvl w:ilvl="0" w:tplc="94B45FE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CEB1BD0"/>
    <w:multiLevelType w:val="hybridMultilevel"/>
    <w:tmpl w:val="85F0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261784"/>
    <w:multiLevelType w:val="hybridMultilevel"/>
    <w:tmpl w:val="30D854F2"/>
    <w:lvl w:ilvl="0" w:tplc="F63619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5"/>
  </w:num>
  <w:num w:numId="4">
    <w:abstractNumId w:val="9"/>
  </w:num>
  <w:num w:numId="5">
    <w:abstractNumId w:val="10"/>
  </w:num>
  <w:num w:numId="6">
    <w:abstractNumId w:val="4"/>
  </w:num>
  <w:num w:numId="7">
    <w:abstractNumId w:val="16"/>
  </w:num>
  <w:num w:numId="8">
    <w:abstractNumId w:val="18"/>
  </w:num>
  <w:num w:numId="9">
    <w:abstractNumId w:val="0"/>
  </w:num>
  <w:num w:numId="10">
    <w:abstractNumId w:val="2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3"/>
  </w:num>
  <w:num w:numId="14">
    <w:abstractNumId w:val="31"/>
  </w:num>
  <w:num w:numId="15">
    <w:abstractNumId w:val="30"/>
  </w:num>
  <w:num w:numId="16">
    <w:abstractNumId w:val="21"/>
  </w:num>
  <w:num w:numId="17">
    <w:abstractNumId w:val="19"/>
  </w:num>
  <w:num w:numId="18">
    <w:abstractNumId w:val="20"/>
  </w:num>
  <w:num w:numId="19">
    <w:abstractNumId w:val="26"/>
  </w:num>
  <w:num w:numId="20">
    <w:abstractNumId w:val="14"/>
  </w:num>
  <w:num w:numId="21">
    <w:abstractNumId w:val="8"/>
  </w:num>
  <w:num w:numId="22">
    <w:abstractNumId w:val="1"/>
  </w:num>
  <w:num w:numId="23">
    <w:abstractNumId w:val="28"/>
  </w:num>
  <w:num w:numId="24">
    <w:abstractNumId w:val="24"/>
  </w:num>
  <w:num w:numId="25">
    <w:abstractNumId w:val="27"/>
  </w:num>
  <w:num w:numId="26">
    <w:abstractNumId w:val="6"/>
  </w:num>
  <w:num w:numId="27">
    <w:abstractNumId w:val="17"/>
  </w:num>
  <w:num w:numId="28">
    <w:abstractNumId w:val="11"/>
  </w:num>
  <w:num w:numId="29">
    <w:abstractNumId w:val="12"/>
  </w:num>
  <w:num w:numId="30">
    <w:abstractNumId w:val="25"/>
  </w:num>
  <w:num w:numId="31">
    <w:abstractNumId w:val="29"/>
  </w:num>
  <w:num w:numId="32">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890"/>
    <w:rsid w:val="0000130F"/>
    <w:rsid w:val="00001355"/>
    <w:rsid w:val="000015AA"/>
    <w:rsid w:val="000015EB"/>
    <w:rsid w:val="0000194F"/>
    <w:rsid w:val="00001D86"/>
    <w:rsid w:val="00001E78"/>
    <w:rsid w:val="00003057"/>
    <w:rsid w:val="00003515"/>
    <w:rsid w:val="0000364E"/>
    <w:rsid w:val="00003921"/>
    <w:rsid w:val="00004A0F"/>
    <w:rsid w:val="00004FEF"/>
    <w:rsid w:val="00005222"/>
    <w:rsid w:val="00006AB6"/>
    <w:rsid w:val="00006C71"/>
    <w:rsid w:val="00007268"/>
    <w:rsid w:val="000073C7"/>
    <w:rsid w:val="000076C3"/>
    <w:rsid w:val="000077DA"/>
    <w:rsid w:val="00007DF2"/>
    <w:rsid w:val="00007ED7"/>
    <w:rsid w:val="00007FE8"/>
    <w:rsid w:val="000109D1"/>
    <w:rsid w:val="00010B57"/>
    <w:rsid w:val="00010C7F"/>
    <w:rsid w:val="00010F4B"/>
    <w:rsid w:val="000111C1"/>
    <w:rsid w:val="000126E1"/>
    <w:rsid w:val="00012C10"/>
    <w:rsid w:val="00013536"/>
    <w:rsid w:val="00013953"/>
    <w:rsid w:val="00013DD7"/>
    <w:rsid w:val="000143D2"/>
    <w:rsid w:val="00015227"/>
    <w:rsid w:val="0001523C"/>
    <w:rsid w:val="00015A6E"/>
    <w:rsid w:val="00016A30"/>
    <w:rsid w:val="00016B44"/>
    <w:rsid w:val="00016C66"/>
    <w:rsid w:val="00020546"/>
    <w:rsid w:val="0002122B"/>
    <w:rsid w:val="00021B78"/>
    <w:rsid w:val="00021FED"/>
    <w:rsid w:val="00022795"/>
    <w:rsid w:val="00023F93"/>
    <w:rsid w:val="000243C4"/>
    <w:rsid w:val="000248AC"/>
    <w:rsid w:val="000250E5"/>
    <w:rsid w:val="00025664"/>
    <w:rsid w:val="00026C96"/>
    <w:rsid w:val="00026F5F"/>
    <w:rsid w:val="00027E33"/>
    <w:rsid w:val="000304C4"/>
    <w:rsid w:val="00030A04"/>
    <w:rsid w:val="000314D2"/>
    <w:rsid w:val="0003167B"/>
    <w:rsid w:val="000320A2"/>
    <w:rsid w:val="000327FD"/>
    <w:rsid w:val="0003297C"/>
    <w:rsid w:val="0003340A"/>
    <w:rsid w:val="00033669"/>
    <w:rsid w:val="000337C1"/>
    <w:rsid w:val="00033FA2"/>
    <w:rsid w:val="00034CB6"/>
    <w:rsid w:val="000350D9"/>
    <w:rsid w:val="00035273"/>
    <w:rsid w:val="00035920"/>
    <w:rsid w:val="00035F8C"/>
    <w:rsid w:val="00036727"/>
    <w:rsid w:val="0003697D"/>
    <w:rsid w:val="00036A62"/>
    <w:rsid w:val="00036E3A"/>
    <w:rsid w:val="00036EAF"/>
    <w:rsid w:val="000372C0"/>
    <w:rsid w:val="00037AAF"/>
    <w:rsid w:val="00037AFE"/>
    <w:rsid w:val="00037D1F"/>
    <w:rsid w:val="00037DC3"/>
    <w:rsid w:val="00037EA3"/>
    <w:rsid w:val="0004006D"/>
    <w:rsid w:val="000401F3"/>
    <w:rsid w:val="00040328"/>
    <w:rsid w:val="000404B5"/>
    <w:rsid w:val="00040CBA"/>
    <w:rsid w:val="0004122A"/>
    <w:rsid w:val="0004160A"/>
    <w:rsid w:val="00041C39"/>
    <w:rsid w:val="00041E3D"/>
    <w:rsid w:val="000420A8"/>
    <w:rsid w:val="00042174"/>
    <w:rsid w:val="00042348"/>
    <w:rsid w:val="000427FE"/>
    <w:rsid w:val="00042AD1"/>
    <w:rsid w:val="00042D54"/>
    <w:rsid w:val="000431F6"/>
    <w:rsid w:val="00043463"/>
    <w:rsid w:val="0004351F"/>
    <w:rsid w:val="00043689"/>
    <w:rsid w:val="00043BA3"/>
    <w:rsid w:val="0004456A"/>
    <w:rsid w:val="00044E82"/>
    <w:rsid w:val="000450E1"/>
    <w:rsid w:val="0004514E"/>
    <w:rsid w:val="0004523E"/>
    <w:rsid w:val="00045A0D"/>
    <w:rsid w:val="00045C47"/>
    <w:rsid w:val="00046B80"/>
    <w:rsid w:val="000474BD"/>
    <w:rsid w:val="00050828"/>
    <w:rsid w:val="00050B03"/>
    <w:rsid w:val="00050B80"/>
    <w:rsid w:val="00050D6D"/>
    <w:rsid w:val="00051885"/>
    <w:rsid w:val="00051E5D"/>
    <w:rsid w:val="00051F15"/>
    <w:rsid w:val="00052947"/>
    <w:rsid w:val="000529B5"/>
    <w:rsid w:val="00052F2E"/>
    <w:rsid w:val="00052FED"/>
    <w:rsid w:val="0005346F"/>
    <w:rsid w:val="00053918"/>
    <w:rsid w:val="00053E2B"/>
    <w:rsid w:val="000549C3"/>
    <w:rsid w:val="00055125"/>
    <w:rsid w:val="00056087"/>
    <w:rsid w:val="00056513"/>
    <w:rsid w:val="00056B7E"/>
    <w:rsid w:val="000600FB"/>
    <w:rsid w:val="000604CF"/>
    <w:rsid w:val="00061AFD"/>
    <w:rsid w:val="00061B50"/>
    <w:rsid w:val="00061EB5"/>
    <w:rsid w:val="00062205"/>
    <w:rsid w:val="000624F0"/>
    <w:rsid w:val="0006273F"/>
    <w:rsid w:val="00062E21"/>
    <w:rsid w:val="00063141"/>
    <w:rsid w:val="00063C79"/>
    <w:rsid w:val="00063F17"/>
    <w:rsid w:val="00064A4C"/>
    <w:rsid w:val="00064B67"/>
    <w:rsid w:val="00064C83"/>
    <w:rsid w:val="00066C81"/>
    <w:rsid w:val="000676E2"/>
    <w:rsid w:val="00067BC2"/>
    <w:rsid w:val="00067CB5"/>
    <w:rsid w:val="00070188"/>
    <w:rsid w:val="00070245"/>
    <w:rsid w:val="00070576"/>
    <w:rsid w:val="00070B09"/>
    <w:rsid w:val="00070E4F"/>
    <w:rsid w:val="00070FF2"/>
    <w:rsid w:val="00070FFD"/>
    <w:rsid w:val="00071942"/>
    <w:rsid w:val="00072265"/>
    <w:rsid w:val="00072279"/>
    <w:rsid w:val="00072834"/>
    <w:rsid w:val="00073D14"/>
    <w:rsid w:val="00074857"/>
    <w:rsid w:val="000756D4"/>
    <w:rsid w:val="00075CAF"/>
    <w:rsid w:val="000762D0"/>
    <w:rsid w:val="00076307"/>
    <w:rsid w:val="000767A3"/>
    <w:rsid w:val="0007684E"/>
    <w:rsid w:val="00076E89"/>
    <w:rsid w:val="000772FF"/>
    <w:rsid w:val="00080159"/>
    <w:rsid w:val="000804CF"/>
    <w:rsid w:val="00080F09"/>
    <w:rsid w:val="000813A2"/>
    <w:rsid w:val="000816D5"/>
    <w:rsid w:val="0008198B"/>
    <w:rsid w:val="000821E1"/>
    <w:rsid w:val="0008244F"/>
    <w:rsid w:val="00082CE6"/>
    <w:rsid w:val="00082F3B"/>
    <w:rsid w:val="00083142"/>
    <w:rsid w:val="000831AD"/>
    <w:rsid w:val="00083C2E"/>
    <w:rsid w:val="0008420C"/>
    <w:rsid w:val="000842BD"/>
    <w:rsid w:val="000849AC"/>
    <w:rsid w:val="00084F61"/>
    <w:rsid w:val="000851B1"/>
    <w:rsid w:val="000855B4"/>
    <w:rsid w:val="00085903"/>
    <w:rsid w:val="00085A2F"/>
    <w:rsid w:val="00085BA3"/>
    <w:rsid w:val="00087389"/>
    <w:rsid w:val="000873EE"/>
    <w:rsid w:val="00087A34"/>
    <w:rsid w:val="00087BA4"/>
    <w:rsid w:val="00091B54"/>
    <w:rsid w:val="00091BAC"/>
    <w:rsid w:val="0009224A"/>
    <w:rsid w:val="000926FF"/>
    <w:rsid w:val="000928E2"/>
    <w:rsid w:val="00092CCE"/>
    <w:rsid w:val="0009301B"/>
    <w:rsid w:val="00094B40"/>
    <w:rsid w:val="0009514A"/>
    <w:rsid w:val="00095C38"/>
    <w:rsid w:val="00095D9F"/>
    <w:rsid w:val="00095ECB"/>
    <w:rsid w:val="00095F1A"/>
    <w:rsid w:val="00096040"/>
    <w:rsid w:val="0009782D"/>
    <w:rsid w:val="000978AD"/>
    <w:rsid w:val="000979FF"/>
    <w:rsid w:val="000A043F"/>
    <w:rsid w:val="000A04B0"/>
    <w:rsid w:val="000A04F4"/>
    <w:rsid w:val="000A067B"/>
    <w:rsid w:val="000A22A9"/>
    <w:rsid w:val="000A2EAF"/>
    <w:rsid w:val="000A3DE4"/>
    <w:rsid w:val="000A404C"/>
    <w:rsid w:val="000A489B"/>
    <w:rsid w:val="000A49B9"/>
    <w:rsid w:val="000A4DED"/>
    <w:rsid w:val="000A4F30"/>
    <w:rsid w:val="000A57AC"/>
    <w:rsid w:val="000A6B59"/>
    <w:rsid w:val="000A7689"/>
    <w:rsid w:val="000A772A"/>
    <w:rsid w:val="000B0CC3"/>
    <w:rsid w:val="000B119D"/>
    <w:rsid w:val="000B13A3"/>
    <w:rsid w:val="000B1808"/>
    <w:rsid w:val="000B322F"/>
    <w:rsid w:val="000B36FC"/>
    <w:rsid w:val="000B3B86"/>
    <w:rsid w:val="000B4801"/>
    <w:rsid w:val="000B4C4A"/>
    <w:rsid w:val="000B56FE"/>
    <w:rsid w:val="000B6382"/>
    <w:rsid w:val="000B6B44"/>
    <w:rsid w:val="000B6BA3"/>
    <w:rsid w:val="000B6C53"/>
    <w:rsid w:val="000B7047"/>
    <w:rsid w:val="000B7A59"/>
    <w:rsid w:val="000B7CF4"/>
    <w:rsid w:val="000C09CC"/>
    <w:rsid w:val="000C1C06"/>
    <w:rsid w:val="000C23FC"/>
    <w:rsid w:val="000C271E"/>
    <w:rsid w:val="000C2FFA"/>
    <w:rsid w:val="000C3163"/>
    <w:rsid w:val="000C3BEB"/>
    <w:rsid w:val="000C3FE3"/>
    <w:rsid w:val="000C4154"/>
    <w:rsid w:val="000C41FC"/>
    <w:rsid w:val="000C477B"/>
    <w:rsid w:val="000C4F8A"/>
    <w:rsid w:val="000C51E5"/>
    <w:rsid w:val="000C551C"/>
    <w:rsid w:val="000C5FB5"/>
    <w:rsid w:val="000C6041"/>
    <w:rsid w:val="000C60A9"/>
    <w:rsid w:val="000C62AC"/>
    <w:rsid w:val="000C68F5"/>
    <w:rsid w:val="000C6D81"/>
    <w:rsid w:val="000C6FC8"/>
    <w:rsid w:val="000C73C4"/>
    <w:rsid w:val="000C7A83"/>
    <w:rsid w:val="000D018A"/>
    <w:rsid w:val="000D0947"/>
    <w:rsid w:val="000D0E2D"/>
    <w:rsid w:val="000D206E"/>
    <w:rsid w:val="000D2982"/>
    <w:rsid w:val="000D3B87"/>
    <w:rsid w:val="000D41F9"/>
    <w:rsid w:val="000D42AC"/>
    <w:rsid w:val="000D4381"/>
    <w:rsid w:val="000D43A0"/>
    <w:rsid w:val="000D49DC"/>
    <w:rsid w:val="000D5D8D"/>
    <w:rsid w:val="000D5F4C"/>
    <w:rsid w:val="000D6318"/>
    <w:rsid w:val="000D67F2"/>
    <w:rsid w:val="000D6896"/>
    <w:rsid w:val="000D691F"/>
    <w:rsid w:val="000D696D"/>
    <w:rsid w:val="000D6AEF"/>
    <w:rsid w:val="000D756E"/>
    <w:rsid w:val="000D7B12"/>
    <w:rsid w:val="000E012D"/>
    <w:rsid w:val="000E0841"/>
    <w:rsid w:val="000E0CB8"/>
    <w:rsid w:val="000E0D89"/>
    <w:rsid w:val="000E16FA"/>
    <w:rsid w:val="000E1755"/>
    <w:rsid w:val="000E25F0"/>
    <w:rsid w:val="000E2A38"/>
    <w:rsid w:val="000E40B2"/>
    <w:rsid w:val="000E42FD"/>
    <w:rsid w:val="000E49D5"/>
    <w:rsid w:val="000E4F42"/>
    <w:rsid w:val="000E525D"/>
    <w:rsid w:val="000E57BE"/>
    <w:rsid w:val="000E633F"/>
    <w:rsid w:val="000E6E2E"/>
    <w:rsid w:val="000E70A5"/>
    <w:rsid w:val="000E70B5"/>
    <w:rsid w:val="000E750E"/>
    <w:rsid w:val="000E7D7D"/>
    <w:rsid w:val="000E7E53"/>
    <w:rsid w:val="000F13D1"/>
    <w:rsid w:val="000F1C8D"/>
    <w:rsid w:val="000F1E6E"/>
    <w:rsid w:val="000F2C02"/>
    <w:rsid w:val="000F3044"/>
    <w:rsid w:val="000F353E"/>
    <w:rsid w:val="000F39E0"/>
    <w:rsid w:val="000F3D2A"/>
    <w:rsid w:val="000F4028"/>
    <w:rsid w:val="000F43AA"/>
    <w:rsid w:val="000F4A31"/>
    <w:rsid w:val="000F4B07"/>
    <w:rsid w:val="000F4B79"/>
    <w:rsid w:val="000F4BC8"/>
    <w:rsid w:val="000F5B84"/>
    <w:rsid w:val="000F5BA6"/>
    <w:rsid w:val="000F5E63"/>
    <w:rsid w:val="000F6AD9"/>
    <w:rsid w:val="000F6EF5"/>
    <w:rsid w:val="000F7254"/>
    <w:rsid w:val="000F784E"/>
    <w:rsid w:val="0010056A"/>
    <w:rsid w:val="001005DA"/>
    <w:rsid w:val="00100D09"/>
    <w:rsid w:val="00100DCA"/>
    <w:rsid w:val="00100F8C"/>
    <w:rsid w:val="001011ED"/>
    <w:rsid w:val="001015F7"/>
    <w:rsid w:val="0010180D"/>
    <w:rsid w:val="00101F0C"/>
    <w:rsid w:val="0010281A"/>
    <w:rsid w:val="00102BEE"/>
    <w:rsid w:val="0010320C"/>
    <w:rsid w:val="0010394F"/>
    <w:rsid w:val="00105277"/>
    <w:rsid w:val="00105DB4"/>
    <w:rsid w:val="00105F79"/>
    <w:rsid w:val="00106172"/>
    <w:rsid w:val="001066DA"/>
    <w:rsid w:val="0010696A"/>
    <w:rsid w:val="0010711F"/>
    <w:rsid w:val="001077EA"/>
    <w:rsid w:val="00111DDC"/>
    <w:rsid w:val="0011324B"/>
    <w:rsid w:val="0011366A"/>
    <w:rsid w:val="00113D8E"/>
    <w:rsid w:val="00114708"/>
    <w:rsid w:val="00116C6A"/>
    <w:rsid w:val="00116D67"/>
    <w:rsid w:val="00117304"/>
    <w:rsid w:val="0011735D"/>
    <w:rsid w:val="00117D90"/>
    <w:rsid w:val="00120600"/>
    <w:rsid w:val="001208E5"/>
    <w:rsid w:val="00120981"/>
    <w:rsid w:val="00120E0A"/>
    <w:rsid w:val="00121E5D"/>
    <w:rsid w:val="0012307E"/>
    <w:rsid w:val="0012330C"/>
    <w:rsid w:val="00123443"/>
    <w:rsid w:val="001244CD"/>
    <w:rsid w:val="0012509C"/>
    <w:rsid w:val="0012573E"/>
    <w:rsid w:val="001259B0"/>
    <w:rsid w:val="001262C7"/>
    <w:rsid w:val="0012639D"/>
    <w:rsid w:val="00126A8E"/>
    <w:rsid w:val="00126FEF"/>
    <w:rsid w:val="001271E2"/>
    <w:rsid w:val="00127E22"/>
    <w:rsid w:val="00127F0F"/>
    <w:rsid w:val="00130DDB"/>
    <w:rsid w:val="001317F6"/>
    <w:rsid w:val="0013193A"/>
    <w:rsid w:val="00131BD7"/>
    <w:rsid w:val="00132A73"/>
    <w:rsid w:val="00132B09"/>
    <w:rsid w:val="00132E80"/>
    <w:rsid w:val="00133BEE"/>
    <w:rsid w:val="00134532"/>
    <w:rsid w:val="00134A74"/>
    <w:rsid w:val="00134BC8"/>
    <w:rsid w:val="00135824"/>
    <w:rsid w:val="00135827"/>
    <w:rsid w:val="00135970"/>
    <w:rsid w:val="00136C18"/>
    <w:rsid w:val="0013746C"/>
    <w:rsid w:val="00137693"/>
    <w:rsid w:val="00140147"/>
    <w:rsid w:val="00140151"/>
    <w:rsid w:val="001402BC"/>
    <w:rsid w:val="0014030E"/>
    <w:rsid w:val="001404D1"/>
    <w:rsid w:val="00140C60"/>
    <w:rsid w:val="00140D0E"/>
    <w:rsid w:val="00140EDA"/>
    <w:rsid w:val="00141AA4"/>
    <w:rsid w:val="0014233E"/>
    <w:rsid w:val="00142454"/>
    <w:rsid w:val="00142BF4"/>
    <w:rsid w:val="00142F0F"/>
    <w:rsid w:val="00142F1C"/>
    <w:rsid w:val="0014404F"/>
    <w:rsid w:val="0014475C"/>
    <w:rsid w:val="001447A7"/>
    <w:rsid w:val="0014611C"/>
    <w:rsid w:val="00146159"/>
    <w:rsid w:val="001469BC"/>
    <w:rsid w:val="00146EF4"/>
    <w:rsid w:val="001479A8"/>
    <w:rsid w:val="00147D39"/>
    <w:rsid w:val="00150025"/>
    <w:rsid w:val="00150DDD"/>
    <w:rsid w:val="0015119D"/>
    <w:rsid w:val="00152A58"/>
    <w:rsid w:val="00152A93"/>
    <w:rsid w:val="00152EC6"/>
    <w:rsid w:val="001531EF"/>
    <w:rsid w:val="00153C39"/>
    <w:rsid w:val="00153D80"/>
    <w:rsid w:val="001541FF"/>
    <w:rsid w:val="00154BF8"/>
    <w:rsid w:val="00154F5D"/>
    <w:rsid w:val="0015546B"/>
    <w:rsid w:val="00155479"/>
    <w:rsid w:val="00155E1B"/>
    <w:rsid w:val="001567A3"/>
    <w:rsid w:val="00156834"/>
    <w:rsid w:val="00156894"/>
    <w:rsid w:val="001568E1"/>
    <w:rsid w:val="00156F99"/>
    <w:rsid w:val="001577C2"/>
    <w:rsid w:val="00157AE8"/>
    <w:rsid w:val="0016002C"/>
    <w:rsid w:val="00160088"/>
    <w:rsid w:val="00160277"/>
    <w:rsid w:val="001614BB"/>
    <w:rsid w:val="00161596"/>
    <w:rsid w:val="00161CCE"/>
    <w:rsid w:val="00162021"/>
    <w:rsid w:val="00162226"/>
    <w:rsid w:val="0016230F"/>
    <w:rsid w:val="001628DB"/>
    <w:rsid w:val="00165B60"/>
    <w:rsid w:val="0016772F"/>
    <w:rsid w:val="001701EF"/>
    <w:rsid w:val="001703ED"/>
    <w:rsid w:val="00170469"/>
    <w:rsid w:val="00170B76"/>
    <w:rsid w:val="00171196"/>
    <w:rsid w:val="00171A6D"/>
    <w:rsid w:val="001732C0"/>
    <w:rsid w:val="0017336F"/>
    <w:rsid w:val="0017504F"/>
    <w:rsid w:val="00175D08"/>
    <w:rsid w:val="00176A05"/>
    <w:rsid w:val="00176A4D"/>
    <w:rsid w:val="001773F3"/>
    <w:rsid w:val="0017740E"/>
    <w:rsid w:val="001777AE"/>
    <w:rsid w:val="00177C6B"/>
    <w:rsid w:val="00180EDB"/>
    <w:rsid w:val="00181464"/>
    <w:rsid w:val="0018147C"/>
    <w:rsid w:val="001819D2"/>
    <w:rsid w:val="00181A7D"/>
    <w:rsid w:val="00181B46"/>
    <w:rsid w:val="00181C9F"/>
    <w:rsid w:val="001828ED"/>
    <w:rsid w:val="001836F6"/>
    <w:rsid w:val="0018444A"/>
    <w:rsid w:val="00184B22"/>
    <w:rsid w:val="0018597F"/>
    <w:rsid w:val="00185A82"/>
    <w:rsid w:val="001860EC"/>
    <w:rsid w:val="001864BA"/>
    <w:rsid w:val="0018677B"/>
    <w:rsid w:val="00186BF6"/>
    <w:rsid w:val="00187545"/>
    <w:rsid w:val="001904CA"/>
    <w:rsid w:val="00190E3D"/>
    <w:rsid w:val="001922B6"/>
    <w:rsid w:val="001925F1"/>
    <w:rsid w:val="00193D54"/>
    <w:rsid w:val="00193DA2"/>
    <w:rsid w:val="00193DF7"/>
    <w:rsid w:val="0019400A"/>
    <w:rsid w:val="001948C1"/>
    <w:rsid w:val="00194A51"/>
    <w:rsid w:val="00194DBD"/>
    <w:rsid w:val="001953BA"/>
    <w:rsid w:val="00195608"/>
    <w:rsid w:val="0019599E"/>
    <w:rsid w:val="00195A7C"/>
    <w:rsid w:val="00195AB1"/>
    <w:rsid w:val="00195B6E"/>
    <w:rsid w:val="00195BE7"/>
    <w:rsid w:val="0019726B"/>
    <w:rsid w:val="001974B8"/>
    <w:rsid w:val="001A0303"/>
    <w:rsid w:val="001A0725"/>
    <w:rsid w:val="001A0D50"/>
    <w:rsid w:val="001A1029"/>
    <w:rsid w:val="001A1698"/>
    <w:rsid w:val="001A1B7B"/>
    <w:rsid w:val="001A1D82"/>
    <w:rsid w:val="001A1D9E"/>
    <w:rsid w:val="001A23A8"/>
    <w:rsid w:val="001A275E"/>
    <w:rsid w:val="001A2E2F"/>
    <w:rsid w:val="001A31A2"/>
    <w:rsid w:val="001A3208"/>
    <w:rsid w:val="001A3B9E"/>
    <w:rsid w:val="001A3D83"/>
    <w:rsid w:val="001A407C"/>
    <w:rsid w:val="001A46A0"/>
    <w:rsid w:val="001A570D"/>
    <w:rsid w:val="001A580B"/>
    <w:rsid w:val="001A58C1"/>
    <w:rsid w:val="001A64A4"/>
    <w:rsid w:val="001A66EF"/>
    <w:rsid w:val="001A6AEB"/>
    <w:rsid w:val="001A6E04"/>
    <w:rsid w:val="001A7A29"/>
    <w:rsid w:val="001A7EE9"/>
    <w:rsid w:val="001A7F3A"/>
    <w:rsid w:val="001B014D"/>
    <w:rsid w:val="001B10A1"/>
    <w:rsid w:val="001B1464"/>
    <w:rsid w:val="001B1631"/>
    <w:rsid w:val="001B1A74"/>
    <w:rsid w:val="001B2A3D"/>
    <w:rsid w:val="001B2D21"/>
    <w:rsid w:val="001B2D5C"/>
    <w:rsid w:val="001B2DA9"/>
    <w:rsid w:val="001B2DD5"/>
    <w:rsid w:val="001B36A0"/>
    <w:rsid w:val="001B4306"/>
    <w:rsid w:val="001B4A85"/>
    <w:rsid w:val="001B4BEB"/>
    <w:rsid w:val="001B4E18"/>
    <w:rsid w:val="001B6093"/>
    <w:rsid w:val="001B6196"/>
    <w:rsid w:val="001B6551"/>
    <w:rsid w:val="001B6621"/>
    <w:rsid w:val="001B708C"/>
    <w:rsid w:val="001B7268"/>
    <w:rsid w:val="001B731E"/>
    <w:rsid w:val="001B73DC"/>
    <w:rsid w:val="001B7612"/>
    <w:rsid w:val="001C032E"/>
    <w:rsid w:val="001C0614"/>
    <w:rsid w:val="001C0926"/>
    <w:rsid w:val="001C0AFE"/>
    <w:rsid w:val="001C10DE"/>
    <w:rsid w:val="001C1A04"/>
    <w:rsid w:val="001C1A79"/>
    <w:rsid w:val="001C1DB6"/>
    <w:rsid w:val="001C2227"/>
    <w:rsid w:val="001C2DBA"/>
    <w:rsid w:val="001C2F0D"/>
    <w:rsid w:val="001C3283"/>
    <w:rsid w:val="001C4085"/>
    <w:rsid w:val="001C4F07"/>
    <w:rsid w:val="001C52D9"/>
    <w:rsid w:val="001C5CA0"/>
    <w:rsid w:val="001C646B"/>
    <w:rsid w:val="001C648E"/>
    <w:rsid w:val="001C6861"/>
    <w:rsid w:val="001C6E1F"/>
    <w:rsid w:val="001C7092"/>
    <w:rsid w:val="001C7248"/>
    <w:rsid w:val="001C7730"/>
    <w:rsid w:val="001C77E3"/>
    <w:rsid w:val="001D1A3C"/>
    <w:rsid w:val="001D21F6"/>
    <w:rsid w:val="001D29BF"/>
    <w:rsid w:val="001D2F39"/>
    <w:rsid w:val="001D3071"/>
    <w:rsid w:val="001D33A7"/>
    <w:rsid w:val="001D33FC"/>
    <w:rsid w:val="001D3E9C"/>
    <w:rsid w:val="001D4587"/>
    <w:rsid w:val="001D52F3"/>
    <w:rsid w:val="001D52FF"/>
    <w:rsid w:val="001D543E"/>
    <w:rsid w:val="001D5DC0"/>
    <w:rsid w:val="001D5F8A"/>
    <w:rsid w:val="001D6556"/>
    <w:rsid w:val="001D6B2D"/>
    <w:rsid w:val="001D6FF6"/>
    <w:rsid w:val="001D7A32"/>
    <w:rsid w:val="001E032D"/>
    <w:rsid w:val="001E034B"/>
    <w:rsid w:val="001E04E3"/>
    <w:rsid w:val="001E09FB"/>
    <w:rsid w:val="001E11BE"/>
    <w:rsid w:val="001E142D"/>
    <w:rsid w:val="001E2528"/>
    <w:rsid w:val="001E2968"/>
    <w:rsid w:val="001E2D1A"/>
    <w:rsid w:val="001E3353"/>
    <w:rsid w:val="001E353F"/>
    <w:rsid w:val="001E4C46"/>
    <w:rsid w:val="001E53DA"/>
    <w:rsid w:val="001E57A1"/>
    <w:rsid w:val="001E5C03"/>
    <w:rsid w:val="001E7066"/>
    <w:rsid w:val="001E7654"/>
    <w:rsid w:val="001E7BF4"/>
    <w:rsid w:val="001E7FD9"/>
    <w:rsid w:val="001F14B2"/>
    <w:rsid w:val="001F1F7B"/>
    <w:rsid w:val="001F223D"/>
    <w:rsid w:val="001F225C"/>
    <w:rsid w:val="001F2455"/>
    <w:rsid w:val="001F25F2"/>
    <w:rsid w:val="001F2B24"/>
    <w:rsid w:val="001F319F"/>
    <w:rsid w:val="001F330B"/>
    <w:rsid w:val="001F3424"/>
    <w:rsid w:val="001F354D"/>
    <w:rsid w:val="001F38A7"/>
    <w:rsid w:val="001F3F21"/>
    <w:rsid w:val="001F3F8C"/>
    <w:rsid w:val="001F453C"/>
    <w:rsid w:val="001F4FB5"/>
    <w:rsid w:val="001F507B"/>
    <w:rsid w:val="001F59A3"/>
    <w:rsid w:val="001F5A8B"/>
    <w:rsid w:val="001F6521"/>
    <w:rsid w:val="001F656D"/>
    <w:rsid w:val="001F79C3"/>
    <w:rsid w:val="00200129"/>
    <w:rsid w:val="00200ED1"/>
    <w:rsid w:val="002028C6"/>
    <w:rsid w:val="002031DF"/>
    <w:rsid w:val="0020340A"/>
    <w:rsid w:val="00203F09"/>
    <w:rsid w:val="00203FAC"/>
    <w:rsid w:val="0020542C"/>
    <w:rsid w:val="00205901"/>
    <w:rsid w:val="00205B75"/>
    <w:rsid w:val="00206051"/>
    <w:rsid w:val="002062F6"/>
    <w:rsid w:val="00207AFE"/>
    <w:rsid w:val="00207BBD"/>
    <w:rsid w:val="00207CAA"/>
    <w:rsid w:val="00210184"/>
    <w:rsid w:val="0021055A"/>
    <w:rsid w:val="00211183"/>
    <w:rsid w:val="00213993"/>
    <w:rsid w:val="0021405E"/>
    <w:rsid w:val="0021411A"/>
    <w:rsid w:val="00214A6F"/>
    <w:rsid w:val="002160DD"/>
    <w:rsid w:val="00216B9B"/>
    <w:rsid w:val="00216ED9"/>
    <w:rsid w:val="0021787F"/>
    <w:rsid w:val="00217F3D"/>
    <w:rsid w:val="00222583"/>
    <w:rsid w:val="00222C5B"/>
    <w:rsid w:val="00222D8A"/>
    <w:rsid w:val="00222FC8"/>
    <w:rsid w:val="00223475"/>
    <w:rsid w:val="002235A4"/>
    <w:rsid w:val="0022388D"/>
    <w:rsid w:val="00224890"/>
    <w:rsid w:val="00225142"/>
    <w:rsid w:val="002264BF"/>
    <w:rsid w:val="002273D4"/>
    <w:rsid w:val="0022792C"/>
    <w:rsid w:val="00227CE8"/>
    <w:rsid w:val="0023003C"/>
    <w:rsid w:val="00230237"/>
    <w:rsid w:val="002304CE"/>
    <w:rsid w:val="00230E9C"/>
    <w:rsid w:val="002313D4"/>
    <w:rsid w:val="00231999"/>
    <w:rsid w:val="00231DE8"/>
    <w:rsid w:val="00231E78"/>
    <w:rsid w:val="00232128"/>
    <w:rsid w:val="00232761"/>
    <w:rsid w:val="00233A9A"/>
    <w:rsid w:val="00233CF7"/>
    <w:rsid w:val="00234699"/>
    <w:rsid w:val="0023506E"/>
    <w:rsid w:val="00235307"/>
    <w:rsid w:val="00235EBC"/>
    <w:rsid w:val="002374DE"/>
    <w:rsid w:val="00240983"/>
    <w:rsid w:val="00240A2A"/>
    <w:rsid w:val="00241008"/>
    <w:rsid w:val="002414D0"/>
    <w:rsid w:val="00241FC3"/>
    <w:rsid w:val="00241FF4"/>
    <w:rsid w:val="002423E1"/>
    <w:rsid w:val="00242947"/>
    <w:rsid w:val="002429DE"/>
    <w:rsid w:val="00242A73"/>
    <w:rsid w:val="00244E58"/>
    <w:rsid w:val="002450D2"/>
    <w:rsid w:val="00245A88"/>
    <w:rsid w:val="00245FAA"/>
    <w:rsid w:val="00247779"/>
    <w:rsid w:val="00247FC6"/>
    <w:rsid w:val="002502EE"/>
    <w:rsid w:val="00250D99"/>
    <w:rsid w:val="00250FA6"/>
    <w:rsid w:val="00251595"/>
    <w:rsid w:val="002515C0"/>
    <w:rsid w:val="002518CF"/>
    <w:rsid w:val="00252146"/>
    <w:rsid w:val="002523D2"/>
    <w:rsid w:val="0025369D"/>
    <w:rsid w:val="00253A87"/>
    <w:rsid w:val="00253F99"/>
    <w:rsid w:val="0025407E"/>
    <w:rsid w:val="002543DF"/>
    <w:rsid w:val="002557DE"/>
    <w:rsid w:val="00255D53"/>
    <w:rsid w:val="00255FD4"/>
    <w:rsid w:val="00256442"/>
    <w:rsid w:val="002571E0"/>
    <w:rsid w:val="00257760"/>
    <w:rsid w:val="0025793A"/>
    <w:rsid w:val="0026005E"/>
    <w:rsid w:val="00260145"/>
    <w:rsid w:val="00260264"/>
    <w:rsid w:val="00260702"/>
    <w:rsid w:val="002609B4"/>
    <w:rsid w:val="002610F0"/>
    <w:rsid w:val="00261401"/>
    <w:rsid w:val="002628CF"/>
    <w:rsid w:val="00262B1F"/>
    <w:rsid w:val="00262C3C"/>
    <w:rsid w:val="0026308E"/>
    <w:rsid w:val="002630D4"/>
    <w:rsid w:val="00263789"/>
    <w:rsid w:val="00264276"/>
    <w:rsid w:val="002642C0"/>
    <w:rsid w:val="00264357"/>
    <w:rsid w:val="00265395"/>
    <w:rsid w:val="00265652"/>
    <w:rsid w:val="00265FC7"/>
    <w:rsid w:val="00266ABA"/>
    <w:rsid w:val="00266F8A"/>
    <w:rsid w:val="002674DC"/>
    <w:rsid w:val="00267BD9"/>
    <w:rsid w:val="00267C20"/>
    <w:rsid w:val="002703C3"/>
    <w:rsid w:val="002707A9"/>
    <w:rsid w:val="00271665"/>
    <w:rsid w:val="0027206C"/>
    <w:rsid w:val="00272086"/>
    <w:rsid w:val="00272227"/>
    <w:rsid w:val="002727E9"/>
    <w:rsid w:val="0027290A"/>
    <w:rsid w:val="002732F0"/>
    <w:rsid w:val="00273723"/>
    <w:rsid w:val="00273766"/>
    <w:rsid w:val="002738FF"/>
    <w:rsid w:val="00273A22"/>
    <w:rsid w:val="00273C32"/>
    <w:rsid w:val="002743FD"/>
    <w:rsid w:val="0027484A"/>
    <w:rsid w:val="0027490F"/>
    <w:rsid w:val="0027520C"/>
    <w:rsid w:val="002755AE"/>
    <w:rsid w:val="00275659"/>
    <w:rsid w:val="002758C7"/>
    <w:rsid w:val="002768FB"/>
    <w:rsid w:val="002771E4"/>
    <w:rsid w:val="00277E3D"/>
    <w:rsid w:val="00280862"/>
    <w:rsid w:val="00280930"/>
    <w:rsid w:val="00280A23"/>
    <w:rsid w:val="00281A01"/>
    <w:rsid w:val="00281DE7"/>
    <w:rsid w:val="00282434"/>
    <w:rsid w:val="002828EA"/>
    <w:rsid w:val="002832BA"/>
    <w:rsid w:val="00283AC3"/>
    <w:rsid w:val="00283E88"/>
    <w:rsid w:val="0028401B"/>
    <w:rsid w:val="0028403A"/>
    <w:rsid w:val="002845DA"/>
    <w:rsid w:val="00284BEB"/>
    <w:rsid w:val="00285262"/>
    <w:rsid w:val="002853CB"/>
    <w:rsid w:val="00285922"/>
    <w:rsid w:val="002868A5"/>
    <w:rsid w:val="00286A08"/>
    <w:rsid w:val="002871A8"/>
    <w:rsid w:val="00287814"/>
    <w:rsid w:val="00290D36"/>
    <w:rsid w:val="00291D10"/>
    <w:rsid w:val="00292BD9"/>
    <w:rsid w:val="00292FC2"/>
    <w:rsid w:val="002940EC"/>
    <w:rsid w:val="002944CB"/>
    <w:rsid w:val="0029502F"/>
    <w:rsid w:val="002954F2"/>
    <w:rsid w:val="00295565"/>
    <w:rsid w:val="00295E02"/>
    <w:rsid w:val="002967A5"/>
    <w:rsid w:val="00296D28"/>
    <w:rsid w:val="002A0327"/>
    <w:rsid w:val="002A159E"/>
    <w:rsid w:val="002A1C61"/>
    <w:rsid w:val="002A1E90"/>
    <w:rsid w:val="002A21D1"/>
    <w:rsid w:val="002A240D"/>
    <w:rsid w:val="002A2654"/>
    <w:rsid w:val="002A290F"/>
    <w:rsid w:val="002A2F1B"/>
    <w:rsid w:val="002A3185"/>
    <w:rsid w:val="002A39EF"/>
    <w:rsid w:val="002A3A8B"/>
    <w:rsid w:val="002A3E79"/>
    <w:rsid w:val="002A4A23"/>
    <w:rsid w:val="002A4D64"/>
    <w:rsid w:val="002A4DD4"/>
    <w:rsid w:val="002A54CE"/>
    <w:rsid w:val="002A5769"/>
    <w:rsid w:val="002A5855"/>
    <w:rsid w:val="002A615F"/>
    <w:rsid w:val="002A7145"/>
    <w:rsid w:val="002A7B46"/>
    <w:rsid w:val="002A7C7A"/>
    <w:rsid w:val="002A7E23"/>
    <w:rsid w:val="002B032B"/>
    <w:rsid w:val="002B0CBF"/>
    <w:rsid w:val="002B1B9D"/>
    <w:rsid w:val="002B1D42"/>
    <w:rsid w:val="002B323E"/>
    <w:rsid w:val="002B3FC4"/>
    <w:rsid w:val="002B5C77"/>
    <w:rsid w:val="002B6103"/>
    <w:rsid w:val="002B6D81"/>
    <w:rsid w:val="002B6F2E"/>
    <w:rsid w:val="002B7734"/>
    <w:rsid w:val="002B7FAA"/>
    <w:rsid w:val="002C0A0C"/>
    <w:rsid w:val="002C0F47"/>
    <w:rsid w:val="002C12E5"/>
    <w:rsid w:val="002C149C"/>
    <w:rsid w:val="002C22AA"/>
    <w:rsid w:val="002C2A60"/>
    <w:rsid w:val="002C3D85"/>
    <w:rsid w:val="002C3F31"/>
    <w:rsid w:val="002C4635"/>
    <w:rsid w:val="002C48B6"/>
    <w:rsid w:val="002C4DF0"/>
    <w:rsid w:val="002C5901"/>
    <w:rsid w:val="002C5D69"/>
    <w:rsid w:val="002C6616"/>
    <w:rsid w:val="002C6C3D"/>
    <w:rsid w:val="002C6C6B"/>
    <w:rsid w:val="002C70A2"/>
    <w:rsid w:val="002C7154"/>
    <w:rsid w:val="002C753B"/>
    <w:rsid w:val="002C75EF"/>
    <w:rsid w:val="002C7622"/>
    <w:rsid w:val="002C7713"/>
    <w:rsid w:val="002C7C30"/>
    <w:rsid w:val="002C7D09"/>
    <w:rsid w:val="002C7EA3"/>
    <w:rsid w:val="002D0388"/>
    <w:rsid w:val="002D0C01"/>
    <w:rsid w:val="002D103D"/>
    <w:rsid w:val="002D20E1"/>
    <w:rsid w:val="002D2724"/>
    <w:rsid w:val="002D2831"/>
    <w:rsid w:val="002D398E"/>
    <w:rsid w:val="002D3DCE"/>
    <w:rsid w:val="002D571B"/>
    <w:rsid w:val="002D5ABE"/>
    <w:rsid w:val="002D688C"/>
    <w:rsid w:val="002D6F60"/>
    <w:rsid w:val="002D7366"/>
    <w:rsid w:val="002D73DE"/>
    <w:rsid w:val="002D7BF7"/>
    <w:rsid w:val="002D7D42"/>
    <w:rsid w:val="002E03F9"/>
    <w:rsid w:val="002E104F"/>
    <w:rsid w:val="002E1062"/>
    <w:rsid w:val="002E15D7"/>
    <w:rsid w:val="002E1FFC"/>
    <w:rsid w:val="002E216B"/>
    <w:rsid w:val="002E284D"/>
    <w:rsid w:val="002E2E81"/>
    <w:rsid w:val="002E37B5"/>
    <w:rsid w:val="002E3C39"/>
    <w:rsid w:val="002E3D10"/>
    <w:rsid w:val="002E3D45"/>
    <w:rsid w:val="002E4871"/>
    <w:rsid w:val="002E4900"/>
    <w:rsid w:val="002E504A"/>
    <w:rsid w:val="002E5830"/>
    <w:rsid w:val="002E5B6E"/>
    <w:rsid w:val="002E6334"/>
    <w:rsid w:val="002E6D86"/>
    <w:rsid w:val="002E6FB1"/>
    <w:rsid w:val="002E714D"/>
    <w:rsid w:val="002E7322"/>
    <w:rsid w:val="002E7383"/>
    <w:rsid w:val="002E7974"/>
    <w:rsid w:val="002E7DDB"/>
    <w:rsid w:val="002F0678"/>
    <w:rsid w:val="002F08E2"/>
    <w:rsid w:val="002F2100"/>
    <w:rsid w:val="002F237D"/>
    <w:rsid w:val="002F23D3"/>
    <w:rsid w:val="002F3601"/>
    <w:rsid w:val="002F3B53"/>
    <w:rsid w:val="002F4222"/>
    <w:rsid w:val="002F4573"/>
    <w:rsid w:val="002F4752"/>
    <w:rsid w:val="002F4771"/>
    <w:rsid w:val="002F48C6"/>
    <w:rsid w:val="002F4E72"/>
    <w:rsid w:val="002F541E"/>
    <w:rsid w:val="002F54FB"/>
    <w:rsid w:val="002F5531"/>
    <w:rsid w:val="002F739E"/>
    <w:rsid w:val="002F768B"/>
    <w:rsid w:val="002F7F0A"/>
    <w:rsid w:val="0030037D"/>
    <w:rsid w:val="003003FB"/>
    <w:rsid w:val="003007CA"/>
    <w:rsid w:val="00300CC3"/>
    <w:rsid w:val="00300CDC"/>
    <w:rsid w:val="0030253E"/>
    <w:rsid w:val="00302647"/>
    <w:rsid w:val="00302672"/>
    <w:rsid w:val="00302ACB"/>
    <w:rsid w:val="00302B95"/>
    <w:rsid w:val="00302D89"/>
    <w:rsid w:val="00302EA6"/>
    <w:rsid w:val="00303E1C"/>
    <w:rsid w:val="00303FEC"/>
    <w:rsid w:val="0030405B"/>
    <w:rsid w:val="0030445C"/>
    <w:rsid w:val="00304CCD"/>
    <w:rsid w:val="00304CEF"/>
    <w:rsid w:val="00304D15"/>
    <w:rsid w:val="003057D7"/>
    <w:rsid w:val="003059A5"/>
    <w:rsid w:val="00305A6C"/>
    <w:rsid w:val="00305B71"/>
    <w:rsid w:val="00306039"/>
    <w:rsid w:val="003063BD"/>
    <w:rsid w:val="003066AE"/>
    <w:rsid w:val="003067B6"/>
    <w:rsid w:val="003102A2"/>
    <w:rsid w:val="003104BE"/>
    <w:rsid w:val="00310E87"/>
    <w:rsid w:val="00311C17"/>
    <w:rsid w:val="00311D8B"/>
    <w:rsid w:val="00312199"/>
    <w:rsid w:val="0031373D"/>
    <w:rsid w:val="00313BF9"/>
    <w:rsid w:val="00313FF2"/>
    <w:rsid w:val="003146C2"/>
    <w:rsid w:val="00314D8F"/>
    <w:rsid w:val="00315170"/>
    <w:rsid w:val="00315804"/>
    <w:rsid w:val="0031581B"/>
    <w:rsid w:val="00316059"/>
    <w:rsid w:val="003173A1"/>
    <w:rsid w:val="003176C8"/>
    <w:rsid w:val="00317EE0"/>
    <w:rsid w:val="00317F71"/>
    <w:rsid w:val="00320A32"/>
    <w:rsid w:val="00321E03"/>
    <w:rsid w:val="00321F47"/>
    <w:rsid w:val="003223A2"/>
    <w:rsid w:val="00322903"/>
    <w:rsid w:val="00322E9D"/>
    <w:rsid w:val="0032352C"/>
    <w:rsid w:val="00323792"/>
    <w:rsid w:val="00324129"/>
    <w:rsid w:val="003261F4"/>
    <w:rsid w:val="003263C1"/>
    <w:rsid w:val="003265F1"/>
    <w:rsid w:val="003268BD"/>
    <w:rsid w:val="003268BF"/>
    <w:rsid w:val="00326F6C"/>
    <w:rsid w:val="003270D3"/>
    <w:rsid w:val="003271A8"/>
    <w:rsid w:val="003272A5"/>
    <w:rsid w:val="00327BEC"/>
    <w:rsid w:val="0033045B"/>
    <w:rsid w:val="00330772"/>
    <w:rsid w:val="00331678"/>
    <w:rsid w:val="00331A27"/>
    <w:rsid w:val="003323CF"/>
    <w:rsid w:val="00333236"/>
    <w:rsid w:val="00333322"/>
    <w:rsid w:val="0033337B"/>
    <w:rsid w:val="003336DA"/>
    <w:rsid w:val="00334151"/>
    <w:rsid w:val="00334502"/>
    <w:rsid w:val="003345AA"/>
    <w:rsid w:val="00335332"/>
    <w:rsid w:val="003356C3"/>
    <w:rsid w:val="003377A3"/>
    <w:rsid w:val="0033792B"/>
    <w:rsid w:val="00340568"/>
    <w:rsid w:val="00341511"/>
    <w:rsid w:val="003415B4"/>
    <w:rsid w:val="003416A7"/>
    <w:rsid w:val="003418E1"/>
    <w:rsid w:val="003419E2"/>
    <w:rsid w:val="00341C33"/>
    <w:rsid w:val="00341D86"/>
    <w:rsid w:val="00342799"/>
    <w:rsid w:val="00342B06"/>
    <w:rsid w:val="0034391A"/>
    <w:rsid w:val="00343EF6"/>
    <w:rsid w:val="00344C0F"/>
    <w:rsid w:val="0034593D"/>
    <w:rsid w:val="003460A9"/>
    <w:rsid w:val="003467A9"/>
    <w:rsid w:val="00346925"/>
    <w:rsid w:val="00346BDE"/>
    <w:rsid w:val="00347E12"/>
    <w:rsid w:val="0035005A"/>
    <w:rsid w:val="0035042D"/>
    <w:rsid w:val="003510BE"/>
    <w:rsid w:val="003516C2"/>
    <w:rsid w:val="003516CA"/>
    <w:rsid w:val="00351928"/>
    <w:rsid w:val="00352D3C"/>
    <w:rsid w:val="003536D4"/>
    <w:rsid w:val="00353DDF"/>
    <w:rsid w:val="00354623"/>
    <w:rsid w:val="00355052"/>
    <w:rsid w:val="003552C4"/>
    <w:rsid w:val="00355388"/>
    <w:rsid w:val="0035604C"/>
    <w:rsid w:val="00356C2B"/>
    <w:rsid w:val="003573CE"/>
    <w:rsid w:val="0035755F"/>
    <w:rsid w:val="003601F2"/>
    <w:rsid w:val="003605CA"/>
    <w:rsid w:val="00360871"/>
    <w:rsid w:val="00360B2F"/>
    <w:rsid w:val="003610BD"/>
    <w:rsid w:val="003615DF"/>
    <w:rsid w:val="003618DF"/>
    <w:rsid w:val="00361E4E"/>
    <w:rsid w:val="00361EE4"/>
    <w:rsid w:val="00362036"/>
    <w:rsid w:val="0036266A"/>
    <w:rsid w:val="0036284B"/>
    <w:rsid w:val="00363B74"/>
    <w:rsid w:val="00364015"/>
    <w:rsid w:val="00364725"/>
    <w:rsid w:val="003650A6"/>
    <w:rsid w:val="00365EB3"/>
    <w:rsid w:val="003667D7"/>
    <w:rsid w:val="00367080"/>
    <w:rsid w:val="0036783C"/>
    <w:rsid w:val="00367E52"/>
    <w:rsid w:val="00370590"/>
    <w:rsid w:val="00370DBE"/>
    <w:rsid w:val="00371116"/>
    <w:rsid w:val="0037130E"/>
    <w:rsid w:val="00371603"/>
    <w:rsid w:val="003719D0"/>
    <w:rsid w:val="00371D67"/>
    <w:rsid w:val="00373900"/>
    <w:rsid w:val="003739A4"/>
    <w:rsid w:val="00374187"/>
    <w:rsid w:val="00374CA8"/>
    <w:rsid w:val="0037551B"/>
    <w:rsid w:val="0037614C"/>
    <w:rsid w:val="0037646B"/>
    <w:rsid w:val="00376829"/>
    <w:rsid w:val="00377480"/>
    <w:rsid w:val="00377991"/>
    <w:rsid w:val="00377A51"/>
    <w:rsid w:val="0038035C"/>
    <w:rsid w:val="00380AEA"/>
    <w:rsid w:val="00380B23"/>
    <w:rsid w:val="00381157"/>
    <w:rsid w:val="003817B6"/>
    <w:rsid w:val="003819C7"/>
    <w:rsid w:val="00381B63"/>
    <w:rsid w:val="00381DA7"/>
    <w:rsid w:val="00382169"/>
    <w:rsid w:val="00382406"/>
    <w:rsid w:val="003827F1"/>
    <w:rsid w:val="003830C6"/>
    <w:rsid w:val="00383307"/>
    <w:rsid w:val="00384D8C"/>
    <w:rsid w:val="003851AE"/>
    <w:rsid w:val="00385218"/>
    <w:rsid w:val="00385552"/>
    <w:rsid w:val="00386D6B"/>
    <w:rsid w:val="00387A31"/>
    <w:rsid w:val="00390C49"/>
    <w:rsid w:val="00390E2B"/>
    <w:rsid w:val="0039136D"/>
    <w:rsid w:val="003917E1"/>
    <w:rsid w:val="003919E6"/>
    <w:rsid w:val="00392307"/>
    <w:rsid w:val="00392431"/>
    <w:rsid w:val="003928DA"/>
    <w:rsid w:val="0039295D"/>
    <w:rsid w:val="0039298F"/>
    <w:rsid w:val="00392A0E"/>
    <w:rsid w:val="00392B95"/>
    <w:rsid w:val="00392EB8"/>
    <w:rsid w:val="003934BB"/>
    <w:rsid w:val="0039447A"/>
    <w:rsid w:val="00394C2F"/>
    <w:rsid w:val="00396838"/>
    <w:rsid w:val="003969C2"/>
    <w:rsid w:val="00397781"/>
    <w:rsid w:val="00397A58"/>
    <w:rsid w:val="00397E79"/>
    <w:rsid w:val="003A1AD1"/>
    <w:rsid w:val="003A1FEF"/>
    <w:rsid w:val="003A2CBB"/>
    <w:rsid w:val="003A2E59"/>
    <w:rsid w:val="003A35F6"/>
    <w:rsid w:val="003A38AD"/>
    <w:rsid w:val="003A39FD"/>
    <w:rsid w:val="003A3A21"/>
    <w:rsid w:val="003A49C1"/>
    <w:rsid w:val="003A5E83"/>
    <w:rsid w:val="003A68F8"/>
    <w:rsid w:val="003A6BFA"/>
    <w:rsid w:val="003A722C"/>
    <w:rsid w:val="003A7294"/>
    <w:rsid w:val="003B04C2"/>
    <w:rsid w:val="003B09F4"/>
    <w:rsid w:val="003B0AD0"/>
    <w:rsid w:val="003B0AF8"/>
    <w:rsid w:val="003B0DA5"/>
    <w:rsid w:val="003B1218"/>
    <w:rsid w:val="003B1912"/>
    <w:rsid w:val="003B1959"/>
    <w:rsid w:val="003B19F5"/>
    <w:rsid w:val="003B2180"/>
    <w:rsid w:val="003B2D33"/>
    <w:rsid w:val="003B374F"/>
    <w:rsid w:val="003B3C1F"/>
    <w:rsid w:val="003B3FE5"/>
    <w:rsid w:val="003B4076"/>
    <w:rsid w:val="003B46FE"/>
    <w:rsid w:val="003B5201"/>
    <w:rsid w:val="003B5CFD"/>
    <w:rsid w:val="003B5FAA"/>
    <w:rsid w:val="003B62AF"/>
    <w:rsid w:val="003B6C45"/>
    <w:rsid w:val="003B701F"/>
    <w:rsid w:val="003B7206"/>
    <w:rsid w:val="003B7603"/>
    <w:rsid w:val="003B776F"/>
    <w:rsid w:val="003B78E1"/>
    <w:rsid w:val="003B7D46"/>
    <w:rsid w:val="003C0414"/>
    <w:rsid w:val="003C1514"/>
    <w:rsid w:val="003C1B1E"/>
    <w:rsid w:val="003C1D5F"/>
    <w:rsid w:val="003C1E8B"/>
    <w:rsid w:val="003C231E"/>
    <w:rsid w:val="003C2335"/>
    <w:rsid w:val="003C277E"/>
    <w:rsid w:val="003C2E1C"/>
    <w:rsid w:val="003C3077"/>
    <w:rsid w:val="003C31A4"/>
    <w:rsid w:val="003C321A"/>
    <w:rsid w:val="003C38A2"/>
    <w:rsid w:val="003C3927"/>
    <w:rsid w:val="003C4401"/>
    <w:rsid w:val="003C4A58"/>
    <w:rsid w:val="003C4C05"/>
    <w:rsid w:val="003C523D"/>
    <w:rsid w:val="003C530E"/>
    <w:rsid w:val="003C56C7"/>
    <w:rsid w:val="003C6B9D"/>
    <w:rsid w:val="003C73D3"/>
    <w:rsid w:val="003C78C7"/>
    <w:rsid w:val="003D1533"/>
    <w:rsid w:val="003D1848"/>
    <w:rsid w:val="003D1CBC"/>
    <w:rsid w:val="003D240D"/>
    <w:rsid w:val="003D24E8"/>
    <w:rsid w:val="003D27E1"/>
    <w:rsid w:val="003D2E93"/>
    <w:rsid w:val="003D344C"/>
    <w:rsid w:val="003D391F"/>
    <w:rsid w:val="003D3E5C"/>
    <w:rsid w:val="003D4330"/>
    <w:rsid w:val="003D4FD3"/>
    <w:rsid w:val="003D5174"/>
    <w:rsid w:val="003D5BFE"/>
    <w:rsid w:val="003D6333"/>
    <w:rsid w:val="003D739E"/>
    <w:rsid w:val="003D7943"/>
    <w:rsid w:val="003E0F0E"/>
    <w:rsid w:val="003E103C"/>
    <w:rsid w:val="003E1073"/>
    <w:rsid w:val="003E192F"/>
    <w:rsid w:val="003E1F41"/>
    <w:rsid w:val="003E241C"/>
    <w:rsid w:val="003E2645"/>
    <w:rsid w:val="003E292B"/>
    <w:rsid w:val="003E2C08"/>
    <w:rsid w:val="003E46AE"/>
    <w:rsid w:val="003E49FC"/>
    <w:rsid w:val="003E4A3D"/>
    <w:rsid w:val="003E51FD"/>
    <w:rsid w:val="003E5257"/>
    <w:rsid w:val="003E5941"/>
    <w:rsid w:val="003E5D29"/>
    <w:rsid w:val="003E6876"/>
    <w:rsid w:val="003E6F2B"/>
    <w:rsid w:val="003E7293"/>
    <w:rsid w:val="003E7818"/>
    <w:rsid w:val="003F1393"/>
    <w:rsid w:val="003F17C6"/>
    <w:rsid w:val="003F1D8C"/>
    <w:rsid w:val="003F25D2"/>
    <w:rsid w:val="003F29E4"/>
    <w:rsid w:val="003F2D7A"/>
    <w:rsid w:val="003F2F68"/>
    <w:rsid w:val="003F41FF"/>
    <w:rsid w:val="003F45D8"/>
    <w:rsid w:val="003F611E"/>
    <w:rsid w:val="003F63FA"/>
    <w:rsid w:val="003F643A"/>
    <w:rsid w:val="003F6808"/>
    <w:rsid w:val="003F6D3E"/>
    <w:rsid w:val="003F70D1"/>
    <w:rsid w:val="003F73C7"/>
    <w:rsid w:val="003F757E"/>
    <w:rsid w:val="003F789E"/>
    <w:rsid w:val="003F7F43"/>
    <w:rsid w:val="00401055"/>
    <w:rsid w:val="004016D6"/>
    <w:rsid w:val="00401ED7"/>
    <w:rsid w:val="00402597"/>
    <w:rsid w:val="00402E92"/>
    <w:rsid w:val="004040EE"/>
    <w:rsid w:val="00404515"/>
    <w:rsid w:val="00404B70"/>
    <w:rsid w:val="00404C16"/>
    <w:rsid w:val="00404C4D"/>
    <w:rsid w:val="00404F07"/>
    <w:rsid w:val="00405130"/>
    <w:rsid w:val="00405765"/>
    <w:rsid w:val="00405F70"/>
    <w:rsid w:val="0040667E"/>
    <w:rsid w:val="00406704"/>
    <w:rsid w:val="00406F15"/>
    <w:rsid w:val="00406FF1"/>
    <w:rsid w:val="004072BE"/>
    <w:rsid w:val="00407905"/>
    <w:rsid w:val="00407DCC"/>
    <w:rsid w:val="00411029"/>
    <w:rsid w:val="0041268C"/>
    <w:rsid w:val="00413464"/>
    <w:rsid w:val="0041445A"/>
    <w:rsid w:val="00414BA5"/>
    <w:rsid w:val="004150F6"/>
    <w:rsid w:val="00415262"/>
    <w:rsid w:val="0041587F"/>
    <w:rsid w:val="0041588F"/>
    <w:rsid w:val="004168A7"/>
    <w:rsid w:val="0041691E"/>
    <w:rsid w:val="00417B0F"/>
    <w:rsid w:val="00417BCC"/>
    <w:rsid w:val="00420180"/>
    <w:rsid w:val="0042058D"/>
    <w:rsid w:val="00420B4C"/>
    <w:rsid w:val="00420CAB"/>
    <w:rsid w:val="00421A88"/>
    <w:rsid w:val="00421C1C"/>
    <w:rsid w:val="00421C43"/>
    <w:rsid w:val="00421EB4"/>
    <w:rsid w:val="00422070"/>
    <w:rsid w:val="00422E69"/>
    <w:rsid w:val="00423CC6"/>
    <w:rsid w:val="00424155"/>
    <w:rsid w:val="00424A80"/>
    <w:rsid w:val="004255F4"/>
    <w:rsid w:val="0042569D"/>
    <w:rsid w:val="00425C13"/>
    <w:rsid w:val="00425E4E"/>
    <w:rsid w:val="00425E69"/>
    <w:rsid w:val="004263EA"/>
    <w:rsid w:val="00427932"/>
    <w:rsid w:val="00427C22"/>
    <w:rsid w:val="0043015C"/>
    <w:rsid w:val="00430713"/>
    <w:rsid w:val="00430881"/>
    <w:rsid w:val="00430CD1"/>
    <w:rsid w:val="004312D5"/>
    <w:rsid w:val="00431300"/>
    <w:rsid w:val="00431637"/>
    <w:rsid w:val="00432CC4"/>
    <w:rsid w:val="004332D6"/>
    <w:rsid w:val="00434182"/>
    <w:rsid w:val="004342E1"/>
    <w:rsid w:val="004346FD"/>
    <w:rsid w:val="00434BB5"/>
    <w:rsid w:val="00434DD5"/>
    <w:rsid w:val="00434EE2"/>
    <w:rsid w:val="00435414"/>
    <w:rsid w:val="00435856"/>
    <w:rsid w:val="004359F5"/>
    <w:rsid w:val="00435B16"/>
    <w:rsid w:val="00436C86"/>
    <w:rsid w:val="00436EA6"/>
    <w:rsid w:val="00436EEA"/>
    <w:rsid w:val="004370B5"/>
    <w:rsid w:val="00437941"/>
    <w:rsid w:val="00437CBD"/>
    <w:rsid w:val="00437E5C"/>
    <w:rsid w:val="00440140"/>
    <w:rsid w:val="004401EA"/>
    <w:rsid w:val="0044036A"/>
    <w:rsid w:val="00440DEE"/>
    <w:rsid w:val="00440ED7"/>
    <w:rsid w:val="0044132B"/>
    <w:rsid w:val="0044183B"/>
    <w:rsid w:val="00441BCD"/>
    <w:rsid w:val="004420E0"/>
    <w:rsid w:val="004423F8"/>
    <w:rsid w:val="00442883"/>
    <w:rsid w:val="00442A9C"/>
    <w:rsid w:val="00442D4B"/>
    <w:rsid w:val="00443750"/>
    <w:rsid w:val="004440FB"/>
    <w:rsid w:val="00444B30"/>
    <w:rsid w:val="0044592D"/>
    <w:rsid w:val="00446570"/>
    <w:rsid w:val="004466AD"/>
    <w:rsid w:val="0044722E"/>
    <w:rsid w:val="00447A52"/>
    <w:rsid w:val="00447A8F"/>
    <w:rsid w:val="00447AAA"/>
    <w:rsid w:val="00447B28"/>
    <w:rsid w:val="00450646"/>
    <w:rsid w:val="004509E2"/>
    <w:rsid w:val="00450A1C"/>
    <w:rsid w:val="00450F99"/>
    <w:rsid w:val="004517A9"/>
    <w:rsid w:val="00451B5F"/>
    <w:rsid w:val="004523E9"/>
    <w:rsid w:val="004550AC"/>
    <w:rsid w:val="00455549"/>
    <w:rsid w:val="004556AE"/>
    <w:rsid w:val="00456616"/>
    <w:rsid w:val="0045795F"/>
    <w:rsid w:val="00457D51"/>
    <w:rsid w:val="00460520"/>
    <w:rsid w:val="00460775"/>
    <w:rsid w:val="00461623"/>
    <w:rsid w:val="0046197D"/>
    <w:rsid w:val="00461A2D"/>
    <w:rsid w:val="0046226C"/>
    <w:rsid w:val="00462616"/>
    <w:rsid w:val="00462CBF"/>
    <w:rsid w:val="00462E9F"/>
    <w:rsid w:val="00462F7D"/>
    <w:rsid w:val="004633E2"/>
    <w:rsid w:val="00463C5F"/>
    <w:rsid w:val="00463DDD"/>
    <w:rsid w:val="00464EFC"/>
    <w:rsid w:val="0046546B"/>
    <w:rsid w:val="00465608"/>
    <w:rsid w:val="00465EA5"/>
    <w:rsid w:val="004663A0"/>
    <w:rsid w:val="00466D42"/>
    <w:rsid w:val="00466DF0"/>
    <w:rsid w:val="00466EB2"/>
    <w:rsid w:val="00467303"/>
    <w:rsid w:val="004674C3"/>
    <w:rsid w:val="00467E80"/>
    <w:rsid w:val="00470AC7"/>
    <w:rsid w:val="004714D3"/>
    <w:rsid w:val="00471D75"/>
    <w:rsid w:val="00472266"/>
    <w:rsid w:val="004730C3"/>
    <w:rsid w:val="004738FD"/>
    <w:rsid w:val="00473A60"/>
    <w:rsid w:val="00473ECB"/>
    <w:rsid w:val="00474403"/>
    <w:rsid w:val="00475678"/>
    <w:rsid w:val="0047585A"/>
    <w:rsid w:val="00475916"/>
    <w:rsid w:val="00475A70"/>
    <w:rsid w:val="00475AAE"/>
    <w:rsid w:val="00475C20"/>
    <w:rsid w:val="00475F3C"/>
    <w:rsid w:val="004768CF"/>
    <w:rsid w:val="00476A4C"/>
    <w:rsid w:val="00476B73"/>
    <w:rsid w:val="00476F48"/>
    <w:rsid w:val="00477A37"/>
    <w:rsid w:val="00477D43"/>
    <w:rsid w:val="00477FD5"/>
    <w:rsid w:val="00480CBB"/>
    <w:rsid w:val="004814C8"/>
    <w:rsid w:val="0048160E"/>
    <w:rsid w:val="00481832"/>
    <w:rsid w:val="00482B3C"/>
    <w:rsid w:val="00483513"/>
    <w:rsid w:val="00483606"/>
    <w:rsid w:val="00483A23"/>
    <w:rsid w:val="00483CAC"/>
    <w:rsid w:val="004840B2"/>
    <w:rsid w:val="004843C5"/>
    <w:rsid w:val="004846C1"/>
    <w:rsid w:val="00484A01"/>
    <w:rsid w:val="004850AD"/>
    <w:rsid w:val="0048534E"/>
    <w:rsid w:val="00485399"/>
    <w:rsid w:val="0048578A"/>
    <w:rsid w:val="00485844"/>
    <w:rsid w:val="00486649"/>
    <w:rsid w:val="0048671D"/>
    <w:rsid w:val="0048696B"/>
    <w:rsid w:val="004874CB"/>
    <w:rsid w:val="00487E97"/>
    <w:rsid w:val="00487F11"/>
    <w:rsid w:val="00487FDA"/>
    <w:rsid w:val="004904D7"/>
    <w:rsid w:val="00490941"/>
    <w:rsid w:val="00490A8C"/>
    <w:rsid w:val="00490FB4"/>
    <w:rsid w:val="00490FD5"/>
    <w:rsid w:val="00492067"/>
    <w:rsid w:val="004924A0"/>
    <w:rsid w:val="00493951"/>
    <w:rsid w:val="00493E98"/>
    <w:rsid w:val="00494121"/>
    <w:rsid w:val="0049423F"/>
    <w:rsid w:val="00494686"/>
    <w:rsid w:val="00494FB0"/>
    <w:rsid w:val="0049518B"/>
    <w:rsid w:val="00495304"/>
    <w:rsid w:val="004954B1"/>
    <w:rsid w:val="00495B70"/>
    <w:rsid w:val="00495DB1"/>
    <w:rsid w:val="00495DC0"/>
    <w:rsid w:val="0049672F"/>
    <w:rsid w:val="0049777C"/>
    <w:rsid w:val="004A0351"/>
    <w:rsid w:val="004A0703"/>
    <w:rsid w:val="004A0930"/>
    <w:rsid w:val="004A0FEF"/>
    <w:rsid w:val="004A11A9"/>
    <w:rsid w:val="004A2C1A"/>
    <w:rsid w:val="004A2CB4"/>
    <w:rsid w:val="004A2D84"/>
    <w:rsid w:val="004A2E0C"/>
    <w:rsid w:val="004A2EE2"/>
    <w:rsid w:val="004A3912"/>
    <w:rsid w:val="004A3A9D"/>
    <w:rsid w:val="004A42C3"/>
    <w:rsid w:val="004A4D87"/>
    <w:rsid w:val="004A4E28"/>
    <w:rsid w:val="004A5299"/>
    <w:rsid w:val="004A5DE4"/>
    <w:rsid w:val="004A6A56"/>
    <w:rsid w:val="004A6EE6"/>
    <w:rsid w:val="004A6FA9"/>
    <w:rsid w:val="004A726B"/>
    <w:rsid w:val="004A736A"/>
    <w:rsid w:val="004B04C4"/>
    <w:rsid w:val="004B164C"/>
    <w:rsid w:val="004B1659"/>
    <w:rsid w:val="004B1A77"/>
    <w:rsid w:val="004B266C"/>
    <w:rsid w:val="004B26C0"/>
    <w:rsid w:val="004B283E"/>
    <w:rsid w:val="004B2FD0"/>
    <w:rsid w:val="004B3608"/>
    <w:rsid w:val="004B3BCF"/>
    <w:rsid w:val="004B3C8E"/>
    <w:rsid w:val="004B476B"/>
    <w:rsid w:val="004B54B8"/>
    <w:rsid w:val="004B55AD"/>
    <w:rsid w:val="004B55D9"/>
    <w:rsid w:val="004B5E01"/>
    <w:rsid w:val="004B68A0"/>
    <w:rsid w:val="004B7326"/>
    <w:rsid w:val="004B736D"/>
    <w:rsid w:val="004B76F8"/>
    <w:rsid w:val="004B7A16"/>
    <w:rsid w:val="004C1BFF"/>
    <w:rsid w:val="004C1CBD"/>
    <w:rsid w:val="004C1F16"/>
    <w:rsid w:val="004C2156"/>
    <w:rsid w:val="004C2262"/>
    <w:rsid w:val="004C2D51"/>
    <w:rsid w:val="004C375D"/>
    <w:rsid w:val="004C42C1"/>
    <w:rsid w:val="004C4976"/>
    <w:rsid w:val="004C4CD0"/>
    <w:rsid w:val="004C5511"/>
    <w:rsid w:val="004C5F75"/>
    <w:rsid w:val="004C6F25"/>
    <w:rsid w:val="004C6FDA"/>
    <w:rsid w:val="004C715F"/>
    <w:rsid w:val="004C75D4"/>
    <w:rsid w:val="004C7986"/>
    <w:rsid w:val="004C7E35"/>
    <w:rsid w:val="004D02A5"/>
    <w:rsid w:val="004D04A7"/>
    <w:rsid w:val="004D055F"/>
    <w:rsid w:val="004D13FB"/>
    <w:rsid w:val="004D24AF"/>
    <w:rsid w:val="004D2C19"/>
    <w:rsid w:val="004D2F3B"/>
    <w:rsid w:val="004D39F9"/>
    <w:rsid w:val="004D3D2A"/>
    <w:rsid w:val="004D3DD8"/>
    <w:rsid w:val="004D4507"/>
    <w:rsid w:val="004D59A8"/>
    <w:rsid w:val="004D5F73"/>
    <w:rsid w:val="004D6661"/>
    <w:rsid w:val="004D6A11"/>
    <w:rsid w:val="004D6ABA"/>
    <w:rsid w:val="004D7636"/>
    <w:rsid w:val="004D77DC"/>
    <w:rsid w:val="004D7AF3"/>
    <w:rsid w:val="004E0249"/>
    <w:rsid w:val="004E029F"/>
    <w:rsid w:val="004E1C88"/>
    <w:rsid w:val="004E26EF"/>
    <w:rsid w:val="004E2718"/>
    <w:rsid w:val="004E30D9"/>
    <w:rsid w:val="004E3E23"/>
    <w:rsid w:val="004E4EEE"/>
    <w:rsid w:val="004E5136"/>
    <w:rsid w:val="004E5A69"/>
    <w:rsid w:val="004E5C47"/>
    <w:rsid w:val="004E6487"/>
    <w:rsid w:val="004E68BF"/>
    <w:rsid w:val="004E6AF4"/>
    <w:rsid w:val="004E73C2"/>
    <w:rsid w:val="004E77D2"/>
    <w:rsid w:val="004F011F"/>
    <w:rsid w:val="004F10FB"/>
    <w:rsid w:val="004F11F8"/>
    <w:rsid w:val="004F1886"/>
    <w:rsid w:val="004F1A42"/>
    <w:rsid w:val="004F1D04"/>
    <w:rsid w:val="004F1ECD"/>
    <w:rsid w:val="004F2ED7"/>
    <w:rsid w:val="004F3337"/>
    <w:rsid w:val="004F36AC"/>
    <w:rsid w:val="004F3B6F"/>
    <w:rsid w:val="004F3E3D"/>
    <w:rsid w:val="004F57AC"/>
    <w:rsid w:val="004F5D91"/>
    <w:rsid w:val="004F6060"/>
    <w:rsid w:val="004F6BD2"/>
    <w:rsid w:val="004F6DA0"/>
    <w:rsid w:val="004F7AE3"/>
    <w:rsid w:val="004F7CB5"/>
    <w:rsid w:val="0050029D"/>
    <w:rsid w:val="005006E1"/>
    <w:rsid w:val="00500C7C"/>
    <w:rsid w:val="0050148F"/>
    <w:rsid w:val="005021E3"/>
    <w:rsid w:val="0050253E"/>
    <w:rsid w:val="005027C9"/>
    <w:rsid w:val="00502DBA"/>
    <w:rsid w:val="005032AC"/>
    <w:rsid w:val="005033A4"/>
    <w:rsid w:val="00503721"/>
    <w:rsid w:val="00503CCA"/>
    <w:rsid w:val="0050407A"/>
    <w:rsid w:val="005040D7"/>
    <w:rsid w:val="005041EA"/>
    <w:rsid w:val="00504CE5"/>
    <w:rsid w:val="00506376"/>
    <w:rsid w:val="00506546"/>
    <w:rsid w:val="005065D8"/>
    <w:rsid w:val="005067BF"/>
    <w:rsid w:val="005074DC"/>
    <w:rsid w:val="005074FD"/>
    <w:rsid w:val="00507802"/>
    <w:rsid w:val="00507ED1"/>
    <w:rsid w:val="005109E7"/>
    <w:rsid w:val="00510B9D"/>
    <w:rsid w:val="00510D3E"/>
    <w:rsid w:val="00512CFC"/>
    <w:rsid w:val="00513131"/>
    <w:rsid w:val="005133C4"/>
    <w:rsid w:val="00513CB2"/>
    <w:rsid w:val="005141BC"/>
    <w:rsid w:val="00515028"/>
    <w:rsid w:val="00515B48"/>
    <w:rsid w:val="00515B8E"/>
    <w:rsid w:val="00516FB1"/>
    <w:rsid w:val="0051720A"/>
    <w:rsid w:val="00517256"/>
    <w:rsid w:val="00517660"/>
    <w:rsid w:val="00517ABA"/>
    <w:rsid w:val="005203BC"/>
    <w:rsid w:val="00520C09"/>
    <w:rsid w:val="00520D6A"/>
    <w:rsid w:val="0052124A"/>
    <w:rsid w:val="00521341"/>
    <w:rsid w:val="00521D31"/>
    <w:rsid w:val="00522025"/>
    <w:rsid w:val="00522230"/>
    <w:rsid w:val="0052277A"/>
    <w:rsid w:val="00522AB8"/>
    <w:rsid w:val="00523AB6"/>
    <w:rsid w:val="00523ACF"/>
    <w:rsid w:val="00523D20"/>
    <w:rsid w:val="00523E12"/>
    <w:rsid w:val="00524FD9"/>
    <w:rsid w:val="00525222"/>
    <w:rsid w:val="00525679"/>
    <w:rsid w:val="00525704"/>
    <w:rsid w:val="00525B22"/>
    <w:rsid w:val="00526E6B"/>
    <w:rsid w:val="00526ED4"/>
    <w:rsid w:val="00527426"/>
    <w:rsid w:val="00527B06"/>
    <w:rsid w:val="00527C92"/>
    <w:rsid w:val="005315CF"/>
    <w:rsid w:val="00531AE1"/>
    <w:rsid w:val="00531FF6"/>
    <w:rsid w:val="005323B5"/>
    <w:rsid w:val="00533885"/>
    <w:rsid w:val="00533A2A"/>
    <w:rsid w:val="0053439B"/>
    <w:rsid w:val="005349FA"/>
    <w:rsid w:val="00534AD6"/>
    <w:rsid w:val="00534DC2"/>
    <w:rsid w:val="00536799"/>
    <w:rsid w:val="00536865"/>
    <w:rsid w:val="0053690F"/>
    <w:rsid w:val="00536956"/>
    <w:rsid w:val="00536A2E"/>
    <w:rsid w:val="0053755B"/>
    <w:rsid w:val="00537F53"/>
    <w:rsid w:val="00541522"/>
    <w:rsid w:val="005418CF"/>
    <w:rsid w:val="0054199D"/>
    <w:rsid w:val="005422DE"/>
    <w:rsid w:val="00542D60"/>
    <w:rsid w:val="00542D71"/>
    <w:rsid w:val="00542F20"/>
    <w:rsid w:val="0054358F"/>
    <w:rsid w:val="00543A96"/>
    <w:rsid w:val="00543F21"/>
    <w:rsid w:val="00544D37"/>
    <w:rsid w:val="00545474"/>
    <w:rsid w:val="0054572C"/>
    <w:rsid w:val="005462FD"/>
    <w:rsid w:val="00546313"/>
    <w:rsid w:val="00546759"/>
    <w:rsid w:val="00546C19"/>
    <w:rsid w:val="00546F1C"/>
    <w:rsid w:val="00547005"/>
    <w:rsid w:val="00547131"/>
    <w:rsid w:val="00547F26"/>
    <w:rsid w:val="0055025F"/>
    <w:rsid w:val="00550B94"/>
    <w:rsid w:val="00550D19"/>
    <w:rsid w:val="00550DF6"/>
    <w:rsid w:val="00551B21"/>
    <w:rsid w:val="00551C32"/>
    <w:rsid w:val="0055226F"/>
    <w:rsid w:val="005522E1"/>
    <w:rsid w:val="005527B9"/>
    <w:rsid w:val="00552FCC"/>
    <w:rsid w:val="005530FA"/>
    <w:rsid w:val="00553301"/>
    <w:rsid w:val="0055398B"/>
    <w:rsid w:val="00553C7E"/>
    <w:rsid w:val="0055485D"/>
    <w:rsid w:val="00554932"/>
    <w:rsid w:val="00555090"/>
    <w:rsid w:val="005550F2"/>
    <w:rsid w:val="005553EE"/>
    <w:rsid w:val="0055576E"/>
    <w:rsid w:val="005559A3"/>
    <w:rsid w:val="00555AE4"/>
    <w:rsid w:val="005567D4"/>
    <w:rsid w:val="00556804"/>
    <w:rsid w:val="00556F9C"/>
    <w:rsid w:val="005574C9"/>
    <w:rsid w:val="005578B9"/>
    <w:rsid w:val="00560A92"/>
    <w:rsid w:val="00561007"/>
    <w:rsid w:val="00561F46"/>
    <w:rsid w:val="0056243E"/>
    <w:rsid w:val="0056378C"/>
    <w:rsid w:val="00563A4E"/>
    <w:rsid w:val="00563CAC"/>
    <w:rsid w:val="00563F11"/>
    <w:rsid w:val="005646F9"/>
    <w:rsid w:val="00564AA9"/>
    <w:rsid w:val="00564F4D"/>
    <w:rsid w:val="00565164"/>
    <w:rsid w:val="00565249"/>
    <w:rsid w:val="005653EC"/>
    <w:rsid w:val="0056596F"/>
    <w:rsid w:val="00566417"/>
    <w:rsid w:val="00566607"/>
    <w:rsid w:val="00566EE3"/>
    <w:rsid w:val="0056778C"/>
    <w:rsid w:val="00567954"/>
    <w:rsid w:val="0057041A"/>
    <w:rsid w:val="00570A0D"/>
    <w:rsid w:val="00571502"/>
    <w:rsid w:val="005730B2"/>
    <w:rsid w:val="00573443"/>
    <w:rsid w:val="00573A0B"/>
    <w:rsid w:val="00574632"/>
    <w:rsid w:val="00574A8D"/>
    <w:rsid w:val="00574BEE"/>
    <w:rsid w:val="00575077"/>
    <w:rsid w:val="00577443"/>
    <w:rsid w:val="00577C9A"/>
    <w:rsid w:val="00580966"/>
    <w:rsid w:val="00580C42"/>
    <w:rsid w:val="00581007"/>
    <w:rsid w:val="00581AEB"/>
    <w:rsid w:val="00583337"/>
    <w:rsid w:val="00583652"/>
    <w:rsid w:val="00584357"/>
    <w:rsid w:val="00585916"/>
    <w:rsid w:val="00585B18"/>
    <w:rsid w:val="00586368"/>
    <w:rsid w:val="0058730B"/>
    <w:rsid w:val="005874D6"/>
    <w:rsid w:val="00587896"/>
    <w:rsid w:val="00587AC5"/>
    <w:rsid w:val="00590092"/>
    <w:rsid w:val="005904C9"/>
    <w:rsid w:val="00590AAF"/>
    <w:rsid w:val="00591846"/>
    <w:rsid w:val="00591B29"/>
    <w:rsid w:val="005924AA"/>
    <w:rsid w:val="005926B0"/>
    <w:rsid w:val="00592C1F"/>
    <w:rsid w:val="00592EDA"/>
    <w:rsid w:val="005935D6"/>
    <w:rsid w:val="005938FB"/>
    <w:rsid w:val="00593A6A"/>
    <w:rsid w:val="00593DF0"/>
    <w:rsid w:val="00593FAD"/>
    <w:rsid w:val="005942B6"/>
    <w:rsid w:val="005943CA"/>
    <w:rsid w:val="005947E4"/>
    <w:rsid w:val="00594827"/>
    <w:rsid w:val="005948C9"/>
    <w:rsid w:val="00594CD8"/>
    <w:rsid w:val="00594DB3"/>
    <w:rsid w:val="005952F4"/>
    <w:rsid w:val="005957D9"/>
    <w:rsid w:val="00596367"/>
    <w:rsid w:val="00596407"/>
    <w:rsid w:val="0059668A"/>
    <w:rsid w:val="00596C37"/>
    <w:rsid w:val="00596D49"/>
    <w:rsid w:val="00596E78"/>
    <w:rsid w:val="00596F15"/>
    <w:rsid w:val="00597311"/>
    <w:rsid w:val="00597469"/>
    <w:rsid w:val="00597B9A"/>
    <w:rsid w:val="00597C84"/>
    <w:rsid w:val="00597DFE"/>
    <w:rsid w:val="005A05D3"/>
    <w:rsid w:val="005A1180"/>
    <w:rsid w:val="005A1A78"/>
    <w:rsid w:val="005A1D84"/>
    <w:rsid w:val="005A22ED"/>
    <w:rsid w:val="005A258D"/>
    <w:rsid w:val="005A2811"/>
    <w:rsid w:val="005A37EE"/>
    <w:rsid w:val="005A39D0"/>
    <w:rsid w:val="005A400F"/>
    <w:rsid w:val="005A4F8C"/>
    <w:rsid w:val="005A5639"/>
    <w:rsid w:val="005A5824"/>
    <w:rsid w:val="005A5CD5"/>
    <w:rsid w:val="005A6361"/>
    <w:rsid w:val="005A637E"/>
    <w:rsid w:val="005A656E"/>
    <w:rsid w:val="005A6A47"/>
    <w:rsid w:val="005A72E6"/>
    <w:rsid w:val="005B0157"/>
    <w:rsid w:val="005B07E9"/>
    <w:rsid w:val="005B1CEB"/>
    <w:rsid w:val="005B2229"/>
    <w:rsid w:val="005B2D5B"/>
    <w:rsid w:val="005B2FFB"/>
    <w:rsid w:val="005B32CD"/>
    <w:rsid w:val="005B3711"/>
    <w:rsid w:val="005B3AE8"/>
    <w:rsid w:val="005B3D4A"/>
    <w:rsid w:val="005B4A77"/>
    <w:rsid w:val="005B4CA4"/>
    <w:rsid w:val="005B4EEB"/>
    <w:rsid w:val="005B5043"/>
    <w:rsid w:val="005B5A26"/>
    <w:rsid w:val="005B5AF6"/>
    <w:rsid w:val="005B5EBD"/>
    <w:rsid w:val="005B6D45"/>
    <w:rsid w:val="005B70E3"/>
    <w:rsid w:val="005B72CD"/>
    <w:rsid w:val="005B7858"/>
    <w:rsid w:val="005B7D28"/>
    <w:rsid w:val="005B7DDB"/>
    <w:rsid w:val="005C0BB1"/>
    <w:rsid w:val="005C1826"/>
    <w:rsid w:val="005C21EB"/>
    <w:rsid w:val="005C2E78"/>
    <w:rsid w:val="005C333F"/>
    <w:rsid w:val="005C36D5"/>
    <w:rsid w:val="005C3767"/>
    <w:rsid w:val="005C3794"/>
    <w:rsid w:val="005C3DE9"/>
    <w:rsid w:val="005C3F73"/>
    <w:rsid w:val="005C4E88"/>
    <w:rsid w:val="005C560B"/>
    <w:rsid w:val="005C5780"/>
    <w:rsid w:val="005C5A3B"/>
    <w:rsid w:val="005C5CD6"/>
    <w:rsid w:val="005C6109"/>
    <w:rsid w:val="005C6148"/>
    <w:rsid w:val="005C6474"/>
    <w:rsid w:val="005C6759"/>
    <w:rsid w:val="005C6D4E"/>
    <w:rsid w:val="005C7334"/>
    <w:rsid w:val="005C77F8"/>
    <w:rsid w:val="005C79B8"/>
    <w:rsid w:val="005C7B3F"/>
    <w:rsid w:val="005D032C"/>
    <w:rsid w:val="005D0AF3"/>
    <w:rsid w:val="005D0C3B"/>
    <w:rsid w:val="005D0DA6"/>
    <w:rsid w:val="005D1555"/>
    <w:rsid w:val="005D19E3"/>
    <w:rsid w:val="005D1EB3"/>
    <w:rsid w:val="005D22E0"/>
    <w:rsid w:val="005D2313"/>
    <w:rsid w:val="005D2486"/>
    <w:rsid w:val="005D2D46"/>
    <w:rsid w:val="005D3742"/>
    <w:rsid w:val="005D402F"/>
    <w:rsid w:val="005D414C"/>
    <w:rsid w:val="005D4CD7"/>
    <w:rsid w:val="005D5BB4"/>
    <w:rsid w:val="005D678B"/>
    <w:rsid w:val="005D7CF5"/>
    <w:rsid w:val="005E00FD"/>
    <w:rsid w:val="005E0B4E"/>
    <w:rsid w:val="005E0E15"/>
    <w:rsid w:val="005E1656"/>
    <w:rsid w:val="005E18CF"/>
    <w:rsid w:val="005E1ABA"/>
    <w:rsid w:val="005E1EED"/>
    <w:rsid w:val="005E2A5D"/>
    <w:rsid w:val="005E33B9"/>
    <w:rsid w:val="005E3EE2"/>
    <w:rsid w:val="005E4EA2"/>
    <w:rsid w:val="005E5B8F"/>
    <w:rsid w:val="005E5F75"/>
    <w:rsid w:val="005E628B"/>
    <w:rsid w:val="005E68A7"/>
    <w:rsid w:val="005E6B8E"/>
    <w:rsid w:val="005E6F31"/>
    <w:rsid w:val="005E731B"/>
    <w:rsid w:val="005E7593"/>
    <w:rsid w:val="005F0F54"/>
    <w:rsid w:val="005F1A61"/>
    <w:rsid w:val="005F20AD"/>
    <w:rsid w:val="005F242A"/>
    <w:rsid w:val="005F34CE"/>
    <w:rsid w:val="005F36E9"/>
    <w:rsid w:val="005F3D4F"/>
    <w:rsid w:val="005F3D7F"/>
    <w:rsid w:val="005F44D4"/>
    <w:rsid w:val="005F5122"/>
    <w:rsid w:val="005F54F7"/>
    <w:rsid w:val="005F58C9"/>
    <w:rsid w:val="005F5ABE"/>
    <w:rsid w:val="005F5D90"/>
    <w:rsid w:val="005F5DB5"/>
    <w:rsid w:val="005F6136"/>
    <w:rsid w:val="005F6425"/>
    <w:rsid w:val="005F6781"/>
    <w:rsid w:val="005F6F42"/>
    <w:rsid w:val="005F7D54"/>
    <w:rsid w:val="005F7E47"/>
    <w:rsid w:val="0060087E"/>
    <w:rsid w:val="006015A1"/>
    <w:rsid w:val="0060189F"/>
    <w:rsid w:val="006019AE"/>
    <w:rsid w:val="00601CD2"/>
    <w:rsid w:val="00602265"/>
    <w:rsid w:val="006028A4"/>
    <w:rsid w:val="0060386B"/>
    <w:rsid w:val="006042A1"/>
    <w:rsid w:val="00604557"/>
    <w:rsid w:val="00604DCD"/>
    <w:rsid w:val="0060514C"/>
    <w:rsid w:val="0060561F"/>
    <w:rsid w:val="00607547"/>
    <w:rsid w:val="00607925"/>
    <w:rsid w:val="006079E1"/>
    <w:rsid w:val="00607AE3"/>
    <w:rsid w:val="00612205"/>
    <w:rsid w:val="00612DAC"/>
    <w:rsid w:val="00613281"/>
    <w:rsid w:val="00613354"/>
    <w:rsid w:val="00613638"/>
    <w:rsid w:val="00614690"/>
    <w:rsid w:val="006150E7"/>
    <w:rsid w:val="006151D6"/>
    <w:rsid w:val="006152F0"/>
    <w:rsid w:val="00615655"/>
    <w:rsid w:val="00615A64"/>
    <w:rsid w:val="006165A5"/>
    <w:rsid w:val="006173AC"/>
    <w:rsid w:val="00617719"/>
    <w:rsid w:val="006201CD"/>
    <w:rsid w:val="00621BDB"/>
    <w:rsid w:val="00621D19"/>
    <w:rsid w:val="00622140"/>
    <w:rsid w:val="0062253F"/>
    <w:rsid w:val="00622C12"/>
    <w:rsid w:val="00623386"/>
    <w:rsid w:val="00623906"/>
    <w:rsid w:val="00623AEC"/>
    <w:rsid w:val="00623F08"/>
    <w:rsid w:val="0062455F"/>
    <w:rsid w:val="006248FB"/>
    <w:rsid w:val="00624A31"/>
    <w:rsid w:val="00625669"/>
    <w:rsid w:val="00625ACF"/>
    <w:rsid w:val="00625E07"/>
    <w:rsid w:val="006267EB"/>
    <w:rsid w:val="00626D2A"/>
    <w:rsid w:val="00626F18"/>
    <w:rsid w:val="006272FA"/>
    <w:rsid w:val="00627CD9"/>
    <w:rsid w:val="00630117"/>
    <w:rsid w:val="00630C96"/>
    <w:rsid w:val="00631055"/>
    <w:rsid w:val="00631069"/>
    <w:rsid w:val="006312BA"/>
    <w:rsid w:val="00631A33"/>
    <w:rsid w:val="00631B1C"/>
    <w:rsid w:val="00631FBA"/>
    <w:rsid w:val="0063381B"/>
    <w:rsid w:val="00633E84"/>
    <w:rsid w:val="00634744"/>
    <w:rsid w:val="006359D5"/>
    <w:rsid w:val="00635DE0"/>
    <w:rsid w:val="00636277"/>
    <w:rsid w:val="00636E2A"/>
    <w:rsid w:val="00636EA8"/>
    <w:rsid w:val="0063796F"/>
    <w:rsid w:val="00637B54"/>
    <w:rsid w:val="00637F21"/>
    <w:rsid w:val="006412B4"/>
    <w:rsid w:val="006412CE"/>
    <w:rsid w:val="00641651"/>
    <w:rsid w:val="00641A46"/>
    <w:rsid w:val="006428E6"/>
    <w:rsid w:val="00643182"/>
    <w:rsid w:val="006434DB"/>
    <w:rsid w:val="0064474F"/>
    <w:rsid w:val="00644942"/>
    <w:rsid w:val="00644C58"/>
    <w:rsid w:val="006463A6"/>
    <w:rsid w:val="006466AE"/>
    <w:rsid w:val="00646835"/>
    <w:rsid w:val="00646D92"/>
    <w:rsid w:val="00646D98"/>
    <w:rsid w:val="00646EE3"/>
    <w:rsid w:val="00646FA3"/>
    <w:rsid w:val="0064710A"/>
    <w:rsid w:val="0064756C"/>
    <w:rsid w:val="00647603"/>
    <w:rsid w:val="0065010F"/>
    <w:rsid w:val="006508E6"/>
    <w:rsid w:val="00650FA9"/>
    <w:rsid w:val="00651553"/>
    <w:rsid w:val="006516FA"/>
    <w:rsid w:val="006517C0"/>
    <w:rsid w:val="00651CCF"/>
    <w:rsid w:val="006525B2"/>
    <w:rsid w:val="006527F4"/>
    <w:rsid w:val="00652B6A"/>
    <w:rsid w:val="006539DF"/>
    <w:rsid w:val="006543B0"/>
    <w:rsid w:val="00654AF1"/>
    <w:rsid w:val="00654E30"/>
    <w:rsid w:val="00655097"/>
    <w:rsid w:val="006555D0"/>
    <w:rsid w:val="0065632B"/>
    <w:rsid w:val="006564A7"/>
    <w:rsid w:val="006567F2"/>
    <w:rsid w:val="00656AEB"/>
    <w:rsid w:val="00656E86"/>
    <w:rsid w:val="006577F5"/>
    <w:rsid w:val="00661145"/>
    <w:rsid w:val="00661B9F"/>
    <w:rsid w:val="00661FB5"/>
    <w:rsid w:val="00662074"/>
    <w:rsid w:val="006623A6"/>
    <w:rsid w:val="00662485"/>
    <w:rsid w:val="00662541"/>
    <w:rsid w:val="006627B8"/>
    <w:rsid w:val="00663025"/>
    <w:rsid w:val="00663072"/>
    <w:rsid w:val="00663F4F"/>
    <w:rsid w:val="00663F70"/>
    <w:rsid w:val="00664BDE"/>
    <w:rsid w:val="00664F28"/>
    <w:rsid w:val="00665728"/>
    <w:rsid w:val="00665EFB"/>
    <w:rsid w:val="006660C1"/>
    <w:rsid w:val="006664C5"/>
    <w:rsid w:val="00666648"/>
    <w:rsid w:val="0066775F"/>
    <w:rsid w:val="006678C8"/>
    <w:rsid w:val="00667A34"/>
    <w:rsid w:val="00667B14"/>
    <w:rsid w:val="0067079E"/>
    <w:rsid w:val="00670A4A"/>
    <w:rsid w:val="006711E9"/>
    <w:rsid w:val="0067189A"/>
    <w:rsid w:val="00671A69"/>
    <w:rsid w:val="00671CFD"/>
    <w:rsid w:val="00671D71"/>
    <w:rsid w:val="00671F85"/>
    <w:rsid w:val="0067265A"/>
    <w:rsid w:val="00672A57"/>
    <w:rsid w:val="006731F2"/>
    <w:rsid w:val="00673F60"/>
    <w:rsid w:val="00674686"/>
    <w:rsid w:val="00674D90"/>
    <w:rsid w:val="00674F7C"/>
    <w:rsid w:val="00675316"/>
    <w:rsid w:val="006755D5"/>
    <w:rsid w:val="00675F10"/>
    <w:rsid w:val="00676BF8"/>
    <w:rsid w:val="0068008D"/>
    <w:rsid w:val="006800B6"/>
    <w:rsid w:val="00680643"/>
    <w:rsid w:val="006807F3"/>
    <w:rsid w:val="0068327A"/>
    <w:rsid w:val="006833EB"/>
    <w:rsid w:val="006834E2"/>
    <w:rsid w:val="00683535"/>
    <w:rsid w:val="00683648"/>
    <w:rsid w:val="006837F4"/>
    <w:rsid w:val="006840F9"/>
    <w:rsid w:val="0068418C"/>
    <w:rsid w:val="006842D8"/>
    <w:rsid w:val="00684A36"/>
    <w:rsid w:val="0068562D"/>
    <w:rsid w:val="00685D2B"/>
    <w:rsid w:val="00685F82"/>
    <w:rsid w:val="006860CA"/>
    <w:rsid w:val="00686CAB"/>
    <w:rsid w:val="00686CCD"/>
    <w:rsid w:val="00686DFB"/>
    <w:rsid w:val="00687784"/>
    <w:rsid w:val="0069017B"/>
    <w:rsid w:val="00690617"/>
    <w:rsid w:val="00690B4F"/>
    <w:rsid w:val="006910CB"/>
    <w:rsid w:val="006917AF"/>
    <w:rsid w:val="00691959"/>
    <w:rsid w:val="006919DE"/>
    <w:rsid w:val="00691D90"/>
    <w:rsid w:val="00691E62"/>
    <w:rsid w:val="0069225E"/>
    <w:rsid w:val="006923A0"/>
    <w:rsid w:val="0069435A"/>
    <w:rsid w:val="006944AA"/>
    <w:rsid w:val="00694660"/>
    <w:rsid w:val="00695C55"/>
    <w:rsid w:val="00695EE7"/>
    <w:rsid w:val="0069664A"/>
    <w:rsid w:val="0069703A"/>
    <w:rsid w:val="006974E3"/>
    <w:rsid w:val="006974E6"/>
    <w:rsid w:val="00697AE7"/>
    <w:rsid w:val="00697CF5"/>
    <w:rsid w:val="00697DE3"/>
    <w:rsid w:val="00697DF8"/>
    <w:rsid w:val="006A0968"/>
    <w:rsid w:val="006A0A64"/>
    <w:rsid w:val="006A16AA"/>
    <w:rsid w:val="006A1717"/>
    <w:rsid w:val="006A2624"/>
    <w:rsid w:val="006A27E0"/>
    <w:rsid w:val="006A332B"/>
    <w:rsid w:val="006A5053"/>
    <w:rsid w:val="006A5E2D"/>
    <w:rsid w:val="006A6374"/>
    <w:rsid w:val="006A66D1"/>
    <w:rsid w:val="006A6789"/>
    <w:rsid w:val="006A6DB0"/>
    <w:rsid w:val="006A7DE2"/>
    <w:rsid w:val="006B049A"/>
    <w:rsid w:val="006B0D42"/>
    <w:rsid w:val="006B1403"/>
    <w:rsid w:val="006B2652"/>
    <w:rsid w:val="006B3100"/>
    <w:rsid w:val="006B3741"/>
    <w:rsid w:val="006B3966"/>
    <w:rsid w:val="006B39AA"/>
    <w:rsid w:val="006B39C1"/>
    <w:rsid w:val="006B39EB"/>
    <w:rsid w:val="006B39FF"/>
    <w:rsid w:val="006B4457"/>
    <w:rsid w:val="006B529D"/>
    <w:rsid w:val="006B57DA"/>
    <w:rsid w:val="006B5B25"/>
    <w:rsid w:val="006B5C87"/>
    <w:rsid w:val="006B6AAF"/>
    <w:rsid w:val="006B6C96"/>
    <w:rsid w:val="006B6E38"/>
    <w:rsid w:val="006B76E9"/>
    <w:rsid w:val="006B7EB6"/>
    <w:rsid w:val="006B7F0E"/>
    <w:rsid w:val="006C02D9"/>
    <w:rsid w:val="006C0671"/>
    <w:rsid w:val="006C0837"/>
    <w:rsid w:val="006C1B9F"/>
    <w:rsid w:val="006C1CBF"/>
    <w:rsid w:val="006C28D5"/>
    <w:rsid w:val="006C37C1"/>
    <w:rsid w:val="006C4F4F"/>
    <w:rsid w:val="006C53A8"/>
    <w:rsid w:val="006C55DC"/>
    <w:rsid w:val="006C63AE"/>
    <w:rsid w:val="006C758F"/>
    <w:rsid w:val="006C78D6"/>
    <w:rsid w:val="006C7D3C"/>
    <w:rsid w:val="006C7FA2"/>
    <w:rsid w:val="006D0A40"/>
    <w:rsid w:val="006D0FB3"/>
    <w:rsid w:val="006D186A"/>
    <w:rsid w:val="006D1AB3"/>
    <w:rsid w:val="006D2350"/>
    <w:rsid w:val="006D2614"/>
    <w:rsid w:val="006D2904"/>
    <w:rsid w:val="006D2E72"/>
    <w:rsid w:val="006D305B"/>
    <w:rsid w:val="006D322E"/>
    <w:rsid w:val="006D431D"/>
    <w:rsid w:val="006D447C"/>
    <w:rsid w:val="006D54E5"/>
    <w:rsid w:val="006D5D48"/>
    <w:rsid w:val="006D69CD"/>
    <w:rsid w:val="006D6CF7"/>
    <w:rsid w:val="006D72EA"/>
    <w:rsid w:val="006D7A2C"/>
    <w:rsid w:val="006E0108"/>
    <w:rsid w:val="006E0785"/>
    <w:rsid w:val="006E16B0"/>
    <w:rsid w:val="006E1808"/>
    <w:rsid w:val="006E1C19"/>
    <w:rsid w:val="006E20FC"/>
    <w:rsid w:val="006E2C0D"/>
    <w:rsid w:val="006E32FE"/>
    <w:rsid w:val="006E33C2"/>
    <w:rsid w:val="006E3579"/>
    <w:rsid w:val="006E3CCB"/>
    <w:rsid w:val="006E4636"/>
    <w:rsid w:val="006E474E"/>
    <w:rsid w:val="006E4B1E"/>
    <w:rsid w:val="006E51A3"/>
    <w:rsid w:val="006E5999"/>
    <w:rsid w:val="006E5C41"/>
    <w:rsid w:val="006E5C48"/>
    <w:rsid w:val="006E63B7"/>
    <w:rsid w:val="006E6F10"/>
    <w:rsid w:val="006E6F1A"/>
    <w:rsid w:val="006E6FFA"/>
    <w:rsid w:val="006E7581"/>
    <w:rsid w:val="006E7DDB"/>
    <w:rsid w:val="006F03F2"/>
    <w:rsid w:val="006F05B2"/>
    <w:rsid w:val="006F0619"/>
    <w:rsid w:val="006F0DE9"/>
    <w:rsid w:val="006F0EF4"/>
    <w:rsid w:val="006F0F2D"/>
    <w:rsid w:val="006F131B"/>
    <w:rsid w:val="006F1A28"/>
    <w:rsid w:val="006F1F03"/>
    <w:rsid w:val="006F2003"/>
    <w:rsid w:val="006F3697"/>
    <w:rsid w:val="006F402F"/>
    <w:rsid w:val="006F4233"/>
    <w:rsid w:val="006F462D"/>
    <w:rsid w:val="006F4778"/>
    <w:rsid w:val="006F4B80"/>
    <w:rsid w:val="006F5779"/>
    <w:rsid w:val="006F6B27"/>
    <w:rsid w:val="006F6F55"/>
    <w:rsid w:val="006F6F63"/>
    <w:rsid w:val="006F76B2"/>
    <w:rsid w:val="00700044"/>
    <w:rsid w:val="00700573"/>
    <w:rsid w:val="00700782"/>
    <w:rsid w:val="00700BA5"/>
    <w:rsid w:val="00701470"/>
    <w:rsid w:val="007019FD"/>
    <w:rsid w:val="00701C61"/>
    <w:rsid w:val="00701D6F"/>
    <w:rsid w:val="00701EE5"/>
    <w:rsid w:val="0070209D"/>
    <w:rsid w:val="007033A0"/>
    <w:rsid w:val="00704D8D"/>
    <w:rsid w:val="007052C7"/>
    <w:rsid w:val="00705656"/>
    <w:rsid w:val="00705E19"/>
    <w:rsid w:val="00706662"/>
    <w:rsid w:val="007071E0"/>
    <w:rsid w:val="00707932"/>
    <w:rsid w:val="007079AB"/>
    <w:rsid w:val="00707C37"/>
    <w:rsid w:val="00707DD1"/>
    <w:rsid w:val="00707E29"/>
    <w:rsid w:val="007107B4"/>
    <w:rsid w:val="007118B2"/>
    <w:rsid w:val="007122D1"/>
    <w:rsid w:val="00712507"/>
    <w:rsid w:val="00712D06"/>
    <w:rsid w:val="00712D2A"/>
    <w:rsid w:val="00712E14"/>
    <w:rsid w:val="007131F8"/>
    <w:rsid w:val="007142FC"/>
    <w:rsid w:val="00714451"/>
    <w:rsid w:val="0071469F"/>
    <w:rsid w:val="00716377"/>
    <w:rsid w:val="0071660A"/>
    <w:rsid w:val="0071690C"/>
    <w:rsid w:val="00716D27"/>
    <w:rsid w:val="0071732C"/>
    <w:rsid w:val="00717A5D"/>
    <w:rsid w:val="0072012C"/>
    <w:rsid w:val="0072165E"/>
    <w:rsid w:val="007218EE"/>
    <w:rsid w:val="007219C3"/>
    <w:rsid w:val="00721DE8"/>
    <w:rsid w:val="00721EF2"/>
    <w:rsid w:val="00722178"/>
    <w:rsid w:val="007221AF"/>
    <w:rsid w:val="007224FB"/>
    <w:rsid w:val="00722D8A"/>
    <w:rsid w:val="00723A35"/>
    <w:rsid w:val="007248AF"/>
    <w:rsid w:val="00724C17"/>
    <w:rsid w:val="007252B2"/>
    <w:rsid w:val="007254B6"/>
    <w:rsid w:val="007263D2"/>
    <w:rsid w:val="00726AFE"/>
    <w:rsid w:val="00726DF3"/>
    <w:rsid w:val="00730CC7"/>
    <w:rsid w:val="007313D8"/>
    <w:rsid w:val="00732256"/>
    <w:rsid w:val="00732939"/>
    <w:rsid w:val="00732B15"/>
    <w:rsid w:val="00732DD9"/>
    <w:rsid w:val="0073387F"/>
    <w:rsid w:val="0073396D"/>
    <w:rsid w:val="00733A6D"/>
    <w:rsid w:val="00733AE9"/>
    <w:rsid w:val="0073576F"/>
    <w:rsid w:val="0073610C"/>
    <w:rsid w:val="0073654A"/>
    <w:rsid w:val="007366BB"/>
    <w:rsid w:val="00737530"/>
    <w:rsid w:val="00737913"/>
    <w:rsid w:val="00740311"/>
    <w:rsid w:val="00740F82"/>
    <w:rsid w:val="007420F5"/>
    <w:rsid w:val="0074237A"/>
    <w:rsid w:val="00742658"/>
    <w:rsid w:val="00742DFF"/>
    <w:rsid w:val="0074368F"/>
    <w:rsid w:val="00743A11"/>
    <w:rsid w:val="00743D83"/>
    <w:rsid w:val="00744287"/>
    <w:rsid w:val="007465AA"/>
    <w:rsid w:val="0074687F"/>
    <w:rsid w:val="00746B9E"/>
    <w:rsid w:val="00746EA4"/>
    <w:rsid w:val="00746F55"/>
    <w:rsid w:val="007475AE"/>
    <w:rsid w:val="00747A46"/>
    <w:rsid w:val="00747BD8"/>
    <w:rsid w:val="00747EB6"/>
    <w:rsid w:val="007507F0"/>
    <w:rsid w:val="00750874"/>
    <w:rsid w:val="00750B8C"/>
    <w:rsid w:val="00750D06"/>
    <w:rsid w:val="0075100B"/>
    <w:rsid w:val="007510A0"/>
    <w:rsid w:val="00751528"/>
    <w:rsid w:val="007518A8"/>
    <w:rsid w:val="00751BCB"/>
    <w:rsid w:val="007525A7"/>
    <w:rsid w:val="00752ABF"/>
    <w:rsid w:val="00753D44"/>
    <w:rsid w:val="00754849"/>
    <w:rsid w:val="00755A8B"/>
    <w:rsid w:val="00756586"/>
    <w:rsid w:val="00757C7A"/>
    <w:rsid w:val="00757D44"/>
    <w:rsid w:val="007602D8"/>
    <w:rsid w:val="00760A8C"/>
    <w:rsid w:val="00761258"/>
    <w:rsid w:val="00761924"/>
    <w:rsid w:val="00761FAF"/>
    <w:rsid w:val="00762871"/>
    <w:rsid w:val="00762AF9"/>
    <w:rsid w:val="00762C4A"/>
    <w:rsid w:val="00763181"/>
    <w:rsid w:val="0076499E"/>
    <w:rsid w:val="00764E30"/>
    <w:rsid w:val="0076523A"/>
    <w:rsid w:val="00765523"/>
    <w:rsid w:val="0076615F"/>
    <w:rsid w:val="007672D6"/>
    <w:rsid w:val="00767C76"/>
    <w:rsid w:val="0077055F"/>
    <w:rsid w:val="00770982"/>
    <w:rsid w:val="00770F73"/>
    <w:rsid w:val="00771160"/>
    <w:rsid w:val="00772736"/>
    <w:rsid w:val="007731A2"/>
    <w:rsid w:val="00774A9A"/>
    <w:rsid w:val="007759E8"/>
    <w:rsid w:val="00775A25"/>
    <w:rsid w:val="007776BF"/>
    <w:rsid w:val="00777C3F"/>
    <w:rsid w:val="0078013B"/>
    <w:rsid w:val="007801A8"/>
    <w:rsid w:val="0078024F"/>
    <w:rsid w:val="0078038E"/>
    <w:rsid w:val="00780E0C"/>
    <w:rsid w:val="007818CA"/>
    <w:rsid w:val="00782569"/>
    <w:rsid w:val="0078295E"/>
    <w:rsid w:val="007829F2"/>
    <w:rsid w:val="00782A11"/>
    <w:rsid w:val="007833E5"/>
    <w:rsid w:val="00783A2C"/>
    <w:rsid w:val="00784802"/>
    <w:rsid w:val="00784AC9"/>
    <w:rsid w:val="00784C53"/>
    <w:rsid w:val="00784CC7"/>
    <w:rsid w:val="00785BEA"/>
    <w:rsid w:val="007870C6"/>
    <w:rsid w:val="00787582"/>
    <w:rsid w:val="00787C9F"/>
    <w:rsid w:val="00787D0F"/>
    <w:rsid w:val="007912B7"/>
    <w:rsid w:val="0079133A"/>
    <w:rsid w:val="00791546"/>
    <w:rsid w:val="007915D5"/>
    <w:rsid w:val="00791845"/>
    <w:rsid w:val="00791937"/>
    <w:rsid w:val="00791F94"/>
    <w:rsid w:val="00792026"/>
    <w:rsid w:val="00792095"/>
    <w:rsid w:val="007923C6"/>
    <w:rsid w:val="00792432"/>
    <w:rsid w:val="007930E8"/>
    <w:rsid w:val="007941D9"/>
    <w:rsid w:val="0079459A"/>
    <w:rsid w:val="00794F44"/>
    <w:rsid w:val="00796782"/>
    <w:rsid w:val="00796DF2"/>
    <w:rsid w:val="00796EF7"/>
    <w:rsid w:val="00796FD9"/>
    <w:rsid w:val="00797749"/>
    <w:rsid w:val="007979CC"/>
    <w:rsid w:val="007A002C"/>
    <w:rsid w:val="007A091A"/>
    <w:rsid w:val="007A0CFC"/>
    <w:rsid w:val="007A0D8E"/>
    <w:rsid w:val="007A0E98"/>
    <w:rsid w:val="007A1EEB"/>
    <w:rsid w:val="007A2054"/>
    <w:rsid w:val="007A2D04"/>
    <w:rsid w:val="007A3103"/>
    <w:rsid w:val="007A3441"/>
    <w:rsid w:val="007A43E5"/>
    <w:rsid w:val="007A4ADB"/>
    <w:rsid w:val="007A4C1B"/>
    <w:rsid w:val="007A4D4F"/>
    <w:rsid w:val="007A5197"/>
    <w:rsid w:val="007A51FC"/>
    <w:rsid w:val="007A567D"/>
    <w:rsid w:val="007A703C"/>
    <w:rsid w:val="007A70E1"/>
    <w:rsid w:val="007A75C1"/>
    <w:rsid w:val="007B041A"/>
    <w:rsid w:val="007B190B"/>
    <w:rsid w:val="007B1E65"/>
    <w:rsid w:val="007B22AF"/>
    <w:rsid w:val="007B2C58"/>
    <w:rsid w:val="007B3583"/>
    <w:rsid w:val="007B3BBB"/>
    <w:rsid w:val="007B3C1E"/>
    <w:rsid w:val="007B4420"/>
    <w:rsid w:val="007B484C"/>
    <w:rsid w:val="007B4A01"/>
    <w:rsid w:val="007B4A6A"/>
    <w:rsid w:val="007B4D08"/>
    <w:rsid w:val="007B523C"/>
    <w:rsid w:val="007B5427"/>
    <w:rsid w:val="007B5514"/>
    <w:rsid w:val="007B5F63"/>
    <w:rsid w:val="007B656E"/>
    <w:rsid w:val="007B735F"/>
    <w:rsid w:val="007C0725"/>
    <w:rsid w:val="007C0DA5"/>
    <w:rsid w:val="007C1A7F"/>
    <w:rsid w:val="007C2146"/>
    <w:rsid w:val="007C2797"/>
    <w:rsid w:val="007C3024"/>
    <w:rsid w:val="007C357B"/>
    <w:rsid w:val="007C3AA3"/>
    <w:rsid w:val="007C3BE3"/>
    <w:rsid w:val="007C4210"/>
    <w:rsid w:val="007C490C"/>
    <w:rsid w:val="007C4B4D"/>
    <w:rsid w:val="007C4F36"/>
    <w:rsid w:val="007C5D05"/>
    <w:rsid w:val="007C5FA7"/>
    <w:rsid w:val="007C60D2"/>
    <w:rsid w:val="007C6351"/>
    <w:rsid w:val="007D0802"/>
    <w:rsid w:val="007D11D4"/>
    <w:rsid w:val="007D1416"/>
    <w:rsid w:val="007D1C87"/>
    <w:rsid w:val="007D257D"/>
    <w:rsid w:val="007D2737"/>
    <w:rsid w:val="007D285F"/>
    <w:rsid w:val="007D352A"/>
    <w:rsid w:val="007D369C"/>
    <w:rsid w:val="007D3871"/>
    <w:rsid w:val="007D393F"/>
    <w:rsid w:val="007D49BF"/>
    <w:rsid w:val="007D59EE"/>
    <w:rsid w:val="007D657D"/>
    <w:rsid w:val="007D6707"/>
    <w:rsid w:val="007D6EF6"/>
    <w:rsid w:val="007D6F78"/>
    <w:rsid w:val="007D71A8"/>
    <w:rsid w:val="007D71A9"/>
    <w:rsid w:val="007D74FF"/>
    <w:rsid w:val="007D77E1"/>
    <w:rsid w:val="007E0006"/>
    <w:rsid w:val="007E0686"/>
    <w:rsid w:val="007E08D4"/>
    <w:rsid w:val="007E1446"/>
    <w:rsid w:val="007E1486"/>
    <w:rsid w:val="007E1C4E"/>
    <w:rsid w:val="007E1FA3"/>
    <w:rsid w:val="007E20B0"/>
    <w:rsid w:val="007E2124"/>
    <w:rsid w:val="007E2F59"/>
    <w:rsid w:val="007E3742"/>
    <w:rsid w:val="007E392B"/>
    <w:rsid w:val="007E3CF3"/>
    <w:rsid w:val="007E403E"/>
    <w:rsid w:val="007E4333"/>
    <w:rsid w:val="007E4471"/>
    <w:rsid w:val="007E4E94"/>
    <w:rsid w:val="007E52EA"/>
    <w:rsid w:val="007E591D"/>
    <w:rsid w:val="007E59F5"/>
    <w:rsid w:val="007E5ED6"/>
    <w:rsid w:val="007E6150"/>
    <w:rsid w:val="007E6D2F"/>
    <w:rsid w:val="007E6DF4"/>
    <w:rsid w:val="007E7003"/>
    <w:rsid w:val="007E79AD"/>
    <w:rsid w:val="007E79C0"/>
    <w:rsid w:val="007E7B2F"/>
    <w:rsid w:val="007F0162"/>
    <w:rsid w:val="007F0449"/>
    <w:rsid w:val="007F05F5"/>
    <w:rsid w:val="007F0F41"/>
    <w:rsid w:val="007F10AF"/>
    <w:rsid w:val="007F1384"/>
    <w:rsid w:val="007F1544"/>
    <w:rsid w:val="007F1737"/>
    <w:rsid w:val="007F19C6"/>
    <w:rsid w:val="007F1C89"/>
    <w:rsid w:val="007F247D"/>
    <w:rsid w:val="007F2CD0"/>
    <w:rsid w:val="007F33DC"/>
    <w:rsid w:val="007F40D4"/>
    <w:rsid w:val="007F430A"/>
    <w:rsid w:val="007F4BAE"/>
    <w:rsid w:val="007F5F83"/>
    <w:rsid w:val="007F64D1"/>
    <w:rsid w:val="007F669B"/>
    <w:rsid w:val="007F6BED"/>
    <w:rsid w:val="007F6D54"/>
    <w:rsid w:val="007F7475"/>
    <w:rsid w:val="007F781C"/>
    <w:rsid w:val="007F7E5D"/>
    <w:rsid w:val="00800F3A"/>
    <w:rsid w:val="008025D8"/>
    <w:rsid w:val="0080260D"/>
    <w:rsid w:val="00802BA3"/>
    <w:rsid w:val="0080364E"/>
    <w:rsid w:val="0080386D"/>
    <w:rsid w:val="00803CDA"/>
    <w:rsid w:val="0080487D"/>
    <w:rsid w:val="00804AE0"/>
    <w:rsid w:val="00804EAC"/>
    <w:rsid w:val="00805331"/>
    <w:rsid w:val="008057A3"/>
    <w:rsid w:val="00805F0A"/>
    <w:rsid w:val="00805FB2"/>
    <w:rsid w:val="0080685F"/>
    <w:rsid w:val="00806D5C"/>
    <w:rsid w:val="00807291"/>
    <w:rsid w:val="0080732A"/>
    <w:rsid w:val="008075E7"/>
    <w:rsid w:val="00807AEB"/>
    <w:rsid w:val="00807DDD"/>
    <w:rsid w:val="0081002C"/>
    <w:rsid w:val="0081042E"/>
    <w:rsid w:val="00810753"/>
    <w:rsid w:val="008107D0"/>
    <w:rsid w:val="0081083B"/>
    <w:rsid w:val="00810AC1"/>
    <w:rsid w:val="00810DDA"/>
    <w:rsid w:val="0081259D"/>
    <w:rsid w:val="00812F64"/>
    <w:rsid w:val="008130AA"/>
    <w:rsid w:val="00813801"/>
    <w:rsid w:val="008139B6"/>
    <w:rsid w:val="008139F9"/>
    <w:rsid w:val="00813A47"/>
    <w:rsid w:val="00813EA9"/>
    <w:rsid w:val="008143FF"/>
    <w:rsid w:val="00814593"/>
    <w:rsid w:val="00814C0D"/>
    <w:rsid w:val="00814D39"/>
    <w:rsid w:val="00814D51"/>
    <w:rsid w:val="008152CD"/>
    <w:rsid w:val="008153E7"/>
    <w:rsid w:val="008156F7"/>
    <w:rsid w:val="00815A11"/>
    <w:rsid w:val="00815D43"/>
    <w:rsid w:val="008160EA"/>
    <w:rsid w:val="00816845"/>
    <w:rsid w:val="00816934"/>
    <w:rsid w:val="0081706F"/>
    <w:rsid w:val="0081753A"/>
    <w:rsid w:val="008176CB"/>
    <w:rsid w:val="00817C1D"/>
    <w:rsid w:val="008201B3"/>
    <w:rsid w:val="008203B0"/>
    <w:rsid w:val="0082057E"/>
    <w:rsid w:val="008209F0"/>
    <w:rsid w:val="00820C32"/>
    <w:rsid w:val="00820CC4"/>
    <w:rsid w:val="00820F1C"/>
    <w:rsid w:val="008213C2"/>
    <w:rsid w:val="00821C24"/>
    <w:rsid w:val="00821D26"/>
    <w:rsid w:val="0082200B"/>
    <w:rsid w:val="008220E1"/>
    <w:rsid w:val="00822528"/>
    <w:rsid w:val="00823129"/>
    <w:rsid w:val="00823CCA"/>
    <w:rsid w:val="00825172"/>
    <w:rsid w:val="00825C8C"/>
    <w:rsid w:val="008260BF"/>
    <w:rsid w:val="0082648E"/>
    <w:rsid w:val="0082694E"/>
    <w:rsid w:val="00826AB6"/>
    <w:rsid w:val="00827279"/>
    <w:rsid w:val="008300E5"/>
    <w:rsid w:val="008308A9"/>
    <w:rsid w:val="00831353"/>
    <w:rsid w:val="008313F9"/>
    <w:rsid w:val="0083240A"/>
    <w:rsid w:val="008328AB"/>
    <w:rsid w:val="008330E2"/>
    <w:rsid w:val="008331F7"/>
    <w:rsid w:val="00833C5C"/>
    <w:rsid w:val="00834003"/>
    <w:rsid w:val="00834B38"/>
    <w:rsid w:val="00834EDB"/>
    <w:rsid w:val="0083501A"/>
    <w:rsid w:val="00835020"/>
    <w:rsid w:val="008360F4"/>
    <w:rsid w:val="008364F2"/>
    <w:rsid w:val="00836E59"/>
    <w:rsid w:val="00837201"/>
    <w:rsid w:val="008377B5"/>
    <w:rsid w:val="00837CC0"/>
    <w:rsid w:val="00840506"/>
    <w:rsid w:val="008408A7"/>
    <w:rsid w:val="00840D78"/>
    <w:rsid w:val="00840D91"/>
    <w:rsid w:val="00842F98"/>
    <w:rsid w:val="0084318B"/>
    <w:rsid w:val="0084336B"/>
    <w:rsid w:val="00843B40"/>
    <w:rsid w:val="008441E9"/>
    <w:rsid w:val="00844562"/>
    <w:rsid w:val="00844D29"/>
    <w:rsid w:val="00845CFD"/>
    <w:rsid w:val="00845E58"/>
    <w:rsid w:val="00846267"/>
    <w:rsid w:val="00846599"/>
    <w:rsid w:val="00846922"/>
    <w:rsid w:val="00846AC2"/>
    <w:rsid w:val="00847C83"/>
    <w:rsid w:val="00847FE5"/>
    <w:rsid w:val="0085072E"/>
    <w:rsid w:val="00850E47"/>
    <w:rsid w:val="008519AC"/>
    <w:rsid w:val="00851AF2"/>
    <w:rsid w:val="00851DE9"/>
    <w:rsid w:val="00851E5F"/>
    <w:rsid w:val="008541C7"/>
    <w:rsid w:val="0085528D"/>
    <w:rsid w:val="008554FF"/>
    <w:rsid w:val="00855B55"/>
    <w:rsid w:val="008560DA"/>
    <w:rsid w:val="008561DF"/>
    <w:rsid w:val="008567EB"/>
    <w:rsid w:val="0085685C"/>
    <w:rsid w:val="00856F5A"/>
    <w:rsid w:val="00857181"/>
    <w:rsid w:val="0085729B"/>
    <w:rsid w:val="008572F7"/>
    <w:rsid w:val="008574B8"/>
    <w:rsid w:val="0086029F"/>
    <w:rsid w:val="00860AAC"/>
    <w:rsid w:val="008612A8"/>
    <w:rsid w:val="00862254"/>
    <w:rsid w:val="00862823"/>
    <w:rsid w:val="00862FEC"/>
    <w:rsid w:val="008633EE"/>
    <w:rsid w:val="00863533"/>
    <w:rsid w:val="00864391"/>
    <w:rsid w:val="00864828"/>
    <w:rsid w:val="008649C6"/>
    <w:rsid w:val="00864EAA"/>
    <w:rsid w:val="00865450"/>
    <w:rsid w:val="008658DA"/>
    <w:rsid w:val="00865A9B"/>
    <w:rsid w:val="00865D91"/>
    <w:rsid w:val="00865EE3"/>
    <w:rsid w:val="00865EE5"/>
    <w:rsid w:val="00865F58"/>
    <w:rsid w:val="008661AE"/>
    <w:rsid w:val="008666D4"/>
    <w:rsid w:val="00866F8F"/>
    <w:rsid w:val="008675A1"/>
    <w:rsid w:val="008677E4"/>
    <w:rsid w:val="0087033F"/>
    <w:rsid w:val="00870E8E"/>
    <w:rsid w:val="00870FF8"/>
    <w:rsid w:val="00871829"/>
    <w:rsid w:val="0087221F"/>
    <w:rsid w:val="00872339"/>
    <w:rsid w:val="008727DB"/>
    <w:rsid w:val="00872847"/>
    <w:rsid w:val="00873180"/>
    <w:rsid w:val="0087331A"/>
    <w:rsid w:val="008736EC"/>
    <w:rsid w:val="00873792"/>
    <w:rsid w:val="008738F3"/>
    <w:rsid w:val="008744F3"/>
    <w:rsid w:val="00874F91"/>
    <w:rsid w:val="008757EF"/>
    <w:rsid w:val="00875AC4"/>
    <w:rsid w:val="00876952"/>
    <w:rsid w:val="00876B55"/>
    <w:rsid w:val="008773DB"/>
    <w:rsid w:val="008776CE"/>
    <w:rsid w:val="0087787A"/>
    <w:rsid w:val="00877F4D"/>
    <w:rsid w:val="0088013C"/>
    <w:rsid w:val="008804EE"/>
    <w:rsid w:val="008806BE"/>
    <w:rsid w:val="008814EE"/>
    <w:rsid w:val="00881AA5"/>
    <w:rsid w:val="00881B67"/>
    <w:rsid w:val="00881CD6"/>
    <w:rsid w:val="00882072"/>
    <w:rsid w:val="00882366"/>
    <w:rsid w:val="00882677"/>
    <w:rsid w:val="008829EE"/>
    <w:rsid w:val="00882ACA"/>
    <w:rsid w:val="00882D25"/>
    <w:rsid w:val="00882D77"/>
    <w:rsid w:val="00883070"/>
    <w:rsid w:val="008834BD"/>
    <w:rsid w:val="008834E2"/>
    <w:rsid w:val="00884219"/>
    <w:rsid w:val="00884CCD"/>
    <w:rsid w:val="008861F8"/>
    <w:rsid w:val="0088654C"/>
    <w:rsid w:val="00886C54"/>
    <w:rsid w:val="00886F71"/>
    <w:rsid w:val="0088756F"/>
    <w:rsid w:val="00887DA6"/>
    <w:rsid w:val="00887ECA"/>
    <w:rsid w:val="00890222"/>
    <w:rsid w:val="00891409"/>
    <w:rsid w:val="008921B7"/>
    <w:rsid w:val="0089263E"/>
    <w:rsid w:val="00893E19"/>
    <w:rsid w:val="0089428E"/>
    <w:rsid w:val="008946B7"/>
    <w:rsid w:val="00894BF9"/>
    <w:rsid w:val="00894F82"/>
    <w:rsid w:val="008964B7"/>
    <w:rsid w:val="00896519"/>
    <w:rsid w:val="00897191"/>
    <w:rsid w:val="00897748"/>
    <w:rsid w:val="008977F1"/>
    <w:rsid w:val="00897AF3"/>
    <w:rsid w:val="008A0F58"/>
    <w:rsid w:val="008A1018"/>
    <w:rsid w:val="008A1336"/>
    <w:rsid w:val="008A152E"/>
    <w:rsid w:val="008A1760"/>
    <w:rsid w:val="008A1D07"/>
    <w:rsid w:val="008A2501"/>
    <w:rsid w:val="008A2604"/>
    <w:rsid w:val="008A2B38"/>
    <w:rsid w:val="008A2DCE"/>
    <w:rsid w:val="008A3351"/>
    <w:rsid w:val="008A53F3"/>
    <w:rsid w:val="008A5DCE"/>
    <w:rsid w:val="008A65F5"/>
    <w:rsid w:val="008A69F0"/>
    <w:rsid w:val="008A6A9B"/>
    <w:rsid w:val="008A758F"/>
    <w:rsid w:val="008A7D4E"/>
    <w:rsid w:val="008B02D4"/>
    <w:rsid w:val="008B05AA"/>
    <w:rsid w:val="008B0A7A"/>
    <w:rsid w:val="008B0CBF"/>
    <w:rsid w:val="008B1695"/>
    <w:rsid w:val="008B26FC"/>
    <w:rsid w:val="008B3278"/>
    <w:rsid w:val="008B3659"/>
    <w:rsid w:val="008B3FBD"/>
    <w:rsid w:val="008B419C"/>
    <w:rsid w:val="008B6935"/>
    <w:rsid w:val="008B696F"/>
    <w:rsid w:val="008B6983"/>
    <w:rsid w:val="008B7188"/>
    <w:rsid w:val="008B73AE"/>
    <w:rsid w:val="008B7729"/>
    <w:rsid w:val="008B78CA"/>
    <w:rsid w:val="008C09D6"/>
    <w:rsid w:val="008C0CD1"/>
    <w:rsid w:val="008C13E8"/>
    <w:rsid w:val="008C16B7"/>
    <w:rsid w:val="008C1916"/>
    <w:rsid w:val="008C1D11"/>
    <w:rsid w:val="008C1E62"/>
    <w:rsid w:val="008C2262"/>
    <w:rsid w:val="008C24EB"/>
    <w:rsid w:val="008C275E"/>
    <w:rsid w:val="008C2DAE"/>
    <w:rsid w:val="008C3551"/>
    <w:rsid w:val="008C4374"/>
    <w:rsid w:val="008C51B9"/>
    <w:rsid w:val="008C5972"/>
    <w:rsid w:val="008C5F7F"/>
    <w:rsid w:val="008C63AD"/>
    <w:rsid w:val="008C6994"/>
    <w:rsid w:val="008C69DF"/>
    <w:rsid w:val="008C7082"/>
    <w:rsid w:val="008C74D1"/>
    <w:rsid w:val="008C7CEC"/>
    <w:rsid w:val="008C7F8C"/>
    <w:rsid w:val="008D0634"/>
    <w:rsid w:val="008D081C"/>
    <w:rsid w:val="008D12C0"/>
    <w:rsid w:val="008D15DB"/>
    <w:rsid w:val="008D1AB5"/>
    <w:rsid w:val="008D2663"/>
    <w:rsid w:val="008D2CAA"/>
    <w:rsid w:val="008D2CFF"/>
    <w:rsid w:val="008D321A"/>
    <w:rsid w:val="008D4BB0"/>
    <w:rsid w:val="008D564B"/>
    <w:rsid w:val="008D5A04"/>
    <w:rsid w:val="008D5AF0"/>
    <w:rsid w:val="008D632D"/>
    <w:rsid w:val="008D632F"/>
    <w:rsid w:val="008D6F97"/>
    <w:rsid w:val="008D70E6"/>
    <w:rsid w:val="008D7261"/>
    <w:rsid w:val="008D7BEF"/>
    <w:rsid w:val="008E041A"/>
    <w:rsid w:val="008E0D84"/>
    <w:rsid w:val="008E177B"/>
    <w:rsid w:val="008E1DD8"/>
    <w:rsid w:val="008E2836"/>
    <w:rsid w:val="008E2F65"/>
    <w:rsid w:val="008E31A1"/>
    <w:rsid w:val="008E35D1"/>
    <w:rsid w:val="008E363F"/>
    <w:rsid w:val="008E4246"/>
    <w:rsid w:val="008E4256"/>
    <w:rsid w:val="008E4274"/>
    <w:rsid w:val="008E4437"/>
    <w:rsid w:val="008E4532"/>
    <w:rsid w:val="008E4833"/>
    <w:rsid w:val="008E48C9"/>
    <w:rsid w:val="008E4F2E"/>
    <w:rsid w:val="008E5212"/>
    <w:rsid w:val="008E5A92"/>
    <w:rsid w:val="008E634E"/>
    <w:rsid w:val="008E6FA4"/>
    <w:rsid w:val="008E763B"/>
    <w:rsid w:val="008F0B61"/>
    <w:rsid w:val="008F1CD0"/>
    <w:rsid w:val="008F1D55"/>
    <w:rsid w:val="008F2170"/>
    <w:rsid w:val="008F21A9"/>
    <w:rsid w:val="008F2218"/>
    <w:rsid w:val="008F27FC"/>
    <w:rsid w:val="008F3844"/>
    <w:rsid w:val="008F3F26"/>
    <w:rsid w:val="008F4060"/>
    <w:rsid w:val="008F454D"/>
    <w:rsid w:val="008F4959"/>
    <w:rsid w:val="008F53CB"/>
    <w:rsid w:val="008F55F1"/>
    <w:rsid w:val="008F58DD"/>
    <w:rsid w:val="008F591C"/>
    <w:rsid w:val="008F6877"/>
    <w:rsid w:val="008F7753"/>
    <w:rsid w:val="008F7C14"/>
    <w:rsid w:val="00900296"/>
    <w:rsid w:val="00900A21"/>
    <w:rsid w:val="00900F2F"/>
    <w:rsid w:val="00901141"/>
    <w:rsid w:val="00901356"/>
    <w:rsid w:val="00901D0D"/>
    <w:rsid w:val="00902896"/>
    <w:rsid w:val="00902910"/>
    <w:rsid w:val="00902967"/>
    <w:rsid w:val="00902FF8"/>
    <w:rsid w:val="0090388A"/>
    <w:rsid w:val="00903BBE"/>
    <w:rsid w:val="009043DE"/>
    <w:rsid w:val="00904555"/>
    <w:rsid w:val="009049B7"/>
    <w:rsid w:val="0090557F"/>
    <w:rsid w:val="0090558E"/>
    <w:rsid w:val="009058F3"/>
    <w:rsid w:val="00905CDA"/>
    <w:rsid w:val="00905E9F"/>
    <w:rsid w:val="00906420"/>
    <w:rsid w:val="00906FA7"/>
    <w:rsid w:val="0090795C"/>
    <w:rsid w:val="00907B1B"/>
    <w:rsid w:val="00907BC9"/>
    <w:rsid w:val="00907F24"/>
    <w:rsid w:val="00907FD6"/>
    <w:rsid w:val="00910AAD"/>
    <w:rsid w:val="00910D2E"/>
    <w:rsid w:val="00910F89"/>
    <w:rsid w:val="00911296"/>
    <w:rsid w:val="00911730"/>
    <w:rsid w:val="00912389"/>
    <w:rsid w:val="00912B6A"/>
    <w:rsid w:val="009135EC"/>
    <w:rsid w:val="0091379B"/>
    <w:rsid w:val="00913A34"/>
    <w:rsid w:val="00913C74"/>
    <w:rsid w:val="00913E49"/>
    <w:rsid w:val="009152BF"/>
    <w:rsid w:val="009152CF"/>
    <w:rsid w:val="009156DB"/>
    <w:rsid w:val="00915EB0"/>
    <w:rsid w:val="00916519"/>
    <w:rsid w:val="009168F0"/>
    <w:rsid w:val="00916BAA"/>
    <w:rsid w:val="00916CF9"/>
    <w:rsid w:val="0091712A"/>
    <w:rsid w:val="0092064D"/>
    <w:rsid w:val="00920A4B"/>
    <w:rsid w:val="00920C91"/>
    <w:rsid w:val="00920D35"/>
    <w:rsid w:val="009211D8"/>
    <w:rsid w:val="00921803"/>
    <w:rsid w:val="00922727"/>
    <w:rsid w:val="00922AF2"/>
    <w:rsid w:val="00923215"/>
    <w:rsid w:val="00923721"/>
    <w:rsid w:val="00923974"/>
    <w:rsid w:val="009240DA"/>
    <w:rsid w:val="00924373"/>
    <w:rsid w:val="00924390"/>
    <w:rsid w:val="00924C64"/>
    <w:rsid w:val="009251DE"/>
    <w:rsid w:val="009257F1"/>
    <w:rsid w:val="00926078"/>
    <w:rsid w:val="009262F3"/>
    <w:rsid w:val="009264DB"/>
    <w:rsid w:val="00927963"/>
    <w:rsid w:val="00930707"/>
    <w:rsid w:val="009309DE"/>
    <w:rsid w:val="00930CBA"/>
    <w:rsid w:val="00930E7E"/>
    <w:rsid w:val="00931111"/>
    <w:rsid w:val="00931858"/>
    <w:rsid w:val="00931D63"/>
    <w:rsid w:val="00931E69"/>
    <w:rsid w:val="009327A7"/>
    <w:rsid w:val="00932962"/>
    <w:rsid w:val="009330EA"/>
    <w:rsid w:val="00933345"/>
    <w:rsid w:val="00933676"/>
    <w:rsid w:val="00933C7B"/>
    <w:rsid w:val="00934ADB"/>
    <w:rsid w:val="00934AE3"/>
    <w:rsid w:val="00934BFA"/>
    <w:rsid w:val="00935854"/>
    <w:rsid w:val="00935AC4"/>
    <w:rsid w:val="00935D47"/>
    <w:rsid w:val="00936792"/>
    <w:rsid w:val="0093693E"/>
    <w:rsid w:val="00936D49"/>
    <w:rsid w:val="00936E74"/>
    <w:rsid w:val="0093752E"/>
    <w:rsid w:val="0093774D"/>
    <w:rsid w:val="009377B3"/>
    <w:rsid w:val="009377CA"/>
    <w:rsid w:val="0093799D"/>
    <w:rsid w:val="009408D7"/>
    <w:rsid w:val="0094149C"/>
    <w:rsid w:val="0094164D"/>
    <w:rsid w:val="009417E4"/>
    <w:rsid w:val="00941A39"/>
    <w:rsid w:val="00942199"/>
    <w:rsid w:val="00942354"/>
    <w:rsid w:val="00942907"/>
    <w:rsid w:val="00942CB1"/>
    <w:rsid w:val="0094335A"/>
    <w:rsid w:val="009437E4"/>
    <w:rsid w:val="00943B19"/>
    <w:rsid w:val="009441A2"/>
    <w:rsid w:val="00944755"/>
    <w:rsid w:val="00945229"/>
    <w:rsid w:val="0094533C"/>
    <w:rsid w:val="00946088"/>
    <w:rsid w:val="009468DE"/>
    <w:rsid w:val="00947DB3"/>
    <w:rsid w:val="009501BC"/>
    <w:rsid w:val="009502CF"/>
    <w:rsid w:val="00950B31"/>
    <w:rsid w:val="00950B5B"/>
    <w:rsid w:val="009518EF"/>
    <w:rsid w:val="00951F58"/>
    <w:rsid w:val="00954222"/>
    <w:rsid w:val="00954489"/>
    <w:rsid w:val="0095449C"/>
    <w:rsid w:val="009551C0"/>
    <w:rsid w:val="0095582E"/>
    <w:rsid w:val="00955A6F"/>
    <w:rsid w:val="00955D74"/>
    <w:rsid w:val="009571C8"/>
    <w:rsid w:val="00957D39"/>
    <w:rsid w:val="00961120"/>
    <w:rsid w:val="0096169D"/>
    <w:rsid w:val="00961908"/>
    <w:rsid w:val="00962327"/>
    <w:rsid w:val="00962A7D"/>
    <w:rsid w:val="00963519"/>
    <w:rsid w:val="0096373E"/>
    <w:rsid w:val="00963EA6"/>
    <w:rsid w:val="009647DD"/>
    <w:rsid w:val="00964ADF"/>
    <w:rsid w:val="00964BFB"/>
    <w:rsid w:val="009650E7"/>
    <w:rsid w:val="0096553A"/>
    <w:rsid w:val="0096562F"/>
    <w:rsid w:val="00965845"/>
    <w:rsid w:val="00965D17"/>
    <w:rsid w:val="00966071"/>
    <w:rsid w:val="0096639C"/>
    <w:rsid w:val="009667FB"/>
    <w:rsid w:val="00966DD5"/>
    <w:rsid w:val="00967BD0"/>
    <w:rsid w:val="009700B9"/>
    <w:rsid w:val="009705DA"/>
    <w:rsid w:val="00971A91"/>
    <w:rsid w:val="00971C44"/>
    <w:rsid w:val="009724AC"/>
    <w:rsid w:val="00972FCE"/>
    <w:rsid w:val="009736FF"/>
    <w:rsid w:val="0097399F"/>
    <w:rsid w:val="009747FE"/>
    <w:rsid w:val="00974C14"/>
    <w:rsid w:val="00974F4B"/>
    <w:rsid w:val="00975423"/>
    <w:rsid w:val="00975F9F"/>
    <w:rsid w:val="0097625B"/>
    <w:rsid w:val="009762B2"/>
    <w:rsid w:val="009763F6"/>
    <w:rsid w:val="00976707"/>
    <w:rsid w:val="00976746"/>
    <w:rsid w:val="00977268"/>
    <w:rsid w:val="009773D5"/>
    <w:rsid w:val="009801CC"/>
    <w:rsid w:val="009807F5"/>
    <w:rsid w:val="009808FF"/>
    <w:rsid w:val="009818B1"/>
    <w:rsid w:val="00981C14"/>
    <w:rsid w:val="009825C1"/>
    <w:rsid w:val="00982D10"/>
    <w:rsid w:val="009849F4"/>
    <w:rsid w:val="009853D7"/>
    <w:rsid w:val="00986309"/>
    <w:rsid w:val="00987288"/>
    <w:rsid w:val="00987F74"/>
    <w:rsid w:val="0099000E"/>
    <w:rsid w:val="009908FA"/>
    <w:rsid w:val="009922ED"/>
    <w:rsid w:val="009925F2"/>
    <w:rsid w:val="0099281D"/>
    <w:rsid w:val="00993DC8"/>
    <w:rsid w:val="00994117"/>
    <w:rsid w:val="009942A1"/>
    <w:rsid w:val="00994635"/>
    <w:rsid w:val="00994A5A"/>
    <w:rsid w:val="00994B13"/>
    <w:rsid w:val="00994C0D"/>
    <w:rsid w:val="00994D0F"/>
    <w:rsid w:val="00994E40"/>
    <w:rsid w:val="009950BF"/>
    <w:rsid w:val="009952A0"/>
    <w:rsid w:val="009952B5"/>
    <w:rsid w:val="009952F9"/>
    <w:rsid w:val="009958E5"/>
    <w:rsid w:val="009959C1"/>
    <w:rsid w:val="0099607B"/>
    <w:rsid w:val="009968AA"/>
    <w:rsid w:val="00997278"/>
    <w:rsid w:val="00997B29"/>
    <w:rsid w:val="009A09A5"/>
    <w:rsid w:val="009A0A3C"/>
    <w:rsid w:val="009A0D13"/>
    <w:rsid w:val="009A14C0"/>
    <w:rsid w:val="009A1B8E"/>
    <w:rsid w:val="009A1D23"/>
    <w:rsid w:val="009A1FFF"/>
    <w:rsid w:val="009A2318"/>
    <w:rsid w:val="009A2FCF"/>
    <w:rsid w:val="009A3264"/>
    <w:rsid w:val="009A403C"/>
    <w:rsid w:val="009A418B"/>
    <w:rsid w:val="009A4E22"/>
    <w:rsid w:val="009A54AE"/>
    <w:rsid w:val="009A5875"/>
    <w:rsid w:val="009A6585"/>
    <w:rsid w:val="009A65A9"/>
    <w:rsid w:val="009A6B97"/>
    <w:rsid w:val="009A7218"/>
    <w:rsid w:val="009A73E0"/>
    <w:rsid w:val="009A77D3"/>
    <w:rsid w:val="009A7C66"/>
    <w:rsid w:val="009B1208"/>
    <w:rsid w:val="009B162F"/>
    <w:rsid w:val="009B2D58"/>
    <w:rsid w:val="009B2DD9"/>
    <w:rsid w:val="009B4256"/>
    <w:rsid w:val="009B43B7"/>
    <w:rsid w:val="009B56A0"/>
    <w:rsid w:val="009B5BE3"/>
    <w:rsid w:val="009B5C18"/>
    <w:rsid w:val="009B63B5"/>
    <w:rsid w:val="009B68F5"/>
    <w:rsid w:val="009B7471"/>
    <w:rsid w:val="009B754A"/>
    <w:rsid w:val="009B7683"/>
    <w:rsid w:val="009B76DF"/>
    <w:rsid w:val="009B7DB4"/>
    <w:rsid w:val="009C003C"/>
    <w:rsid w:val="009C04E0"/>
    <w:rsid w:val="009C0AE7"/>
    <w:rsid w:val="009C0FF3"/>
    <w:rsid w:val="009C1653"/>
    <w:rsid w:val="009C177D"/>
    <w:rsid w:val="009C1C21"/>
    <w:rsid w:val="009C457F"/>
    <w:rsid w:val="009C4CCD"/>
    <w:rsid w:val="009C516C"/>
    <w:rsid w:val="009C5762"/>
    <w:rsid w:val="009C5C69"/>
    <w:rsid w:val="009C60E4"/>
    <w:rsid w:val="009C60F8"/>
    <w:rsid w:val="009C6AFD"/>
    <w:rsid w:val="009C7501"/>
    <w:rsid w:val="009C7D05"/>
    <w:rsid w:val="009C7FEB"/>
    <w:rsid w:val="009D00DD"/>
    <w:rsid w:val="009D0B18"/>
    <w:rsid w:val="009D2080"/>
    <w:rsid w:val="009D2D27"/>
    <w:rsid w:val="009D2DB1"/>
    <w:rsid w:val="009D2DC1"/>
    <w:rsid w:val="009D2F9E"/>
    <w:rsid w:val="009D35FF"/>
    <w:rsid w:val="009D3EC4"/>
    <w:rsid w:val="009D4361"/>
    <w:rsid w:val="009D5340"/>
    <w:rsid w:val="009D5B0D"/>
    <w:rsid w:val="009D5C73"/>
    <w:rsid w:val="009D5D5B"/>
    <w:rsid w:val="009D7075"/>
    <w:rsid w:val="009D7794"/>
    <w:rsid w:val="009E0077"/>
    <w:rsid w:val="009E04AE"/>
    <w:rsid w:val="009E11F2"/>
    <w:rsid w:val="009E1634"/>
    <w:rsid w:val="009E19CE"/>
    <w:rsid w:val="009E21D9"/>
    <w:rsid w:val="009E3026"/>
    <w:rsid w:val="009E420E"/>
    <w:rsid w:val="009E4929"/>
    <w:rsid w:val="009E4A3C"/>
    <w:rsid w:val="009E563D"/>
    <w:rsid w:val="009E661F"/>
    <w:rsid w:val="009E66F1"/>
    <w:rsid w:val="009E6D69"/>
    <w:rsid w:val="009E73BD"/>
    <w:rsid w:val="009E7F6F"/>
    <w:rsid w:val="009F0836"/>
    <w:rsid w:val="009F1467"/>
    <w:rsid w:val="009F153F"/>
    <w:rsid w:val="009F2600"/>
    <w:rsid w:val="009F2A09"/>
    <w:rsid w:val="009F3832"/>
    <w:rsid w:val="009F45F7"/>
    <w:rsid w:val="009F4984"/>
    <w:rsid w:val="009F5247"/>
    <w:rsid w:val="009F62A0"/>
    <w:rsid w:val="009F7063"/>
    <w:rsid w:val="009F722C"/>
    <w:rsid w:val="009F75AE"/>
    <w:rsid w:val="00A007EB"/>
    <w:rsid w:val="00A00C69"/>
    <w:rsid w:val="00A00E3A"/>
    <w:rsid w:val="00A0137A"/>
    <w:rsid w:val="00A0201D"/>
    <w:rsid w:val="00A02074"/>
    <w:rsid w:val="00A02C82"/>
    <w:rsid w:val="00A03D7F"/>
    <w:rsid w:val="00A03F6B"/>
    <w:rsid w:val="00A05125"/>
    <w:rsid w:val="00A051AF"/>
    <w:rsid w:val="00A05553"/>
    <w:rsid w:val="00A05FB1"/>
    <w:rsid w:val="00A06530"/>
    <w:rsid w:val="00A06741"/>
    <w:rsid w:val="00A07AD9"/>
    <w:rsid w:val="00A07BC4"/>
    <w:rsid w:val="00A10747"/>
    <w:rsid w:val="00A10A2D"/>
    <w:rsid w:val="00A11210"/>
    <w:rsid w:val="00A12355"/>
    <w:rsid w:val="00A12545"/>
    <w:rsid w:val="00A12CBB"/>
    <w:rsid w:val="00A13B99"/>
    <w:rsid w:val="00A14517"/>
    <w:rsid w:val="00A1509B"/>
    <w:rsid w:val="00A15151"/>
    <w:rsid w:val="00A15568"/>
    <w:rsid w:val="00A15740"/>
    <w:rsid w:val="00A15843"/>
    <w:rsid w:val="00A15E29"/>
    <w:rsid w:val="00A174CA"/>
    <w:rsid w:val="00A177F2"/>
    <w:rsid w:val="00A17E8B"/>
    <w:rsid w:val="00A202FB"/>
    <w:rsid w:val="00A207A8"/>
    <w:rsid w:val="00A2086B"/>
    <w:rsid w:val="00A20C24"/>
    <w:rsid w:val="00A2169B"/>
    <w:rsid w:val="00A21788"/>
    <w:rsid w:val="00A219D8"/>
    <w:rsid w:val="00A21B40"/>
    <w:rsid w:val="00A21E6E"/>
    <w:rsid w:val="00A223D0"/>
    <w:rsid w:val="00A22E88"/>
    <w:rsid w:val="00A22FCC"/>
    <w:rsid w:val="00A23562"/>
    <w:rsid w:val="00A23585"/>
    <w:rsid w:val="00A243B7"/>
    <w:rsid w:val="00A247FA"/>
    <w:rsid w:val="00A24955"/>
    <w:rsid w:val="00A253C3"/>
    <w:rsid w:val="00A25F0D"/>
    <w:rsid w:val="00A26260"/>
    <w:rsid w:val="00A2640E"/>
    <w:rsid w:val="00A27246"/>
    <w:rsid w:val="00A278B5"/>
    <w:rsid w:val="00A27C5E"/>
    <w:rsid w:val="00A27E99"/>
    <w:rsid w:val="00A30D9B"/>
    <w:rsid w:val="00A31367"/>
    <w:rsid w:val="00A3149E"/>
    <w:rsid w:val="00A316F5"/>
    <w:rsid w:val="00A317EF"/>
    <w:rsid w:val="00A32397"/>
    <w:rsid w:val="00A336C1"/>
    <w:rsid w:val="00A33B6A"/>
    <w:rsid w:val="00A33FD6"/>
    <w:rsid w:val="00A34519"/>
    <w:rsid w:val="00A345F0"/>
    <w:rsid w:val="00A34D42"/>
    <w:rsid w:val="00A34D9A"/>
    <w:rsid w:val="00A357D1"/>
    <w:rsid w:val="00A35D6F"/>
    <w:rsid w:val="00A3610C"/>
    <w:rsid w:val="00A3646C"/>
    <w:rsid w:val="00A368DE"/>
    <w:rsid w:val="00A36B28"/>
    <w:rsid w:val="00A36B64"/>
    <w:rsid w:val="00A36DF6"/>
    <w:rsid w:val="00A36EC5"/>
    <w:rsid w:val="00A373D9"/>
    <w:rsid w:val="00A37C7A"/>
    <w:rsid w:val="00A40052"/>
    <w:rsid w:val="00A4054C"/>
    <w:rsid w:val="00A405BA"/>
    <w:rsid w:val="00A40980"/>
    <w:rsid w:val="00A4106B"/>
    <w:rsid w:val="00A4131F"/>
    <w:rsid w:val="00A41BF1"/>
    <w:rsid w:val="00A41CB5"/>
    <w:rsid w:val="00A42D26"/>
    <w:rsid w:val="00A42F18"/>
    <w:rsid w:val="00A43577"/>
    <w:rsid w:val="00A43D25"/>
    <w:rsid w:val="00A44140"/>
    <w:rsid w:val="00A4444F"/>
    <w:rsid w:val="00A44B21"/>
    <w:rsid w:val="00A44C1D"/>
    <w:rsid w:val="00A44E4C"/>
    <w:rsid w:val="00A4542F"/>
    <w:rsid w:val="00A46575"/>
    <w:rsid w:val="00A467C7"/>
    <w:rsid w:val="00A471CE"/>
    <w:rsid w:val="00A4757A"/>
    <w:rsid w:val="00A47691"/>
    <w:rsid w:val="00A500FA"/>
    <w:rsid w:val="00A50B1A"/>
    <w:rsid w:val="00A50C38"/>
    <w:rsid w:val="00A5129B"/>
    <w:rsid w:val="00A5175C"/>
    <w:rsid w:val="00A51A68"/>
    <w:rsid w:val="00A51E1B"/>
    <w:rsid w:val="00A525CC"/>
    <w:rsid w:val="00A5262A"/>
    <w:rsid w:val="00A52A1D"/>
    <w:rsid w:val="00A52D73"/>
    <w:rsid w:val="00A531BD"/>
    <w:rsid w:val="00A5356E"/>
    <w:rsid w:val="00A53B8E"/>
    <w:rsid w:val="00A53BC5"/>
    <w:rsid w:val="00A53BE8"/>
    <w:rsid w:val="00A5434D"/>
    <w:rsid w:val="00A545DD"/>
    <w:rsid w:val="00A54636"/>
    <w:rsid w:val="00A546D6"/>
    <w:rsid w:val="00A54DFA"/>
    <w:rsid w:val="00A5549B"/>
    <w:rsid w:val="00A5586D"/>
    <w:rsid w:val="00A55B28"/>
    <w:rsid w:val="00A55BE5"/>
    <w:rsid w:val="00A55CCC"/>
    <w:rsid w:val="00A55D47"/>
    <w:rsid w:val="00A56055"/>
    <w:rsid w:val="00A567B9"/>
    <w:rsid w:val="00A568B1"/>
    <w:rsid w:val="00A56C94"/>
    <w:rsid w:val="00A56F08"/>
    <w:rsid w:val="00A56F5A"/>
    <w:rsid w:val="00A57BC2"/>
    <w:rsid w:val="00A61316"/>
    <w:rsid w:val="00A61CCB"/>
    <w:rsid w:val="00A623C4"/>
    <w:rsid w:val="00A6282F"/>
    <w:rsid w:val="00A62D59"/>
    <w:rsid w:val="00A6462E"/>
    <w:rsid w:val="00A6503A"/>
    <w:rsid w:val="00A65363"/>
    <w:rsid w:val="00A65860"/>
    <w:rsid w:val="00A65939"/>
    <w:rsid w:val="00A66233"/>
    <w:rsid w:val="00A66E95"/>
    <w:rsid w:val="00A6732E"/>
    <w:rsid w:val="00A67FBD"/>
    <w:rsid w:val="00A70451"/>
    <w:rsid w:val="00A70937"/>
    <w:rsid w:val="00A7093F"/>
    <w:rsid w:val="00A70D31"/>
    <w:rsid w:val="00A710CD"/>
    <w:rsid w:val="00A71841"/>
    <w:rsid w:val="00A71BE6"/>
    <w:rsid w:val="00A71E99"/>
    <w:rsid w:val="00A720C8"/>
    <w:rsid w:val="00A72645"/>
    <w:rsid w:val="00A7295E"/>
    <w:rsid w:val="00A7299C"/>
    <w:rsid w:val="00A72C82"/>
    <w:rsid w:val="00A7306F"/>
    <w:rsid w:val="00A7343A"/>
    <w:rsid w:val="00A7378E"/>
    <w:rsid w:val="00A73B7C"/>
    <w:rsid w:val="00A74B9D"/>
    <w:rsid w:val="00A756B6"/>
    <w:rsid w:val="00A7575F"/>
    <w:rsid w:val="00A758EA"/>
    <w:rsid w:val="00A75970"/>
    <w:rsid w:val="00A75B48"/>
    <w:rsid w:val="00A76547"/>
    <w:rsid w:val="00A766EA"/>
    <w:rsid w:val="00A768A6"/>
    <w:rsid w:val="00A76AB1"/>
    <w:rsid w:val="00A7735F"/>
    <w:rsid w:val="00A77615"/>
    <w:rsid w:val="00A779B6"/>
    <w:rsid w:val="00A77CA3"/>
    <w:rsid w:val="00A77D8C"/>
    <w:rsid w:val="00A802BF"/>
    <w:rsid w:val="00A81197"/>
    <w:rsid w:val="00A81C7B"/>
    <w:rsid w:val="00A81ECD"/>
    <w:rsid w:val="00A8210E"/>
    <w:rsid w:val="00A82899"/>
    <w:rsid w:val="00A82AF3"/>
    <w:rsid w:val="00A82E43"/>
    <w:rsid w:val="00A83D4B"/>
    <w:rsid w:val="00A83DD1"/>
    <w:rsid w:val="00A8446A"/>
    <w:rsid w:val="00A84975"/>
    <w:rsid w:val="00A84C8E"/>
    <w:rsid w:val="00A84D0A"/>
    <w:rsid w:val="00A854B2"/>
    <w:rsid w:val="00A8558E"/>
    <w:rsid w:val="00A85694"/>
    <w:rsid w:val="00A8667C"/>
    <w:rsid w:val="00A8673C"/>
    <w:rsid w:val="00A8779F"/>
    <w:rsid w:val="00A91506"/>
    <w:rsid w:val="00A9200A"/>
    <w:rsid w:val="00A920D2"/>
    <w:rsid w:val="00A92D35"/>
    <w:rsid w:val="00A92DAB"/>
    <w:rsid w:val="00A931BA"/>
    <w:rsid w:val="00A93B09"/>
    <w:rsid w:val="00A9435A"/>
    <w:rsid w:val="00A94837"/>
    <w:rsid w:val="00A948C8"/>
    <w:rsid w:val="00A95982"/>
    <w:rsid w:val="00A9599E"/>
    <w:rsid w:val="00A960DC"/>
    <w:rsid w:val="00A96426"/>
    <w:rsid w:val="00A968DD"/>
    <w:rsid w:val="00A96CC0"/>
    <w:rsid w:val="00A96E01"/>
    <w:rsid w:val="00A973A2"/>
    <w:rsid w:val="00A979C1"/>
    <w:rsid w:val="00AA1571"/>
    <w:rsid w:val="00AA1701"/>
    <w:rsid w:val="00AA1C56"/>
    <w:rsid w:val="00AA1D31"/>
    <w:rsid w:val="00AA1EC0"/>
    <w:rsid w:val="00AA2107"/>
    <w:rsid w:val="00AA2A20"/>
    <w:rsid w:val="00AA2BE2"/>
    <w:rsid w:val="00AA305E"/>
    <w:rsid w:val="00AA3FFE"/>
    <w:rsid w:val="00AA40DA"/>
    <w:rsid w:val="00AA41D6"/>
    <w:rsid w:val="00AA44B8"/>
    <w:rsid w:val="00AA4DBA"/>
    <w:rsid w:val="00AA51FE"/>
    <w:rsid w:val="00AA53A0"/>
    <w:rsid w:val="00AA59F6"/>
    <w:rsid w:val="00AA61BA"/>
    <w:rsid w:val="00AA723D"/>
    <w:rsid w:val="00AA77BC"/>
    <w:rsid w:val="00AA7992"/>
    <w:rsid w:val="00AB0A01"/>
    <w:rsid w:val="00AB0B83"/>
    <w:rsid w:val="00AB2E3C"/>
    <w:rsid w:val="00AB3081"/>
    <w:rsid w:val="00AB35ED"/>
    <w:rsid w:val="00AB3C80"/>
    <w:rsid w:val="00AB3F27"/>
    <w:rsid w:val="00AB43E8"/>
    <w:rsid w:val="00AB4C11"/>
    <w:rsid w:val="00AB4C5D"/>
    <w:rsid w:val="00AB4D22"/>
    <w:rsid w:val="00AB5516"/>
    <w:rsid w:val="00AB5872"/>
    <w:rsid w:val="00AB593F"/>
    <w:rsid w:val="00AB7743"/>
    <w:rsid w:val="00AB7A4E"/>
    <w:rsid w:val="00AB7CE4"/>
    <w:rsid w:val="00AB7CF3"/>
    <w:rsid w:val="00AC01A7"/>
    <w:rsid w:val="00AC0AFD"/>
    <w:rsid w:val="00AC207A"/>
    <w:rsid w:val="00AC272C"/>
    <w:rsid w:val="00AC290A"/>
    <w:rsid w:val="00AC32ED"/>
    <w:rsid w:val="00AC4377"/>
    <w:rsid w:val="00AC438F"/>
    <w:rsid w:val="00AC476D"/>
    <w:rsid w:val="00AC566E"/>
    <w:rsid w:val="00AC5CDD"/>
    <w:rsid w:val="00AC62C8"/>
    <w:rsid w:val="00AC66EC"/>
    <w:rsid w:val="00AC6958"/>
    <w:rsid w:val="00AC726C"/>
    <w:rsid w:val="00AC76BC"/>
    <w:rsid w:val="00AC780D"/>
    <w:rsid w:val="00AC7931"/>
    <w:rsid w:val="00AC7D11"/>
    <w:rsid w:val="00AD009B"/>
    <w:rsid w:val="00AD031E"/>
    <w:rsid w:val="00AD0EDF"/>
    <w:rsid w:val="00AD2019"/>
    <w:rsid w:val="00AD3221"/>
    <w:rsid w:val="00AD3284"/>
    <w:rsid w:val="00AD37F7"/>
    <w:rsid w:val="00AD3C62"/>
    <w:rsid w:val="00AD3E3D"/>
    <w:rsid w:val="00AD402F"/>
    <w:rsid w:val="00AD441E"/>
    <w:rsid w:val="00AD4B4C"/>
    <w:rsid w:val="00AD53D7"/>
    <w:rsid w:val="00AD56B6"/>
    <w:rsid w:val="00AD6012"/>
    <w:rsid w:val="00AD6116"/>
    <w:rsid w:val="00AD70C5"/>
    <w:rsid w:val="00AE079D"/>
    <w:rsid w:val="00AE0DD2"/>
    <w:rsid w:val="00AE1104"/>
    <w:rsid w:val="00AE1CFD"/>
    <w:rsid w:val="00AE1F4A"/>
    <w:rsid w:val="00AE216C"/>
    <w:rsid w:val="00AE23E8"/>
    <w:rsid w:val="00AE2D59"/>
    <w:rsid w:val="00AE2DE7"/>
    <w:rsid w:val="00AE2F90"/>
    <w:rsid w:val="00AE3017"/>
    <w:rsid w:val="00AE3539"/>
    <w:rsid w:val="00AE5248"/>
    <w:rsid w:val="00AE5567"/>
    <w:rsid w:val="00AE5E5C"/>
    <w:rsid w:val="00AE6F05"/>
    <w:rsid w:val="00AE7510"/>
    <w:rsid w:val="00AE76FF"/>
    <w:rsid w:val="00AE778F"/>
    <w:rsid w:val="00AE7958"/>
    <w:rsid w:val="00AE7ABC"/>
    <w:rsid w:val="00AE7E15"/>
    <w:rsid w:val="00AF00F0"/>
    <w:rsid w:val="00AF0226"/>
    <w:rsid w:val="00AF0530"/>
    <w:rsid w:val="00AF07EE"/>
    <w:rsid w:val="00AF0BF3"/>
    <w:rsid w:val="00AF0C3F"/>
    <w:rsid w:val="00AF0EBC"/>
    <w:rsid w:val="00AF1576"/>
    <w:rsid w:val="00AF23A8"/>
    <w:rsid w:val="00AF2479"/>
    <w:rsid w:val="00AF25CE"/>
    <w:rsid w:val="00AF27CD"/>
    <w:rsid w:val="00AF2F91"/>
    <w:rsid w:val="00AF39D1"/>
    <w:rsid w:val="00AF3B0F"/>
    <w:rsid w:val="00AF494C"/>
    <w:rsid w:val="00AF49B1"/>
    <w:rsid w:val="00AF4A63"/>
    <w:rsid w:val="00AF512A"/>
    <w:rsid w:val="00AF59E5"/>
    <w:rsid w:val="00AF629D"/>
    <w:rsid w:val="00AF656F"/>
    <w:rsid w:val="00AF6971"/>
    <w:rsid w:val="00AF7600"/>
    <w:rsid w:val="00B00DCC"/>
    <w:rsid w:val="00B0172C"/>
    <w:rsid w:val="00B018D5"/>
    <w:rsid w:val="00B01BF1"/>
    <w:rsid w:val="00B01D5F"/>
    <w:rsid w:val="00B030F3"/>
    <w:rsid w:val="00B03172"/>
    <w:rsid w:val="00B03361"/>
    <w:rsid w:val="00B03735"/>
    <w:rsid w:val="00B037E9"/>
    <w:rsid w:val="00B03D01"/>
    <w:rsid w:val="00B04D9C"/>
    <w:rsid w:val="00B05108"/>
    <w:rsid w:val="00B0545A"/>
    <w:rsid w:val="00B05759"/>
    <w:rsid w:val="00B069E9"/>
    <w:rsid w:val="00B07029"/>
    <w:rsid w:val="00B0749C"/>
    <w:rsid w:val="00B100BE"/>
    <w:rsid w:val="00B105EC"/>
    <w:rsid w:val="00B10AD0"/>
    <w:rsid w:val="00B10AF2"/>
    <w:rsid w:val="00B124DD"/>
    <w:rsid w:val="00B1278D"/>
    <w:rsid w:val="00B12D23"/>
    <w:rsid w:val="00B13430"/>
    <w:rsid w:val="00B13453"/>
    <w:rsid w:val="00B13ACF"/>
    <w:rsid w:val="00B14ABF"/>
    <w:rsid w:val="00B156D6"/>
    <w:rsid w:val="00B15F3B"/>
    <w:rsid w:val="00B161AB"/>
    <w:rsid w:val="00B16395"/>
    <w:rsid w:val="00B16AA8"/>
    <w:rsid w:val="00B16C73"/>
    <w:rsid w:val="00B17049"/>
    <w:rsid w:val="00B17F90"/>
    <w:rsid w:val="00B2101C"/>
    <w:rsid w:val="00B2121C"/>
    <w:rsid w:val="00B2121F"/>
    <w:rsid w:val="00B221D6"/>
    <w:rsid w:val="00B2266D"/>
    <w:rsid w:val="00B22751"/>
    <w:rsid w:val="00B2282D"/>
    <w:rsid w:val="00B22BD8"/>
    <w:rsid w:val="00B23079"/>
    <w:rsid w:val="00B24187"/>
    <w:rsid w:val="00B24A9B"/>
    <w:rsid w:val="00B24CDC"/>
    <w:rsid w:val="00B250B8"/>
    <w:rsid w:val="00B2523C"/>
    <w:rsid w:val="00B259D7"/>
    <w:rsid w:val="00B25CAD"/>
    <w:rsid w:val="00B25F77"/>
    <w:rsid w:val="00B26121"/>
    <w:rsid w:val="00B27194"/>
    <w:rsid w:val="00B3069F"/>
    <w:rsid w:val="00B30D31"/>
    <w:rsid w:val="00B3102D"/>
    <w:rsid w:val="00B31666"/>
    <w:rsid w:val="00B31C53"/>
    <w:rsid w:val="00B322B9"/>
    <w:rsid w:val="00B32714"/>
    <w:rsid w:val="00B32C3F"/>
    <w:rsid w:val="00B33453"/>
    <w:rsid w:val="00B33683"/>
    <w:rsid w:val="00B3376F"/>
    <w:rsid w:val="00B3420D"/>
    <w:rsid w:val="00B34B65"/>
    <w:rsid w:val="00B3514B"/>
    <w:rsid w:val="00B3581F"/>
    <w:rsid w:val="00B3597D"/>
    <w:rsid w:val="00B35F0F"/>
    <w:rsid w:val="00B3648B"/>
    <w:rsid w:val="00B37D76"/>
    <w:rsid w:val="00B40009"/>
    <w:rsid w:val="00B40BAE"/>
    <w:rsid w:val="00B40E1A"/>
    <w:rsid w:val="00B41381"/>
    <w:rsid w:val="00B416DE"/>
    <w:rsid w:val="00B42706"/>
    <w:rsid w:val="00B42A15"/>
    <w:rsid w:val="00B42F3A"/>
    <w:rsid w:val="00B432D6"/>
    <w:rsid w:val="00B45087"/>
    <w:rsid w:val="00B45156"/>
    <w:rsid w:val="00B45EA7"/>
    <w:rsid w:val="00B466CC"/>
    <w:rsid w:val="00B46C91"/>
    <w:rsid w:val="00B46DBF"/>
    <w:rsid w:val="00B47246"/>
    <w:rsid w:val="00B4739E"/>
    <w:rsid w:val="00B478FC"/>
    <w:rsid w:val="00B47DCB"/>
    <w:rsid w:val="00B47FF3"/>
    <w:rsid w:val="00B5075F"/>
    <w:rsid w:val="00B5076B"/>
    <w:rsid w:val="00B508B3"/>
    <w:rsid w:val="00B50BE3"/>
    <w:rsid w:val="00B51059"/>
    <w:rsid w:val="00B51232"/>
    <w:rsid w:val="00B512B1"/>
    <w:rsid w:val="00B51970"/>
    <w:rsid w:val="00B524AB"/>
    <w:rsid w:val="00B52F96"/>
    <w:rsid w:val="00B53795"/>
    <w:rsid w:val="00B54164"/>
    <w:rsid w:val="00B541EE"/>
    <w:rsid w:val="00B547CD"/>
    <w:rsid w:val="00B54EF3"/>
    <w:rsid w:val="00B552C5"/>
    <w:rsid w:val="00B5586D"/>
    <w:rsid w:val="00B55DEA"/>
    <w:rsid w:val="00B55E75"/>
    <w:rsid w:val="00B560E6"/>
    <w:rsid w:val="00B562DE"/>
    <w:rsid w:val="00B5643A"/>
    <w:rsid w:val="00B567ED"/>
    <w:rsid w:val="00B5708F"/>
    <w:rsid w:val="00B572B6"/>
    <w:rsid w:val="00B576D9"/>
    <w:rsid w:val="00B6256B"/>
    <w:rsid w:val="00B6284F"/>
    <w:rsid w:val="00B629D3"/>
    <w:rsid w:val="00B63E0E"/>
    <w:rsid w:val="00B640B0"/>
    <w:rsid w:val="00B64279"/>
    <w:rsid w:val="00B6449D"/>
    <w:rsid w:val="00B64587"/>
    <w:rsid w:val="00B6478D"/>
    <w:rsid w:val="00B64859"/>
    <w:rsid w:val="00B64A3F"/>
    <w:rsid w:val="00B64B10"/>
    <w:rsid w:val="00B65968"/>
    <w:rsid w:val="00B65F49"/>
    <w:rsid w:val="00B6639C"/>
    <w:rsid w:val="00B66655"/>
    <w:rsid w:val="00B666AC"/>
    <w:rsid w:val="00B6679A"/>
    <w:rsid w:val="00B67139"/>
    <w:rsid w:val="00B70146"/>
    <w:rsid w:val="00B704E9"/>
    <w:rsid w:val="00B709C0"/>
    <w:rsid w:val="00B70E34"/>
    <w:rsid w:val="00B70FA3"/>
    <w:rsid w:val="00B714DB"/>
    <w:rsid w:val="00B7222D"/>
    <w:rsid w:val="00B73453"/>
    <w:rsid w:val="00B73666"/>
    <w:rsid w:val="00B73AD9"/>
    <w:rsid w:val="00B73C42"/>
    <w:rsid w:val="00B73C8E"/>
    <w:rsid w:val="00B73FBC"/>
    <w:rsid w:val="00B7474A"/>
    <w:rsid w:val="00B7516D"/>
    <w:rsid w:val="00B75258"/>
    <w:rsid w:val="00B75A14"/>
    <w:rsid w:val="00B76F18"/>
    <w:rsid w:val="00B777A1"/>
    <w:rsid w:val="00B778A3"/>
    <w:rsid w:val="00B77A84"/>
    <w:rsid w:val="00B77D02"/>
    <w:rsid w:val="00B80E21"/>
    <w:rsid w:val="00B8164B"/>
    <w:rsid w:val="00B820C8"/>
    <w:rsid w:val="00B82141"/>
    <w:rsid w:val="00B823E0"/>
    <w:rsid w:val="00B82F9F"/>
    <w:rsid w:val="00B8315A"/>
    <w:rsid w:val="00B83A6F"/>
    <w:rsid w:val="00B84C7A"/>
    <w:rsid w:val="00B84EE9"/>
    <w:rsid w:val="00B853A6"/>
    <w:rsid w:val="00B85843"/>
    <w:rsid w:val="00B86290"/>
    <w:rsid w:val="00B8638C"/>
    <w:rsid w:val="00B86CAD"/>
    <w:rsid w:val="00B86F82"/>
    <w:rsid w:val="00B871A1"/>
    <w:rsid w:val="00B8764E"/>
    <w:rsid w:val="00B878FD"/>
    <w:rsid w:val="00B91C19"/>
    <w:rsid w:val="00B92283"/>
    <w:rsid w:val="00B92B62"/>
    <w:rsid w:val="00B92E22"/>
    <w:rsid w:val="00B9340C"/>
    <w:rsid w:val="00B93BC8"/>
    <w:rsid w:val="00B941DF"/>
    <w:rsid w:val="00B94855"/>
    <w:rsid w:val="00B94AE4"/>
    <w:rsid w:val="00B95032"/>
    <w:rsid w:val="00B954B3"/>
    <w:rsid w:val="00B95B6C"/>
    <w:rsid w:val="00B96173"/>
    <w:rsid w:val="00B9625B"/>
    <w:rsid w:val="00B964CE"/>
    <w:rsid w:val="00B96CDE"/>
    <w:rsid w:val="00B97361"/>
    <w:rsid w:val="00B97613"/>
    <w:rsid w:val="00B97631"/>
    <w:rsid w:val="00B97EE4"/>
    <w:rsid w:val="00BA0484"/>
    <w:rsid w:val="00BA0806"/>
    <w:rsid w:val="00BA0866"/>
    <w:rsid w:val="00BA095C"/>
    <w:rsid w:val="00BA1290"/>
    <w:rsid w:val="00BA1B9A"/>
    <w:rsid w:val="00BA1F49"/>
    <w:rsid w:val="00BA24BF"/>
    <w:rsid w:val="00BA2EAF"/>
    <w:rsid w:val="00BA391F"/>
    <w:rsid w:val="00BA3D18"/>
    <w:rsid w:val="00BA3EBB"/>
    <w:rsid w:val="00BA3F7D"/>
    <w:rsid w:val="00BA4663"/>
    <w:rsid w:val="00BA4B03"/>
    <w:rsid w:val="00BA4F0C"/>
    <w:rsid w:val="00BA6126"/>
    <w:rsid w:val="00BA6688"/>
    <w:rsid w:val="00BA6774"/>
    <w:rsid w:val="00BA732C"/>
    <w:rsid w:val="00BA740E"/>
    <w:rsid w:val="00BA75CA"/>
    <w:rsid w:val="00BA7944"/>
    <w:rsid w:val="00BA7DDE"/>
    <w:rsid w:val="00BB0152"/>
    <w:rsid w:val="00BB0BD2"/>
    <w:rsid w:val="00BB0CB7"/>
    <w:rsid w:val="00BB10D9"/>
    <w:rsid w:val="00BB1809"/>
    <w:rsid w:val="00BB197C"/>
    <w:rsid w:val="00BB1EB7"/>
    <w:rsid w:val="00BB26F1"/>
    <w:rsid w:val="00BB2FEC"/>
    <w:rsid w:val="00BB30D7"/>
    <w:rsid w:val="00BB3510"/>
    <w:rsid w:val="00BB39B6"/>
    <w:rsid w:val="00BB42B5"/>
    <w:rsid w:val="00BB4935"/>
    <w:rsid w:val="00BB4A88"/>
    <w:rsid w:val="00BB56D1"/>
    <w:rsid w:val="00BB5B7C"/>
    <w:rsid w:val="00BB5E5A"/>
    <w:rsid w:val="00BB5ECF"/>
    <w:rsid w:val="00BB651B"/>
    <w:rsid w:val="00BB6CA7"/>
    <w:rsid w:val="00BB7136"/>
    <w:rsid w:val="00BC014D"/>
    <w:rsid w:val="00BC02BC"/>
    <w:rsid w:val="00BC0A0C"/>
    <w:rsid w:val="00BC10C8"/>
    <w:rsid w:val="00BC1281"/>
    <w:rsid w:val="00BC1619"/>
    <w:rsid w:val="00BC21B0"/>
    <w:rsid w:val="00BC303F"/>
    <w:rsid w:val="00BC3728"/>
    <w:rsid w:val="00BC38F7"/>
    <w:rsid w:val="00BC3A7E"/>
    <w:rsid w:val="00BC45A8"/>
    <w:rsid w:val="00BC4CCB"/>
    <w:rsid w:val="00BC5012"/>
    <w:rsid w:val="00BC5059"/>
    <w:rsid w:val="00BC5444"/>
    <w:rsid w:val="00BC60E1"/>
    <w:rsid w:val="00BC6B47"/>
    <w:rsid w:val="00BC7552"/>
    <w:rsid w:val="00BC7919"/>
    <w:rsid w:val="00BD00B8"/>
    <w:rsid w:val="00BD0234"/>
    <w:rsid w:val="00BD04FA"/>
    <w:rsid w:val="00BD0701"/>
    <w:rsid w:val="00BD0E2F"/>
    <w:rsid w:val="00BD13CE"/>
    <w:rsid w:val="00BD1609"/>
    <w:rsid w:val="00BD25DF"/>
    <w:rsid w:val="00BD2834"/>
    <w:rsid w:val="00BD2F7C"/>
    <w:rsid w:val="00BD350F"/>
    <w:rsid w:val="00BD39B3"/>
    <w:rsid w:val="00BD3BE6"/>
    <w:rsid w:val="00BD3C04"/>
    <w:rsid w:val="00BD4BB0"/>
    <w:rsid w:val="00BD4CF5"/>
    <w:rsid w:val="00BD5611"/>
    <w:rsid w:val="00BD57DC"/>
    <w:rsid w:val="00BD69CE"/>
    <w:rsid w:val="00BD6B14"/>
    <w:rsid w:val="00BD6B1F"/>
    <w:rsid w:val="00BD723B"/>
    <w:rsid w:val="00BD76FE"/>
    <w:rsid w:val="00BD77B7"/>
    <w:rsid w:val="00BD7A9D"/>
    <w:rsid w:val="00BE1C68"/>
    <w:rsid w:val="00BE2016"/>
    <w:rsid w:val="00BE2425"/>
    <w:rsid w:val="00BE25C1"/>
    <w:rsid w:val="00BE2E16"/>
    <w:rsid w:val="00BE2E70"/>
    <w:rsid w:val="00BE302A"/>
    <w:rsid w:val="00BE30FD"/>
    <w:rsid w:val="00BE3127"/>
    <w:rsid w:val="00BE36FC"/>
    <w:rsid w:val="00BE3FB0"/>
    <w:rsid w:val="00BE4A22"/>
    <w:rsid w:val="00BE4CD2"/>
    <w:rsid w:val="00BE527A"/>
    <w:rsid w:val="00BE54F6"/>
    <w:rsid w:val="00BE569A"/>
    <w:rsid w:val="00BE57F9"/>
    <w:rsid w:val="00BE5B8C"/>
    <w:rsid w:val="00BE62C7"/>
    <w:rsid w:val="00BE7E2A"/>
    <w:rsid w:val="00BE7E8C"/>
    <w:rsid w:val="00BF0126"/>
    <w:rsid w:val="00BF0130"/>
    <w:rsid w:val="00BF10A5"/>
    <w:rsid w:val="00BF1452"/>
    <w:rsid w:val="00BF1658"/>
    <w:rsid w:val="00BF1FED"/>
    <w:rsid w:val="00BF2C4D"/>
    <w:rsid w:val="00BF3388"/>
    <w:rsid w:val="00BF34CB"/>
    <w:rsid w:val="00BF3611"/>
    <w:rsid w:val="00BF38D4"/>
    <w:rsid w:val="00BF3A57"/>
    <w:rsid w:val="00BF3F4F"/>
    <w:rsid w:val="00BF4E0B"/>
    <w:rsid w:val="00BF4E0E"/>
    <w:rsid w:val="00BF5544"/>
    <w:rsid w:val="00BF5A1C"/>
    <w:rsid w:val="00BF619A"/>
    <w:rsid w:val="00BF6A19"/>
    <w:rsid w:val="00BF754B"/>
    <w:rsid w:val="00C015F0"/>
    <w:rsid w:val="00C016BC"/>
    <w:rsid w:val="00C01B23"/>
    <w:rsid w:val="00C025C4"/>
    <w:rsid w:val="00C02CEA"/>
    <w:rsid w:val="00C030A8"/>
    <w:rsid w:val="00C04211"/>
    <w:rsid w:val="00C049CB"/>
    <w:rsid w:val="00C04D73"/>
    <w:rsid w:val="00C04F32"/>
    <w:rsid w:val="00C05C97"/>
    <w:rsid w:val="00C05D2F"/>
    <w:rsid w:val="00C0696A"/>
    <w:rsid w:val="00C06E64"/>
    <w:rsid w:val="00C06F0F"/>
    <w:rsid w:val="00C070D1"/>
    <w:rsid w:val="00C077E2"/>
    <w:rsid w:val="00C07EEF"/>
    <w:rsid w:val="00C07FAC"/>
    <w:rsid w:val="00C109B0"/>
    <w:rsid w:val="00C10E40"/>
    <w:rsid w:val="00C11520"/>
    <w:rsid w:val="00C11C64"/>
    <w:rsid w:val="00C120BF"/>
    <w:rsid w:val="00C127C7"/>
    <w:rsid w:val="00C127C8"/>
    <w:rsid w:val="00C12E6C"/>
    <w:rsid w:val="00C13186"/>
    <w:rsid w:val="00C13A54"/>
    <w:rsid w:val="00C13DB9"/>
    <w:rsid w:val="00C13E98"/>
    <w:rsid w:val="00C1402E"/>
    <w:rsid w:val="00C1459D"/>
    <w:rsid w:val="00C14A88"/>
    <w:rsid w:val="00C16717"/>
    <w:rsid w:val="00C16B0C"/>
    <w:rsid w:val="00C16E69"/>
    <w:rsid w:val="00C16FF5"/>
    <w:rsid w:val="00C1710C"/>
    <w:rsid w:val="00C17B32"/>
    <w:rsid w:val="00C17BD0"/>
    <w:rsid w:val="00C206E9"/>
    <w:rsid w:val="00C2070B"/>
    <w:rsid w:val="00C207BC"/>
    <w:rsid w:val="00C20DAD"/>
    <w:rsid w:val="00C21318"/>
    <w:rsid w:val="00C21407"/>
    <w:rsid w:val="00C21999"/>
    <w:rsid w:val="00C22277"/>
    <w:rsid w:val="00C2252F"/>
    <w:rsid w:val="00C227F4"/>
    <w:rsid w:val="00C22D3A"/>
    <w:rsid w:val="00C22E5A"/>
    <w:rsid w:val="00C23644"/>
    <w:rsid w:val="00C23A01"/>
    <w:rsid w:val="00C240B9"/>
    <w:rsid w:val="00C244E0"/>
    <w:rsid w:val="00C24A04"/>
    <w:rsid w:val="00C24F0A"/>
    <w:rsid w:val="00C2519F"/>
    <w:rsid w:val="00C254AD"/>
    <w:rsid w:val="00C26B50"/>
    <w:rsid w:val="00C26EC4"/>
    <w:rsid w:val="00C276EF"/>
    <w:rsid w:val="00C30058"/>
    <w:rsid w:val="00C30D5B"/>
    <w:rsid w:val="00C311B5"/>
    <w:rsid w:val="00C31477"/>
    <w:rsid w:val="00C32129"/>
    <w:rsid w:val="00C32A19"/>
    <w:rsid w:val="00C3405A"/>
    <w:rsid w:val="00C3468E"/>
    <w:rsid w:val="00C347B4"/>
    <w:rsid w:val="00C353B4"/>
    <w:rsid w:val="00C35470"/>
    <w:rsid w:val="00C35A10"/>
    <w:rsid w:val="00C36256"/>
    <w:rsid w:val="00C36907"/>
    <w:rsid w:val="00C36B12"/>
    <w:rsid w:val="00C36BDA"/>
    <w:rsid w:val="00C374FB"/>
    <w:rsid w:val="00C37509"/>
    <w:rsid w:val="00C37771"/>
    <w:rsid w:val="00C37ECA"/>
    <w:rsid w:val="00C40722"/>
    <w:rsid w:val="00C411F4"/>
    <w:rsid w:val="00C4126C"/>
    <w:rsid w:val="00C419C7"/>
    <w:rsid w:val="00C4239F"/>
    <w:rsid w:val="00C42C22"/>
    <w:rsid w:val="00C43577"/>
    <w:rsid w:val="00C43865"/>
    <w:rsid w:val="00C44315"/>
    <w:rsid w:val="00C44912"/>
    <w:rsid w:val="00C44E37"/>
    <w:rsid w:val="00C44F15"/>
    <w:rsid w:val="00C452BA"/>
    <w:rsid w:val="00C46CF6"/>
    <w:rsid w:val="00C4733F"/>
    <w:rsid w:val="00C4781C"/>
    <w:rsid w:val="00C5084F"/>
    <w:rsid w:val="00C50A35"/>
    <w:rsid w:val="00C50C3C"/>
    <w:rsid w:val="00C51028"/>
    <w:rsid w:val="00C51A57"/>
    <w:rsid w:val="00C51BB9"/>
    <w:rsid w:val="00C520D4"/>
    <w:rsid w:val="00C5251F"/>
    <w:rsid w:val="00C527A5"/>
    <w:rsid w:val="00C52DD7"/>
    <w:rsid w:val="00C52DE7"/>
    <w:rsid w:val="00C53E34"/>
    <w:rsid w:val="00C542BB"/>
    <w:rsid w:val="00C5492B"/>
    <w:rsid w:val="00C55762"/>
    <w:rsid w:val="00C55E88"/>
    <w:rsid w:val="00C565DD"/>
    <w:rsid w:val="00C5693A"/>
    <w:rsid w:val="00C57D52"/>
    <w:rsid w:val="00C60232"/>
    <w:rsid w:val="00C60852"/>
    <w:rsid w:val="00C60C90"/>
    <w:rsid w:val="00C60CBE"/>
    <w:rsid w:val="00C60D23"/>
    <w:rsid w:val="00C611C0"/>
    <w:rsid w:val="00C6178B"/>
    <w:rsid w:val="00C61840"/>
    <w:rsid w:val="00C61B4D"/>
    <w:rsid w:val="00C61C27"/>
    <w:rsid w:val="00C621E3"/>
    <w:rsid w:val="00C62F44"/>
    <w:rsid w:val="00C6318C"/>
    <w:rsid w:val="00C63325"/>
    <w:rsid w:val="00C633DE"/>
    <w:rsid w:val="00C63A23"/>
    <w:rsid w:val="00C646B6"/>
    <w:rsid w:val="00C64B92"/>
    <w:rsid w:val="00C64E9F"/>
    <w:rsid w:val="00C6509D"/>
    <w:rsid w:val="00C65796"/>
    <w:rsid w:val="00C65C4D"/>
    <w:rsid w:val="00C664F3"/>
    <w:rsid w:val="00C67AA9"/>
    <w:rsid w:val="00C67CCB"/>
    <w:rsid w:val="00C67D3D"/>
    <w:rsid w:val="00C70466"/>
    <w:rsid w:val="00C70819"/>
    <w:rsid w:val="00C71CAF"/>
    <w:rsid w:val="00C7247A"/>
    <w:rsid w:val="00C7247B"/>
    <w:rsid w:val="00C726FA"/>
    <w:rsid w:val="00C7319C"/>
    <w:rsid w:val="00C7430A"/>
    <w:rsid w:val="00C74EE3"/>
    <w:rsid w:val="00C75CAA"/>
    <w:rsid w:val="00C762B4"/>
    <w:rsid w:val="00C768BE"/>
    <w:rsid w:val="00C76F33"/>
    <w:rsid w:val="00C77282"/>
    <w:rsid w:val="00C777DB"/>
    <w:rsid w:val="00C77A54"/>
    <w:rsid w:val="00C77C33"/>
    <w:rsid w:val="00C802F5"/>
    <w:rsid w:val="00C80E53"/>
    <w:rsid w:val="00C81442"/>
    <w:rsid w:val="00C815A5"/>
    <w:rsid w:val="00C815B3"/>
    <w:rsid w:val="00C816F3"/>
    <w:rsid w:val="00C81C17"/>
    <w:rsid w:val="00C82667"/>
    <w:rsid w:val="00C82B04"/>
    <w:rsid w:val="00C82BC4"/>
    <w:rsid w:val="00C82DA2"/>
    <w:rsid w:val="00C834AF"/>
    <w:rsid w:val="00C837F0"/>
    <w:rsid w:val="00C83AD1"/>
    <w:rsid w:val="00C83E72"/>
    <w:rsid w:val="00C84034"/>
    <w:rsid w:val="00C849B1"/>
    <w:rsid w:val="00C84F07"/>
    <w:rsid w:val="00C850FA"/>
    <w:rsid w:val="00C85E38"/>
    <w:rsid w:val="00C8605A"/>
    <w:rsid w:val="00C86322"/>
    <w:rsid w:val="00C8738F"/>
    <w:rsid w:val="00C8763D"/>
    <w:rsid w:val="00C87F55"/>
    <w:rsid w:val="00C9007D"/>
    <w:rsid w:val="00C906A7"/>
    <w:rsid w:val="00C90733"/>
    <w:rsid w:val="00C913E6"/>
    <w:rsid w:val="00C91B67"/>
    <w:rsid w:val="00C92FC3"/>
    <w:rsid w:val="00C932A6"/>
    <w:rsid w:val="00C94091"/>
    <w:rsid w:val="00C9450F"/>
    <w:rsid w:val="00C9488C"/>
    <w:rsid w:val="00C95091"/>
    <w:rsid w:val="00C95BDF"/>
    <w:rsid w:val="00C95E44"/>
    <w:rsid w:val="00C95E9D"/>
    <w:rsid w:val="00C95FE8"/>
    <w:rsid w:val="00C9762E"/>
    <w:rsid w:val="00CA0507"/>
    <w:rsid w:val="00CA2E8C"/>
    <w:rsid w:val="00CA2FCC"/>
    <w:rsid w:val="00CA303F"/>
    <w:rsid w:val="00CA32EC"/>
    <w:rsid w:val="00CA4504"/>
    <w:rsid w:val="00CA4777"/>
    <w:rsid w:val="00CA4B1C"/>
    <w:rsid w:val="00CA4B8F"/>
    <w:rsid w:val="00CA4DD5"/>
    <w:rsid w:val="00CA5D6E"/>
    <w:rsid w:val="00CA60DB"/>
    <w:rsid w:val="00CA6D91"/>
    <w:rsid w:val="00CA74E9"/>
    <w:rsid w:val="00CA7D68"/>
    <w:rsid w:val="00CB114E"/>
    <w:rsid w:val="00CB1386"/>
    <w:rsid w:val="00CB18E9"/>
    <w:rsid w:val="00CB21F4"/>
    <w:rsid w:val="00CB2BCE"/>
    <w:rsid w:val="00CB32CC"/>
    <w:rsid w:val="00CB37A3"/>
    <w:rsid w:val="00CB399E"/>
    <w:rsid w:val="00CB3B39"/>
    <w:rsid w:val="00CB4A8D"/>
    <w:rsid w:val="00CB4E68"/>
    <w:rsid w:val="00CB50C2"/>
    <w:rsid w:val="00CB5DA0"/>
    <w:rsid w:val="00CB5E24"/>
    <w:rsid w:val="00CB5F02"/>
    <w:rsid w:val="00CB676F"/>
    <w:rsid w:val="00CB6A26"/>
    <w:rsid w:val="00CB6D75"/>
    <w:rsid w:val="00CB6EAD"/>
    <w:rsid w:val="00CB7249"/>
    <w:rsid w:val="00CB7F6E"/>
    <w:rsid w:val="00CC013E"/>
    <w:rsid w:val="00CC0208"/>
    <w:rsid w:val="00CC0806"/>
    <w:rsid w:val="00CC1069"/>
    <w:rsid w:val="00CC1675"/>
    <w:rsid w:val="00CC19B8"/>
    <w:rsid w:val="00CC1A0D"/>
    <w:rsid w:val="00CC2373"/>
    <w:rsid w:val="00CC2995"/>
    <w:rsid w:val="00CC2E54"/>
    <w:rsid w:val="00CC2FB7"/>
    <w:rsid w:val="00CC309B"/>
    <w:rsid w:val="00CC3894"/>
    <w:rsid w:val="00CC3AE1"/>
    <w:rsid w:val="00CC483E"/>
    <w:rsid w:val="00CC507F"/>
    <w:rsid w:val="00CC53F1"/>
    <w:rsid w:val="00CC548C"/>
    <w:rsid w:val="00CC55B0"/>
    <w:rsid w:val="00CC5FC4"/>
    <w:rsid w:val="00CC6302"/>
    <w:rsid w:val="00CC6933"/>
    <w:rsid w:val="00CC7DBD"/>
    <w:rsid w:val="00CD0BB0"/>
    <w:rsid w:val="00CD19C5"/>
    <w:rsid w:val="00CD1C9B"/>
    <w:rsid w:val="00CD2540"/>
    <w:rsid w:val="00CD2AE7"/>
    <w:rsid w:val="00CD2F0F"/>
    <w:rsid w:val="00CD302C"/>
    <w:rsid w:val="00CD5E84"/>
    <w:rsid w:val="00CD6A77"/>
    <w:rsid w:val="00CD7109"/>
    <w:rsid w:val="00CD729C"/>
    <w:rsid w:val="00CD7927"/>
    <w:rsid w:val="00CD7D4D"/>
    <w:rsid w:val="00CE0393"/>
    <w:rsid w:val="00CE07AA"/>
    <w:rsid w:val="00CE0915"/>
    <w:rsid w:val="00CE0BE7"/>
    <w:rsid w:val="00CE17C5"/>
    <w:rsid w:val="00CE2868"/>
    <w:rsid w:val="00CE298E"/>
    <w:rsid w:val="00CE3062"/>
    <w:rsid w:val="00CE39CD"/>
    <w:rsid w:val="00CE3AAD"/>
    <w:rsid w:val="00CE431E"/>
    <w:rsid w:val="00CE4B39"/>
    <w:rsid w:val="00CE5633"/>
    <w:rsid w:val="00CE5A02"/>
    <w:rsid w:val="00CE5BFC"/>
    <w:rsid w:val="00CE609D"/>
    <w:rsid w:val="00CE66CF"/>
    <w:rsid w:val="00CE68D1"/>
    <w:rsid w:val="00CE6B51"/>
    <w:rsid w:val="00CE7411"/>
    <w:rsid w:val="00CE75B5"/>
    <w:rsid w:val="00CE7F73"/>
    <w:rsid w:val="00CF0B78"/>
    <w:rsid w:val="00CF1CB9"/>
    <w:rsid w:val="00CF1D47"/>
    <w:rsid w:val="00CF1FB7"/>
    <w:rsid w:val="00CF29B5"/>
    <w:rsid w:val="00CF3195"/>
    <w:rsid w:val="00CF43C7"/>
    <w:rsid w:val="00CF4532"/>
    <w:rsid w:val="00CF4BD6"/>
    <w:rsid w:val="00CF4EF2"/>
    <w:rsid w:val="00CF51F1"/>
    <w:rsid w:val="00CF5A99"/>
    <w:rsid w:val="00CF5C9C"/>
    <w:rsid w:val="00CF5F2D"/>
    <w:rsid w:val="00CF65F7"/>
    <w:rsid w:val="00CF6C7F"/>
    <w:rsid w:val="00CF7DBB"/>
    <w:rsid w:val="00D00638"/>
    <w:rsid w:val="00D00DEF"/>
    <w:rsid w:val="00D00FC6"/>
    <w:rsid w:val="00D01143"/>
    <w:rsid w:val="00D0189D"/>
    <w:rsid w:val="00D019EA"/>
    <w:rsid w:val="00D020AB"/>
    <w:rsid w:val="00D02565"/>
    <w:rsid w:val="00D0330E"/>
    <w:rsid w:val="00D040BD"/>
    <w:rsid w:val="00D0442F"/>
    <w:rsid w:val="00D0512C"/>
    <w:rsid w:val="00D07294"/>
    <w:rsid w:val="00D072AB"/>
    <w:rsid w:val="00D100AC"/>
    <w:rsid w:val="00D103DB"/>
    <w:rsid w:val="00D105CC"/>
    <w:rsid w:val="00D10989"/>
    <w:rsid w:val="00D10A4A"/>
    <w:rsid w:val="00D10C7F"/>
    <w:rsid w:val="00D10D6A"/>
    <w:rsid w:val="00D12314"/>
    <w:rsid w:val="00D1241E"/>
    <w:rsid w:val="00D12F28"/>
    <w:rsid w:val="00D12F83"/>
    <w:rsid w:val="00D134E2"/>
    <w:rsid w:val="00D13630"/>
    <w:rsid w:val="00D13E15"/>
    <w:rsid w:val="00D1474D"/>
    <w:rsid w:val="00D1481E"/>
    <w:rsid w:val="00D151F5"/>
    <w:rsid w:val="00D156E1"/>
    <w:rsid w:val="00D15C40"/>
    <w:rsid w:val="00D16629"/>
    <w:rsid w:val="00D16A56"/>
    <w:rsid w:val="00D17148"/>
    <w:rsid w:val="00D211EB"/>
    <w:rsid w:val="00D212F3"/>
    <w:rsid w:val="00D223C5"/>
    <w:rsid w:val="00D238F6"/>
    <w:rsid w:val="00D23966"/>
    <w:rsid w:val="00D23F02"/>
    <w:rsid w:val="00D247B9"/>
    <w:rsid w:val="00D24EB9"/>
    <w:rsid w:val="00D2534F"/>
    <w:rsid w:val="00D25E9D"/>
    <w:rsid w:val="00D260A9"/>
    <w:rsid w:val="00D268F5"/>
    <w:rsid w:val="00D26D58"/>
    <w:rsid w:val="00D26EF9"/>
    <w:rsid w:val="00D27FB4"/>
    <w:rsid w:val="00D3005E"/>
    <w:rsid w:val="00D307C3"/>
    <w:rsid w:val="00D30AA8"/>
    <w:rsid w:val="00D315A9"/>
    <w:rsid w:val="00D31684"/>
    <w:rsid w:val="00D317AC"/>
    <w:rsid w:val="00D31F13"/>
    <w:rsid w:val="00D3218C"/>
    <w:rsid w:val="00D3270E"/>
    <w:rsid w:val="00D32865"/>
    <w:rsid w:val="00D32A72"/>
    <w:rsid w:val="00D3331D"/>
    <w:rsid w:val="00D335D1"/>
    <w:rsid w:val="00D349D5"/>
    <w:rsid w:val="00D349FC"/>
    <w:rsid w:val="00D34F46"/>
    <w:rsid w:val="00D35D18"/>
    <w:rsid w:val="00D35F98"/>
    <w:rsid w:val="00D36102"/>
    <w:rsid w:val="00D361FD"/>
    <w:rsid w:val="00D362CA"/>
    <w:rsid w:val="00D36637"/>
    <w:rsid w:val="00D36B55"/>
    <w:rsid w:val="00D36F13"/>
    <w:rsid w:val="00D37729"/>
    <w:rsid w:val="00D37C55"/>
    <w:rsid w:val="00D40763"/>
    <w:rsid w:val="00D4135B"/>
    <w:rsid w:val="00D41BA0"/>
    <w:rsid w:val="00D41BB0"/>
    <w:rsid w:val="00D422A2"/>
    <w:rsid w:val="00D422F5"/>
    <w:rsid w:val="00D42ECE"/>
    <w:rsid w:val="00D431B8"/>
    <w:rsid w:val="00D432E4"/>
    <w:rsid w:val="00D43E2C"/>
    <w:rsid w:val="00D446D8"/>
    <w:rsid w:val="00D455C7"/>
    <w:rsid w:val="00D45B21"/>
    <w:rsid w:val="00D45D8C"/>
    <w:rsid w:val="00D45E29"/>
    <w:rsid w:val="00D4623A"/>
    <w:rsid w:val="00D46E75"/>
    <w:rsid w:val="00D473D2"/>
    <w:rsid w:val="00D47C30"/>
    <w:rsid w:val="00D5021F"/>
    <w:rsid w:val="00D507A3"/>
    <w:rsid w:val="00D50E5F"/>
    <w:rsid w:val="00D50F85"/>
    <w:rsid w:val="00D50FED"/>
    <w:rsid w:val="00D5110A"/>
    <w:rsid w:val="00D51EC4"/>
    <w:rsid w:val="00D51ED4"/>
    <w:rsid w:val="00D51F7D"/>
    <w:rsid w:val="00D520BF"/>
    <w:rsid w:val="00D521C5"/>
    <w:rsid w:val="00D52583"/>
    <w:rsid w:val="00D530CD"/>
    <w:rsid w:val="00D531F9"/>
    <w:rsid w:val="00D5359F"/>
    <w:rsid w:val="00D54449"/>
    <w:rsid w:val="00D552BB"/>
    <w:rsid w:val="00D553D2"/>
    <w:rsid w:val="00D55EEB"/>
    <w:rsid w:val="00D56CDE"/>
    <w:rsid w:val="00D56D01"/>
    <w:rsid w:val="00D56DAF"/>
    <w:rsid w:val="00D56F16"/>
    <w:rsid w:val="00D57AE0"/>
    <w:rsid w:val="00D57F89"/>
    <w:rsid w:val="00D600D9"/>
    <w:rsid w:val="00D61F96"/>
    <w:rsid w:val="00D620ED"/>
    <w:rsid w:val="00D63B5F"/>
    <w:rsid w:val="00D648D3"/>
    <w:rsid w:val="00D649AF"/>
    <w:rsid w:val="00D6507E"/>
    <w:rsid w:val="00D6580B"/>
    <w:rsid w:val="00D65A88"/>
    <w:rsid w:val="00D65E8B"/>
    <w:rsid w:val="00D66051"/>
    <w:rsid w:val="00D667B7"/>
    <w:rsid w:val="00D6694A"/>
    <w:rsid w:val="00D66F87"/>
    <w:rsid w:val="00D674C4"/>
    <w:rsid w:val="00D7008E"/>
    <w:rsid w:val="00D70142"/>
    <w:rsid w:val="00D7020C"/>
    <w:rsid w:val="00D70452"/>
    <w:rsid w:val="00D70464"/>
    <w:rsid w:val="00D707C6"/>
    <w:rsid w:val="00D708F2"/>
    <w:rsid w:val="00D70F54"/>
    <w:rsid w:val="00D71799"/>
    <w:rsid w:val="00D71C6F"/>
    <w:rsid w:val="00D71DA2"/>
    <w:rsid w:val="00D72CC7"/>
    <w:rsid w:val="00D73896"/>
    <w:rsid w:val="00D73D42"/>
    <w:rsid w:val="00D7443F"/>
    <w:rsid w:val="00D747FB"/>
    <w:rsid w:val="00D74824"/>
    <w:rsid w:val="00D748B0"/>
    <w:rsid w:val="00D74A3F"/>
    <w:rsid w:val="00D74E5A"/>
    <w:rsid w:val="00D75203"/>
    <w:rsid w:val="00D756AA"/>
    <w:rsid w:val="00D76911"/>
    <w:rsid w:val="00D76FE6"/>
    <w:rsid w:val="00D77625"/>
    <w:rsid w:val="00D8037D"/>
    <w:rsid w:val="00D8067E"/>
    <w:rsid w:val="00D8094C"/>
    <w:rsid w:val="00D81794"/>
    <w:rsid w:val="00D81B67"/>
    <w:rsid w:val="00D8210A"/>
    <w:rsid w:val="00D8280B"/>
    <w:rsid w:val="00D82E16"/>
    <w:rsid w:val="00D83846"/>
    <w:rsid w:val="00D83B7F"/>
    <w:rsid w:val="00D84057"/>
    <w:rsid w:val="00D8421C"/>
    <w:rsid w:val="00D844CB"/>
    <w:rsid w:val="00D84784"/>
    <w:rsid w:val="00D84A22"/>
    <w:rsid w:val="00D84E63"/>
    <w:rsid w:val="00D84E6C"/>
    <w:rsid w:val="00D84EFA"/>
    <w:rsid w:val="00D85923"/>
    <w:rsid w:val="00D86522"/>
    <w:rsid w:val="00D86AD2"/>
    <w:rsid w:val="00D86B19"/>
    <w:rsid w:val="00D872B0"/>
    <w:rsid w:val="00D8787F"/>
    <w:rsid w:val="00D87CAE"/>
    <w:rsid w:val="00D90427"/>
    <w:rsid w:val="00D906B7"/>
    <w:rsid w:val="00D908AD"/>
    <w:rsid w:val="00D919F3"/>
    <w:rsid w:val="00D922BB"/>
    <w:rsid w:val="00D92421"/>
    <w:rsid w:val="00D92582"/>
    <w:rsid w:val="00D92DA2"/>
    <w:rsid w:val="00D92FBE"/>
    <w:rsid w:val="00D930F0"/>
    <w:rsid w:val="00D94422"/>
    <w:rsid w:val="00D94660"/>
    <w:rsid w:val="00D951A7"/>
    <w:rsid w:val="00D954D1"/>
    <w:rsid w:val="00D95E78"/>
    <w:rsid w:val="00D96049"/>
    <w:rsid w:val="00D96329"/>
    <w:rsid w:val="00D96BEC"/>
    <w:rsid w:val="00D97E0D"/>
    <w:rsid w:val="00DA05F9"/>
    <w:rsid w:val="00DA0DBD"/>
    <w:rsid w:val="00DA0F11"/>
    <w:rsid w:val="00DA1487"/>
    <w:rsid w:val="00DA1598"/>
    <w:rsid w:val="00DA1CA6"/>
    <w:rsid w:val="00DA1EA7"/>
    <w:rsid w:val="00DA28F3"/>
    <w:rsid w:val="00DA315C"/>
    <w:rsid w:val="00DA3611"/>
    <w:rsid w:val="00DA5116"/>
    <w:rsid w:val="00DA5823"/>
    <w:rsid w:val="00DA5CD7"/>
    <w:rsid w:val="00DA69C2"/>
    <w:rsid w:val="00DA6E9F"/>
    <w:rsid w:val="00DB0C1C"/>
    <w:rsid w:val="00DB14DF"/>
    <w:rsid w:val="00DB2193"/>
    <w:rsid w:val="00DB3C23"/>
    <w:rsid w:val="00DB513B"/>
    <w:rsid w:val="00DB51EF"/>
    <w:rsid w:val="00DB55C9"/>
    <w:rsid w:val="00DB5D06"/>
    <w:rsid w:val="00DB5F4B"/>
    <w:rsid w:val="00DB689D"/>
    <w:rsid w:val="00DB6A9E"/>
    <w:rsid w:val="00DB6CF1"/>
    <w:rsid w:val="00DB72BC"/>
    <w:rsid w:val="00DB7324"/>
    <w:rsid w:val="00DB7579"/>
    <w:rsid w:val="00DB7E36"/>
    <w:rsid w:val="00DC0533"/>
    <w:rsid w:val="00DC0574"/>
    <w:rsid w:val="00DC0CF6"/>
    <w:rsid w:val="00DC0E09"/>
    <w:rsid w:val="00DC0E18"/>
    <w:rsid w:val="00DC18F0"/>
    <w:rsid w:val="00DC25EE"/>
    <w:rsid w:val="00DC29F5"/>
    <w:rsid w:val="00DC2AE2"/>
    <w:rsid w:val="00DC2DF3"/>
    <w:rsid w:val="00DC3EFA"/>
    <w:rsid w:val="00DC414B"/>
    <w:rsid w:val="00DC43AB"/>
    <w:rsid w:val="00DC465E"/>
    <w:rsid w:val="00DC4985"/>
    <w:rsid w:val="00DC527C"/>
    <w:rsid w:val="00DC52DB"/>
    <w:rsid w:val="00DC571D"/>
    <w:rsid w:val="00DC5FCC"/>
    <w:rsid w:val="00DC64C1"/>
    <w:rsid w:val="00DC6574"/>
    <w:rsid w:val="00DC65E2"/>
    <w:rsid w:val="00DC66D3"/>
    <w:rsid w:val="00DC697A"/>
    <w:rsid w:val="00DC7B99"/>
    <w:rsid w:val="00DD0A6B"/>
    <w:rsid w:val="00DD340C"/>
    <w:rsid w:val="00DD383F"/>
    <w:rsid w:val="00DD3CB3"/>
    <w:rsid w:val="00DD3DAD"/>
    <w:rsid w:val="00DD4267"/>
    <w:rsid w:val="00DD48D6"/>
    <w:rsid w:val="00DD49DC"/>
    <w:rsid w:val="00DD4AE4"/>
    <w:rsid w:val="00DD500E"/>
    <w:rsid w:val="00DD54E9"/>
    <w:rsid w:val="00DD5879"/>
    <w:rsid w:val="00DD5A06"/>
    <w:rsid w:val="00DD5C3F"/>
    <w:rsid w:val="00DD68F5"/>
    <w:rsid w:val="00DD6F43"/>
    <w:rsid w:val="00DD6FAB"/>
    <w:rsid w:val="00DD6FB4"/>
    <w:rsid w:val="00DD7732"/>
    <w:rsid w:val="00DD7B74"/>
    <w:rsid w:val="00DD7D3A"/>
    <w:rsid w:val="00DD7E57"/>
    <w:rsid w:val="00DD7F88"/>
    <w:rsid w:val="00DE06A2"/>
    <w:rsid w:val="00DE06B2"/>
    <w:rsid w:val="00DE1047"/>
    <w:rsid w:val="00DE12FB"/>
    <w:rsid w:val="00DE2254"/>
    <w:rsid w:val="00DE23DA"/>
    <w:rsid w:val="00DE31CC"/>
    <w:rsid w:val="00DE466E"/>
    <w:rsid w:val="00DE4968"/>
    <w:rsid w:val="00DE4A4A"/>
    <w:rsid w:val="00DE4B19"/>
    <w:rsid w:val="00DE4C57"/>
    <w:rsid w:val="00DE6372"/>
    <w:rsid w:val="00DE683E"/>
    <w:rsid w:val="00DE6A46"/>
    <w:rsid w:val="00DE7235"/>
    <w:rsid w:val="00DE7414"/>
    <w:rsid w:val="00DE747A"/>
    <w:rsid w:val="00DE78AA"/>
    <w:rsid w:val="00DE7FBD"/>
    <w:rsid w:val="00DF044B"/>
    <w:rsid w:val="00DF054F"/>
    <w:rsid w:val="00DF05BB"/>
    <w:rsid w:val="00DF0647"/>
    <w:rsid w:val="00DF1339"/>
    <w:rsid w:val="00DF14D0"/>
    <w:rsid w:val="00DF1559"/>
    <w:rsid w:val="00DF1F0D"/>
    <w:rsid w:val="00DF203A"/>
    <w:rsid w:val="00DF2A0E"/>
    <w:rsid w:val="00DF2FFA"/>
    <w:rsid w:val="00DF35B0"/>
    <w:rsid w:val="00DF3666"/>
    <w:rsid w:val="00DF3D81"/>
    <w:rsid w:val="00DF4DD3"/>
    <w:rsid w:val="00DF5E0D"/>
    <w:rsid w:val="00DF6ACF"/>
    <w:rsid w:val="00DF6D95"/>
    <w:rsid w:val="00DF70EE"/>
    <w:rsid w:val="00DF7727"/>
    <w:rsid w:val="00DF78F1"/>
    <w:rsid w:val="00E00100"/>
    <w:rsid w:val="00E00BEF"/>
    <w:rsid w:val="00E011C3"/>
    <w:rsid w:val="00E01288"/>
    <w:rsid w:val="00E0212F"/>
    <w:rsid w:val="00E03D3C"/>
    <w:rsid w:val="00E04347"/>
    <w:rsid w:val="00E04486"/>
    <w:rsid w:val="00E0454E"/>
    <w:rsid w:val="00E04DDF"/>
    <w:rsid w:val="00E0510B"/>
    <w:rsid w:val="00E057C6"/>
    <w:rsid w:val="00E059DB"/>
    <w:rsid w:val="00E069B4"/>
    <w:rsid w:val="00E06E2A"/>
    <w:rsid w:val="00E1049F"/>
    <w:rsid w:val="00E11454"/>
    <w:rsid w:val="00E11CF3"/>
    <w:rsid w:val="00E11EA1"/>
    <w:rsid w:val="00E120DA"/>
    <w:rsid w:val="00E1223F"/>
    <w:rsid w:val="00E125E2"/>
    <w:rsid w:val="00E12E6C"/>
    <w:rsid w:val="00E1329A"/>
    <w:rsid w:val="00E139A5"/>
    <w:rsid w:val="00E143AB"/>
    <w:rsid w:val="00E143F7"/>
    <w:rsid w:val="00E14416"/>
    <w:rsid w:val="00E14AB5"/>
    <w:rsid w:val="00E1562A"/>
    <w:rsid w:val="00E16866"/>
    <w:rsid w:val="00E16FAE"/>
    <w:rsid w:val="00E17F1C"/>
    <w:rsid w:val="00E206C7"/>
    <w:rsid w:val="00E2071B"/>
    <w:rsid w:val="00E20981"/>
    <w:rsid w:val="00E20E1D"/>
    <w:rsid w:val="00E215ED"/>
    <w:rsid w:val="00E21F95"/>
    <w:rsid w:val="00E22846"/>
    <w:rsid w:val="00E228AD"/>
    <w:rsid w:val="00E22E61"/>
    <w:rsid w:val="00E237B5"/>
    <w:rsid w:val="00E24AC3"/>
    <w:rsid w:val="00E24D52"/>
    <w:rsid w:val="00E255C2"/>
    <w:rsid w:val="00E2580A"/>
    <w:rsid w:val="00E25B30"/>
    <w:rsid w:val="00E26597"/>
    <w:rsid w:val="00E27391"/>
    <w:rsid w:val="00E27FA8"/>
    <w:rsid w:val="00E30333"/>
    <w:rsid w:val="00E304EB"/>
    <w:rsid w:val="00E307FE"/>
    <w:rsid w:val="00E30C62"/>
    <w:rsid w:val="00E30C86"/>
    <w:rsid w:val="00E30D56"/>
    <w:rsid w:val="00E31850"/>
    <w:rsid w:val="00E31C3B"/>
    <w:rsid w:val="00E31F76"/>
    <w:rsid w:val="00E3220C"/>
    <w:rsid w:val="00E32601"/>
    <w:rsid w:val="00E3358A"/>
    <w:rsid w:val="00E33F42"/>
    <w:rsid w:val="00E34064"/>
    <w:rsid w:val="00E3412F"/>
    <w:rsid w:val="00E344D4"/>
    <w:rsid w:val="00E34CB6"/>
    <w:rsid w:val="00E35938"/>
    <w:rsid w:val="00E35DAC"/>
    <w:rsid w:val="00E369A4"/>
    <w:rsid w:val="00E36FA4"/>
    <w:rsid w:val="00E3712C"/>
    <w:rsid w:val="00E3738C"/>
    <w:rsid w:val="00E37479"/>
    <w:rsid w:val="00E37B46"/>
    <w:rsid w:val="00E37F73"/>
    <w:rsid w:val="00E402D6"/>
    <w:rsid w:val="00E41742"/>
    <w:rsid w:val="00E41993"/>
    <w:rsid w:val="00E41C95"/>
    <w:rsid w:val="00E42166"/>
    <w:rsid w:val="00E4227E"/>
    <w:rsid w:val="00E43272"/>
    <w:rsid w:val="00E43910"/>
    <w:rsid w:val="00E43F47"/>
    <w:rsid w:val="00E44088"/>
    <w:rsid w:val="00E451D8"/>
    <w:rsid w:val="00E4523C"/>
    <w:rsid w:val="00E452E4"/>
    <w:rsid w:val="00E456A2"/>
    <w:rsid w:val="00E45CBD"/>
    <w:rsid w:val="00E4605C"/>
    <w:rsid w:val="00E4667A"/>
    <w:rsid w:val="00E46A3D"/>
    <w:rsid w:val="00E46C2E"/>
    <w:rsid w:val="00E4752E"/>
    <w:rsid w:val="00E47993"/>
    <w:rsid w:val="00E504DA"/>
    <w:rsid w:val="00E50B55"/>
    <w:rsid w:val="00E50E49"/>
    <w:rsid w:val="00E51E45"/>
    <w:rsid w:val="00E52784"/>
    <w:rsid w:val="00E529EF"/>
    <w:rsid w:val="00E52A5E"/>
    <w:rsid w:val="00E52A6A"/>
    <w:rsid w:val="00E53A5A"/>
    <w:rsid w:val="00E54A35"/>
    <w:rsid w:val="00E54EA2"/>
    <w:rsid w:val="00E555A9"/>
    <w:rsid w:val="00E55AD6"/>
    <w:rsid w:val="00E563BB"/>
    <w:rsid w:val="00E5656D"/>
    <w:rsid w:val="00E56669"/>
    <w:rsid w:val="00E56C2D"/>
    <w:rsid w:val="00E56D77"/>
    <w:rsid w:val="00E57FC6"/>
    <w:rsid w:val="00E6013E"/>
    <w:rsid w:val="00E60402"/>
    <w:rsid w:val="00E61BFD"/>
    <w:rsid w:val="00E61D25"/>
    <w:rsid w:val="00E62397"/>
    <w:rsid w:val="00E6270B"/>
    <w:rsid w:val="00E63734"/>
    <w:rsid w:val="00E6381B"/>
    <w:rsid w:val="00E66D46"/>
    <w:rsid w:val="00E671D3"/>
    <w:rsid w:val="00E6749F"/>
    <w:rsid w:val="00E67538"/>
    <w:rsid w:val="00E67C04"/>
    <w:rsid w:val="00E715BE"/>
    <w:rsid w:val="00E720FA"/>
    <w:rsid w:val="00E72C44"/>
    <w:rsid w:val="00E73310"/>
    <w:rsid w:val="00E7343C"/>
    <w:rsid w:val="00E734DD"/>
    <w:rsid w:val="00E739C2"/>
    <w:rsid w:val="00E73CB8"/>
    <w:rsid w:val="00E73E2F"/>
    <w:rsid w:val="00E73E83"/>
    <w:rsid w:val="00E74145"/>
    <w:rsid w:val="00E7459E"/>
    <w:rsid w:val="00E759A3"/>
    <w:rsid w:val="00E762EF"/>
    <w:rsid w:val="00E768A5"/>
    <w:rsid w:val="00E76FE3"/>
    <w:rsid w:val="00E80437"/>
    <w:rsid w:val="00E80B3F"/>
    <w:rsid w:val="00E80D6B"/>
    <w:rsid w:val="00E8180E"/>
    <w:rsid w:val="00E81E28"/>
    <w:rsid w:val="00E83A7D"/>
    <w:rsid w:val="00E83DFA"/>
    <w:rsid w:val="00E83FA5"/>
    <w:rsid w:val="00E8479E"/>
    <w:rsid w:val="00E84C35"/>
    <w:rsid w:val="00E84C52"/>
    <w:rsid w:val="00E854F4"/>
    <w:rsid w:val="00E855E9"/>
    <w:rsid w:val="00E863E4"/>
    <w:rsid w:val="00E8730A"/>
    <w:rsid w:val="00E877F0"/>
    <w:rsid w:val="00E87B4A"/>
    <w:rsid w:val="00E87C69"/>
    <w:rsid w:val="00E9024A"/>
    <w:rsid w:val="00E90345"/>
    <w:rsid w:val="00E9076E"/>
    <w:rsid w:val="00E90C5F"/>
    <w:rsid w:val="00E91CE8"/>
    <w:rsid w:val="00E91E9B"/>
    <w:rsid w:val="00E920DF"/>
    <w:rsid w:val="00E925BC"/>
    <w:rsid w:val="00E927F4"/>
    <w:rsid w:val="00E929A9"/>
    <w:rsid w:val="00E92A07"/>
    <w:rsid w:val="00E9302B"/>
    <w:rsid w:val="00E9350E"/>
    <w:rsid w:val="00E93874"/>
    <w:rsid w:val="00E95332"/>
    <w:rsid w:val="00E9566B"/>
    <w:rsid w:val="00E957C7"/>
    <w:rsid w:val="00E95C9F"/>
    <w:rsid w:val="00E9704F"/>
    <w:rsid w:val="00E979DE"/>
    <w:rsid w:val="00E97E18"/>
    <w:rsid w:val="00EA05FF"/>
    <w:rsid w:val="00EA07DC"/>
    <w:rsid w:val="00EA0EA1"/>
    <w:rsid w:val="00EA1CEC"/>
    <w:rsid w:val="00EA1E5B"/>
    <w:rsid w:val="00EA2135"/>
    <w:rsid w:val="00EA238A"/>
    <w:rsid w:val="00EA250A"/>
    <w:rsid w:val="00EA296E"/>
    <w:rsid w:val="00EA3186"/>
    <w:rsid w:val="00EA3218"/>
    <w:rsid w:val="00EA3363"/>
    <w:rsid w:val="00EA33F2"/>
    <w:rsid w:val="00EA3B64"/>
    <w:rsid w:val="00EA3D66"/>
    <w:rsid w:val="00EA3DEA"/>
    <w:rsid w:val="00EA44DF"/>
    <w:rsid w:val="00EA5101"/>
    <w:rsid w:val="00EA521D"/>
    <w:rsid w:val="00EA5FF3"/>
    <w:rsid w:val="00EA6DBD"/>
    <w:rsid w:val="00EA7251"/>
    <w:rsid w:val="00EA7485"/>
    <w:rsid w:val="00EA74F1"/>
    <w:rsid w:val="00EA7ACF"/>
    <w:rsid w:val="00EA7DAC"/>
    <w:rsid w:val="00EB0479"/>
    <w:rsid w:val="00EB05C9"/>
    <w:rsid w:val="00EB0D6D"/>
    <w:rsid w:val="00EB145C"/>
    <w:rsid w:val="00EB1743"/>
    <w:rsid w:val="00EB1AC2"/>
    <w:rsid w:val="00EB231C"/>
    <w:rsid w:val="00EB2AA1"/>
    <w:rsid w:val="00EB2E0B"/>
    <w:rsid w:val="00EB383D"/>
    <w:rsid w:val="00EB456A"/>
    <w:rsid w:val="00EB46FE"/>
    <w:rsid w:val="00EB4A32"/>
    <w:rsid w:val="00EB4CD2"/>
    <w:rsid w:val="00EB6B7C"/>
    <w:rsid w:val="00EB7A1E"/>
    <w:rsid w:val="00EB7CAE"/>
    <w:rsid w:val="00EC0208"/>
    <w:rsid w:val="00EC090E"/>
    <w:rsid w:val="00EC1617"/>
    <w:rsid w:val="00EC1877"/>
    <w:rsid w:val="00EC1E25"/>
    <w:rsid w:val="00EC1F12"/>
    <w:rsid w:val="00EC239E"/>
    <w:rsid w:val="00EC23B1"/>
    <w:rsid w:val="00EC2AEA"/>
    <w:rsid w:val="00EC3C91"/>
    <w:rsid w:val="00EC4792"/>
    <w:rsid w:val="00EC4E3F"/>
    <w:rsid w:val="00EC6177"/>
    <w:rsid w:val="00EC76C1"/>
    <w:rsid w:val="00EC7BB6"/>
    <w:rsid w:val="00EC7BC3"/>
    <w:rsid w:val="00ED003C"/>
    <w:rsid w:val="00ED0BFA"/>
    <w:rsid w:val="00ED1B63"/>
    <w:rsid w:val="00ED1EA5"/>
    <w:rsid w:val="00ED28AC"/>
    <w:rsid w:val="00ED2A26"/>
    <w:rsid w:val="00ED2E27"/>
    <w:rsid w:val="00ED2E56"/>
    <w:rsid w:val="00ED3BE9"/>
    <w:rsid w:val="00ED3C0F"/>
    <w:rsid w:val="00ED3E3F"/>
    <w:rsid w:val="00ED4E63"/>
    <w:rsid w:val="00ED540E"/>
    <w:rsid w:val="00ED5AFC"/>
    <w:rsid w:val="00ED5DE2"/>
    <w:rsid w:val="00ED5E82"/>
    <w:rsid w:val="00ED7443"/>
    <w:rsid w:val="00ED7465"/>
    <w:rsid w:val="00ED78B6"/>
    <w:rsid w:val="00ED792C"/>
    <w:rsid w:val="00EE005E"/>
    <w:rsid w:val="00EE0118"/>
    <w:rsid w:val="00EE052B"/>
    <w:rsid w:val="00EE075E"/>
    <w:rsid w:val="00EE0A8F"/>
    <w:rsid w:val="00EE1CCE"/>
    <w:rsid w:val="00EE1CF2"/>
    <w:rsid w:val="00EE2A40"/>
    <w:rsid w:val="00EE2BAB"/>
    <w:rsid w:val="00EE427D"/>
    <w:rsid w:val="00EE4393"/>
    <w:rsid w:val="00EE43D0"/>
    <w:rsid w:val="00EE462A"/>
    <w:rsid w:val="00EE4734"/>
    <w:rsid w:val="00EE4C25"/>
    <w:rsid w:val="00EE5791"/>
    <w:rsid w:val="00EE5D10"/>
    <w:rsid w:val="00EE5E62"/>
    <w:rsid w:val="00EE5F43"/>
    <w:rsid w:val="00EE613F"/>
    <w:rsid w:val="00EE6539"/>
    <w:rsid w:val="00EE6834"/>
    <w:rsid w:val="00EE7750"/>
    <w:rsid w:val="00EE793B"/>
    <w:rsid w:val="00EF033D"/>
    <w:rsid w:val="00EF0F19"/>
    <w:rsid w:val="00EF0F2D"/>
    <w:rsid w:val="00EF101A"/>
    <w:rsid w:val="00EF208D"/>
    <w:rsid w:val="00EF21A5"/>
    <w:rsid w:val="00EF273F"/>
    <w:rsid w:val="00EF2DB1"/>
    <w:rsid w:val="00EF3B68"/>
    <w:rsid w:val="00EF506A"/>
    <w:rsid w:val="00EF5411"/>
    <w:rsid w:val="00EF5692"/>
    <w:rsid w:val="00EF5828"/>
    <w:rsid w:val="00EF64C9"/>
    <w:rsid w:val="00EF68DF"/>
    <w:rsid w:val="00EF6FBE"/>
    <w:rsid w:val="00EF74E2"/>
    <w:rsid w:val="00EF7B17"/>
    <w:rsid w:val="00EF7E54"/>
    <w:rsid w:val="00F011CB"/>
    <w:rsid w:val="00F02689"/>
    <w:rsid w:val="00F02823"/>
    <w:rsid w:val="00F02C3D"/>
    <w:rsid w:val="00F037D8"/>
    <w:rsid w:val="00F041FB"/>
    <w:rsid w:val="00F042F0"/>
    <w:rsid w:val="00F05315"/>
    <w:rsid w:val="00F0541F"/>
    <w:rsid w:val="00F0626E"/>
    <w:rsid w:val="00F07116"/>
    <w:rsid w:val="00F0724D"/>
    <w:rsid w:val="00F072A9"/>
    <w:rsid w:val="00F07881"/>
    <w:rsid w:val="00F07B86"/>
    <w:rsid w:val="00F101BE"/>
    <w:rsid w:val="00F10E67"/>
    <w:rsid w:val="00F10E68"/>
    <w:rsid w:val="00F10E7A"/>
    <w:rsid w:val="00F1160E"/>
    <w:rsid w:val="00F1167D"/>
    <w:rsid w:val="00F11960"/>
    <w:rsid w:val="00F11C31"/>
    <w:rsid w:val="00F11EB9"/>
    <w:rsid w:val="00F1217B"/>
    <w:rsid w:val="00F123F3"/>
    <w:rsid w:val="00F125CB"/>
    <w:rsid w:val="00F12F4F"/>
    <w:rsid w:val="00F14304"/>
    <w:rsid w:val="00F146B3"/>
    <w:rsid w:val="00F1509A"/>
    <w:rsid w:val="00F159F1"/>
    <w:rsid w:val="00F15BFE"/>
    <w:rsid w:val="00F16A01"/>
    <w:rsid w:val="00F16AF7"/>
    <w:rsid w:val="00F16B8C"/>
    <w:rsid w:val="00F17109"/>
    <w:rsid w:val="00F17C7E"/>
    <w:rsid w:val="00F20BE4"/>
    <w:rsid w:val="00F2140E"/>
    <w:rsid w:val="00F217D5"/>
    <w:rsid w:val="00F220ED"/>
    <w:rsid w:val="00F222E2"/>
    <w:rsid w:val="00F223A9"/>
    <w:rsid w:val="00F225EC"/>
    <w:rsid w:val="00F2293A"/>
    <w:rsid w:val="00F22E3A"/>
    <w:rsid w:val="00F23013"/>
    <w:rsid w:val="00F230DD"/>
    <w:rsid w:val="00F23176"/>
    <w:rsid w:val="00F23E2C"/>
    <w:rsid w:val="00F24437"/>
    <w:rsid w:val="00F2444E"/>
    <w:rsid w:val="00F24EDE"/>
    <w:rsid w:val="00F254A9"/>
    <w:rsid w:val="00F2782F"/>
    <w:rsid w:val="00F27C06"/>
    <w:rsid w:val="00F30519"/>
    <w:rsid w:val="00F3063F"/>
    <w:rsid w:val="00F310E7"/>
    <w:rsid w:val="00F311F5"/>
    <w:rsid w:val="00F31740"/>
    <w:rsid w:val="00F31BAB"/>
    <w:rsid w:val="00F31DB5"/>
    <w:rsid w:val="00F32231"/>
    <w:rsid w:val="00F328C2"/>
    <w:rsid w:val="00F32A0B"/>
    <w:rsid w:val="00F32B2F"/>
    <w:rsid w:val="00F32CD2"/>
    <w:rsid w:val="00F332AA"/>
    <w:rsid w:val="00F33C33"/>
    <w:rsid w:val="00F340A3"/>
    <w:rsid w:val="00F36943"/>
    <w:rsid w:val="00F36CA0"/>
    <w:rsid w:val="00F371C1"/>
    <w:rsid w:val="00F3777C"/>
    <w:rsid w:val="00F3793B"/>
    <w:rsid w:val="00F379F9"/>
    <w:rsid w:val="00F37F2C"/>
    <w:rsid w:val="00F40858"/>
    <w:rsid w:val="00F41303"/>
    <w:rsid w:val="00F41FD5"/>
    <w:rsid w:val="00F423CD"/>
    <w:rsid w:val="00F42E8F"/>
    <w:rsid w:val="00F432D5"/>
    <w:rsid w:val="00F4392B"/>
    <w:rsid w:val="00F43DCA"/>
    <w:rsid w:val="00F441A5"/>
    <w:rsid w:val="00F442AB"/>
    <w:rsid w:val="00F448C9"/>
    <w:rsid w:val="00F44E94"/>
    <w:rsid w:val="00F459E1"/>
    <w:rsid w:val="00F459ED"/>
    <w:rsid w:val="00F459FB"/>
    <w:rsid w:val="00F46179"/>
    <w:rsid w:val="00F4625B"/>
    <w:rsid w:val="00F46C1F"/>
    <w:rsid w:val="00F46CB1"/>
    <w:rsid w:val="00F479DB"/>
    <w:rsid w:val="00F47BC1"/>
    <w:rsid w:val="00F47C68"/>
    <w:rsid w:val="00F47EB6"/>
    <w:rsid w:val="00F5032F"/>
    <w:rsid w:val="00F50929"/>
    <w:rsid w:val="00F51A96"/>
    <w:rsid w:val="00F51C3E"/>
    <w:rsid w:val="00F51CFB"/>
    <w:rsid w:val="00F51D0A"/>
    <w:rsid w:val="00F51EBE"/>
    <w:rsid w:val="00F5256C"/>
    <w:rsid w:val="00F5266F"/>
    <w:rsid w:val="00F52EA9"/>
    <w:rsid w:val="00F52FEC"/>
    <w:rsid w:val="00F52FFC"/>
    <w:rsid w:val="00F53179"/>
    <w:rsid w:val="00F5420C"/>
    <w:rsid w:val="00F54302"/>
    <w:rsid w:val="00F5441E"/>
    <w:rsid w:val="00F547AC"/>
    <w:rsid w:val="00F54C4E"/>
    <w:rsid w:val="00F54CCD"/>
    <w:rsid w:val="00F54EA8"/>
    <w:rsid w:val="00F5644D"/>
    <w:rsid w:val="00F568B7"/>
    <w:rsid w:val="00F56996"/>
    <w:rsid w:val="00F56A34"/>
    <w:rsid w:val="00F56D31"/>
    <w:rsid w:val="00F5751B"/>
    <w:rsid w:val="00F5756F"/>
    <w:rsid w:val="00F57947"/>
    <w:rsid w:val="00F57A1F"/>
    <w:rsid w:val="00F57B40"/>
    <w:rsid w:val="00F57B8F"/>
    <w:rsid w:val="00F600C4"/>
    <w:rsid w:val="00F60A90"/>
    <w:rsid w:val="00F613DD"/>
    <w:rsid w:val="00F61FAE"/>
    <w:rsid w:val="00F637B0"/>
    <w:rsid w:val="00F63E68"/>
    <w:rsid w:val="00F63FAE"/>
    <w:rsid w:val="00F64050"/>
    <w:rsid w:val="00F64262"/>
    <w:rsid w:val="00F642F8"/>
    <w:rsid w:val="00F6508B"/>
    <w:rsid w:val="00F651DB"/>
    <w:rsid w:val="00F65581"/>
    <w:rsid w:val="00F65806"/>
    <w:rsid w:val="00F65AC7"/>
    <w:rsid w:val="00F66E8B"/>
    <w:rsid w:val="00F6758F"/>
    <w:rsid w:val="00F67DC2"/>
    <w:rsid w:val="00F70721"/>
    <w:rsid w:val="00F70831"/>
    <w:rsid w:val="00F71304"/>
    <w:rsid w:val="00F71B60"/>
    <w:rsid w:val="00F72A12"/>
    <w:rsid w:val="00F736D3"/>
    <w:rsid w:val="00F74FD2"/>
    <w:rsid w:val="00F750D7"/>
    <w:rsid w:val="00F75D32"/>
    <w:rsid w:val="00F75F6F"/>
    <w:rsid w:val="00F76CEE"/>
    <w:rsid w:val="00F77340"/>
    <w:rsid w:val="00F77841"/>
    <w:rsid w:val="00F77B0D"/>
    <w:rsid w:val="00F77E92"/>
    <w:rsid w:val="00F77EE4"/>
    <w:rsid w:val="00F808BC"/>
    <w:rsid w:val="00F80D7B"/>
    <w:rsid w:val="00F8251F"/>
    <w:rsid w:val="00F839A7"/>
    <w:rsid w:val="00F83A79"/>
    <w:rsid w:val="00F83C58"/>
    <w:rsid w:val="00F83D3D"/>
    <w:rsid w:val="00F85132"/>
    <w:rsid w:val="00F85D0B"/>
    <w:rsid w:val="00F8655A"/>
    <w:rsid w:val="00F8690E"/>
    <w:rsid w:val="00F86AB2"/>
    <w:rsid w:val="00F870C4"/>
    <w:rsid w:val="00F8798A"/>
    <w:rsid w:val="00F879DE"/>
    <w:rsid w:val="00F87A04"/>
    <w:rsid w:val="00F87A17"/>
    <w:rsid w:val="00F90507"/>
    <w:rsid w:val="00F905FA"/>
    <w:rsid w:val="00F90CE0"/>
    <w:rsid w:val="00F91387"/>
    <w:rsid w:val="00F91C7C"/>
    <w:rsid w:val="00F920C3"/>
    <w:rsid w:val="00F927DD"/>
    <w:rsid w:val="00F93E73"/>
    <w:rsid w:val="00F94B5E"/>
    <w:rsid w:val="00F95180"/>
    <w:rsid w:val="00F959F1"/>
    <w:rsid w:val="00F95D96"/>
    <w:rsid w:val="00F960CA"/>
    <w:rsid w:val="00F96503"/>
    <w:rsid w:val="00F970DB"/>
    <w:rsid w:val="00F975F4"/>
    <w:rsid w:val="00F97BE9"/>
    <w:rsid w:val="00F97DBB"/>
    <w:rsid w:val="00F97F6C"/>
    <w:rsid w:val="00FA03EA"/>
    <w:rsid w:val="00FA083B"/>
    <w:rsid w:val="00FA0C5D"/>
    <w:rsid w:val="00FA0F33"/>
    <w:rsid w:val="00FA190A"/>
    <w:rsid w:val="00FA213C"/>
    <w:rsid w:val="00FA254D"/>
    <w:rsid w:val="00FA27E5"/>
    <w:rsid w:val="00FA33A0"/>
    <w:rsid w:val="00FA34A6"/>
    <w:rsid w:val="00FA3AE3"/>
    <w:rsid w:val="00FA409D"/>
    <w:rsid w:val="00FA4F06"/>
    <w:rsid w:val="00FA5121"/>
    <w:rsid w:val="00FA5A86"/>
    <w:rsid w:val="00FA6054"/>
    <w:rsid w:val="00FA6178"/>
    <w:rsid w:val="00FA6540"/>
    <w:rsid w:val="00FA695D"/>
    <w:rsid w:val="00FA6BEB"/>
    <w:rsid w:val="00FA6C4C"/>
    <w:rsid w:val="00FA6EDD"/>
    <w:rsid w:val="00FB0D1C"/>
    <w:rsid w:val="00FB0D61"/>
    <w:rsid w:val="00FB1839"/>
    <w:rsid w:val="00FB1981"/>
    <w:rsid w:val="00FB25D3"/>
    <w:rsid w:val="00FB26F2"/>
    <w:rsid w:val="00FB297F"/>
    <w:rsid w:val="00FB2F0A"/>
    <w:rsid w:val="00FB39B0"/>
    <w:rsid w:val="00FB39E4"/>
    <w:rsid w:val="00FB472C"/>
    <w:rsid w:val="00FB4D01"/>
    <w:rsid w:val="00FB505F"/>
    <w:rsid w:val="00FB5881"/>
    <w:rsid w:val="00FB5E15"/>
    <w:rsid w:val="00FB6536"/>
    <w:rsid w:val="00FB6A12"/>
    <w:rsid w:val="00FB6CB5"/>
    <w:rsid w:val="00FB753F"/>
    <w:rsid w:val="00FB77E2"/>
    <w:rsid w:val="00FB7FC0"/>
    <w:rsid w:val="00FC08D7"/>
    <w:rsid w:val="00FC0A18"/>
    <w:rsid w:val="00FC16BC"/>
    <w:rsid w:val="00FC1F5F"/>
    <w:rsid w:val="00FC288D"/>
    <w:rsid w:val="00FC3529"/>
    <w:rsid w:val="00FC3B50"/>
    <w:rsid w:val="00FC4017"/>
    <w:rsid w:val="00FC4A9A"/>
    <w:rsid w:val="00FC565D"/>
    <w:rsid w:val="00FC5FCC"/>
    <w:rsid w:val="00FC6878"/>
    <w:rsid w:val="00FC6E82"/>
    <w:rsid w:val="00FC6F19"/>
    <w:rsid w:val="00FD02B2"/>
    <w:rsid w:val="00FD07D5"/>
    <w:rsid w:val="00FD1D26"/>
    <w:rsid w:val="00FD20EB"/>
    <w:rsid w:val="00FD228C"/>
    <w:rsid w:val="00FD25BA"/>
    <w:rsid w:val="00FD30BC"/>
    <w:rsid w:val="00FD338D"/>
    <w:rsid w:val="00FD4B36"/>
    <w:rsid w:val="00FD4C96"/>
    <w:rsid w:val="00FD5031"/>
    <w:rsid w:val="00FD55AD"/>
    <w:rsid w:val="00FD5659"/>
    <w:rsid w:val="00FD670A"/>
    <w:rsid w:val="00FD67B8"/>
    <w:rsid w:val="00FD6993"/>
    <w:rsid w:val="00FD6A4E"/>
    <w:rsid w:val="00FD6D8C"/>
    <w:rsid w:val="00FD76A0"/>
    <w:rsid w:val="00FD770F"/>
    <w:rsid w:val="00FD7E9D"/>
    <w:rsid w:val="00FE01F2"/>
    <w:rsid w:val="00FE04B5"/>
    <w:rsid w:val="00FE22BD"/>
    <w:rsid w:val="00FE260D"/>
    <w:rsid w:val="00FE2F73"/>
    <w:rsid w:val="00FE3021"/>
    <w:rsid w:val="00FE31AB"/>
    <w:rsid w:val="00FE43D6"/>
    <w:rsid w:val="00FE462F"/>
    <w:rsid w:val="00FE4A64"/>
    <w:rsid w:val="00FE4BDF"/>
    <w:rsid w:val="00FE550C"/>
    <w:rsid w:val="00FE559A"/>
    <w:rsid w:val="00FE60FC"/>
    <w:rsid w:val="00FE752E"/>
    <w:rsid w:val="00FE7E35"/>
    <w:rsid w:val="00FE7F18"/>
    <w:rsid w:val="00FF09FF"/>
    <w:rsid w:val="00FF0E1E"/>
    <w:rsid w:val="00FF1BCD"/>
    <w:rsid w:val="00FF2148"/>
    <w:rsid w:val="00FF256D"/>
    <w:rsid w:val="00FF3666"/>
    <w:rsid w:val="00FF3AC1"/>
    <w:rsid w:val="00FF3F70"/>
    <w:rsid w:val="00FF45CE"/>
    <w:rsid w:val="00FF4699"/>
    <w:rsid w:val="00FF4AB8"/>
    <w:rsid w:val="00FF4AD0"/>
    <w:rsid w:val="00FF4CED"/>
    <w:rsid w:val="00FF5E38"/>
    <w:rsid w:val="00FF648B"/>
    <w:rsid w:val="00FF67F2"/>
    <w:rsid w:val="00FF6878"/>
    <w:rsid w:val="00FF68FA"/>
    <w:rsid w:val="00FF6F32"/>
    <w:rsid w:val="00FF6F6F"/>
    <w:rsid w:val="00FF7D15"/>
    <w:rsid w:val="00FF7EE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84ACD-4975-41C2-9A77-866E428F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6795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890"/>
  </w:style>
  <w:style w:type="paragraph" w:styleId="Footer">
    <w:name w:val="footer"/>
    <w:basedOn w:val="Normal"/>
    <w:link w:val="FooterChar"/>
    <w:uiPriority w:val="99"/>
    <w:unhideWhenUsed/>
    <w:rsid w:val="00224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890"/>
  </w:style>
  <w:style w:type="paragraph" w:styleId="ListParagraph">
    <w:name w:val="List Paragraph"/>
    <w:basedOn w:val="Normal"/>
    <w:uiPriority w:val="34"/>
    <w:qFormat/>
    <w:rsid w:val="00BD6B1F"/>
    <w:pPr>
      <w:ind w:left="720"/>
      <w:contextualSpacing/>
    </w:pPr>
  </w:style>
  <w:style w:type="character" w:customStyle="1" w:styleId="Heading2Char">
    <w:name w:val="Heading 2 Char"/>
    <w:basedOn w:val="DefaultParagraphFont"/>
    <w:link w:val="Heading2"/>
    <w:uiPriority w:val="9"/>
    <w:rsid w:val="00567954"/>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567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54"/>
    <w:rPr>
      <w:rFonts w:ascii="Segoe UI" w:hAnsi="Segoe UI" w:cs="Segoe UI"/>
      <w:sz w:val="18"/>
      <w:szCs w:val="18"/>
    </w:rPr>
  </w:style>
  <w:style w:type="table" w:styleId="TableGrid">
    <w:name w:val="Table Grid"/>
    <w:basedOn w:val="TableNormal"/>
    <w:uiPriority w:val="39"/>
    <w:rsid w:val="00567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0AF3"/>
    <w:rPr>
      <w:sz w:val="16"/>
      <w:szCs w:val="16"/>
    </w:rPr>
  </w:style>
  <w:style w:type="paragraph" w:styleId="CommentText">
    <w:name w:val="annotation text"/>
    <w:basedOn w:val="Normal"/>
    <w:link w:val="CommentTextChar"/>
    <w:uiPriority w:val="99"/>
    <w:semiHidden/>
    <w:unhideWhenUsed/>
    <w:rsid w:val="005D0AF3"/>
    <w:pPr>
      <w:spacing w:line="240" w:lineRule="auto"/>
    </w:pPr>
    <w:rPr>
      <w:sz w:val="20"/>
      <w:szCs w:val="20"/>
    </w:rPr>
  </w:style>
  <w:style w:type="character" w:customStyle="1" w:styleId="CommentTextChar">
    <w:name w:val="Comment Text Char"/>
    <w:basedOn w:val="DefaultParagraphFont"/>
    <w:link w:val="CommentText"/>
    <w:uiPriority w:val="99"/>
    <w:semiHidden/>
    <w:rsid w:val="005D0AF3"/>
    <w:rPr>
      <w:sz w:val="20"/>
      <w:szCs w:val="20"/>
    </w:rPr>
  </w:style>
  <w:style w:type="paragraph" w:styleId="CommentSubject">
    <w:name w:val="annotation subject"/>
    <w:basedOn w:val="CommentText"/>
    <w:next w:val="CommentText"/>
    <w:link w:val="CommentSubjectChar"/>
    <w:uiPriority w:val="99"/>
    <w:semiHidden/>
    <w:unhideWhenUsed/>
    <w:rsid w:val="005D0AF3"/>
    <w:rPr>
      <w:b/>
      <w:bCs/>
    </w:rPr>
  </w:style>
  <w:style w:type="character" w:customStyle="1" w:styleId="CommentSubjectChar">
    <w:name w:val="Comment Subject Char"/>
    <w:basedOn w:val="CommentTextChar"/>
    <w:link w:val="CommentSubject"/>
    <w:uiPriority w:val="99"/>
    <w:semiHidden/>
    <w:rsid w:val="005D0AF3"/>
    <w:rPr>
      <w:b/>
      <w:bCs/>
      <w:sz w:val="20"/>
      <w:szCs w:val="20"/>
    </w:rPr>
  </w:style>
  <w:style w:type="paragraph" w:styleId="NoSpacing">
    <w:name w:val="No Spacing"/>
    <w:uiPriority w:val="1"/>
    <w:qFormat/>
    <w:rsid w:val="001A23A8"/>
    <w:pPr>
      <w:spacing w:after="0" w:line="240" w:lineRule="auto"/>
    </w:pPr>
    <w:rPr>
      <w:lang w:val="en-US"/>
    </w:rPr>
  </w:style>
  <w:style w:type="paragraph" w:styleId="FootnoteText">
    <w:name w:val="footnote text"/>
    <w:basedOn w:val="Normal"/>
    <w:link w:val="FootnoteTextChar"/>
    <w:uiPriority w:val="99"/>
    <w:semiHidden/>
    <w:unhideWhenUsed/>
    <w:rsid w:val="00D951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1A7"/>
    <w:rPr>
      <w:sz w:val="20"/>
      <w:szCs w:val="20"/>
    </w:rPr>
  </w:style>
  <w:style w:type="character" w:styleId="FootnoteReference">
    <w:name w:val="footnote reference"/>
    <w:basedOn w:val="DefaultParagraphFont"/>
    <w:uiPriority w:val="99"/>
    <w:semiHidden/>
    <w:unhideWhenUsed/>
    <w:rsid w:val="00D951A7"/>
    <w:rPr>
      <w:vertAlign w:val="superscript"/>
    </w:rPr>
  </w:style>
  <w:style w:type="character" w:styleId="PlaceholderText">
    <w:name w:val="Placeholder Text"/>
    <w:basedOn w:val="DefaultParagraphFont"/>
    <w:uiPriority w:val="99"/>
    <w:semiHidden/>
    <w:rsid w:val="008203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83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8A9BE-3DEE-41A2-8BBC-D64759B77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14406</Words>
  <Characters>82118</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Kudya</dc:creator>
  <cp:keywords/>
  <dc:description/>
  <cp:lastModifiedBy>JSC</cp:lastModifiedBy>
  <cp:revision>2</cp:revision>
  <cp:lastPrinted>2021-06-29T09:38:00Z</cp:lastPrinted>
  <dcterms:created xsi:type="dcterms:W3CDTF">2021-07-01T06:58:00Z</dcterms:created>
  <dcterms:modified xsi:type="dcterms:W3CDTF">2021-07-01T06:58:00Z</dcterms:modified>
</cp:coreProperties>
</file>