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E2" w:rsidRPr="00DB7FDB" w:rsidRDefault="00CD28E2" w:rsidP="00CD28E2">
      <w:pPr>
        <w:pStyle w:val="NoSpacing"/>
        <w:rPr>
          <w:rFonts w:ascii="Times New Roman" w:hAnsi="Times New Roman" w:cs="Times New Roman"/>
          <w:sz w:val="24"/>
          <w:szCs w:val="24"/>
        </w:rPr>
      </w:pPr>
      <w:bookmarkStart w:id="0" w:name="_GoBack"/>
      <w:bookmarkEnd w:id="0"/>
      <w:r w:rsidRPr="00DB7FDB">
        <w:rPr>
          <w:rFonts w:ascii="Times New Roman" w:hAnsi="Times New Roman" w:cs="Times New Roman"/>
          <w:sz w:val="24"/>
          <w:szCs w:val="24"/>
        </w:rPr>
        <w:t>S. MAKONYERE</w:t>
      </w:r>
    </w:p>
    <w:p w:rsidR="00CD28E2" w:rsidRPr="00DB7FDB" w:rsidRDefault="00CD28E2" w:rsidP="00CD28E2">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D28E2" w:rsidRPr="00DB7FDB" w:rsidRDefault="00CD28E2" w:rsidP="00CD28E2">
      <w:pPr>
        <w:pStyle w:val="NoSpacing"/>
        <w:rPr>
          <w:rFonts w:ascii="Times New Roman" w:hAnsi="Times New Roman" w:cs="Times New Roman"/>
          <w:sz w:val="24"/>
          <w:szCs w:val="24"/>
        </w:rPr>
      </w:pPr>
      <w:r w:rsidRPr="00DB7FDB">
        <w:rPr>
          <w:rFonts w:ascii="Times New Roman" w:hAnsi="Times New Roman" w:cs="Times New Roman"/>
          <w:sz w:val="24"/>
          <w:szCs w:val="24"/>
        </w:rPr>
        <w:t>ALFRED MUCHINI</w:t>
      </w:r>
    </w:p>
    <w:p w:rsidR="00CD28E2" w:rsidRPr="00DB7FDB" w:rsidRDefault="00CD28E2" w:rsidP="00CD28E2">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28E2" w:rsidRPr="00DB7FDB" w:rsidRDefault="00CD28E2" w:rsidP="00CD28E2">
      <w:pPr>
        <w:pStyle w:val="NoSpacing"/>
        <w:rPr>
          <w:rFonts w:ascii="Times New Roman" w:hAnsi="Times New Roman" w:cs="Times New Roman"/>
          <w:sz w:val="24"/>
          <w:szCs w:val="24"/>
        </w:rPr>
      </w:pPr>
      <w:r w:rsidRPr="00DB7FDB">
        <w:rPr>
          <w:rFonts w:ascii="Times New Roman" w:hAnsi="Times New Roman" w:cs="Times New Roman"/>
          <w:sz w:val="24"/>
          <w:szCs w:val="24"/>
        </w:rPr>
        <w:t>THE SHERIFF</w:t>
      </w:r>
    </w:p>
    <w:p w:rsidR="00CD28E2" w:rsidRPr="00DB7FDB" w:rsidRDefault="00CD28E2" w:rsidP="00CD28E2">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28E2" w:rsidRPr="00DB7FDB" w:rsidRDefault="00CD28E2" w:rsidP="00CD28E2">
      <w:pPr>
        <w:pStyle w:val="NoSpacing"/>
        <w:rPr>
          <w:rFonts w:ascii="Times New Roman" w:hAnsi="Times New Roman" w:cs="Times New Roman"/>
          <w:sz w:val="24"/>
          <w:szCs w:val="24"/>
        </w:rPr>
      </w:pPr>
      <w:r w:rsidRPr="00DB7FDB">
        <w:rPr>
          <w:rFonts w:ascii="Times New Roman" w:hAnsi="Times New Roman" w:cs="Times New Roman"/>
          <w:sz w:val="24"/>
          <w:szCs w:val="24"/>
        </w:rPr>
        <w:t>THE MASTER OF THE HIGH COURT</w:t>
      </w:r>
    </w:p>
    <w:p w:rsidR="00CD28E2" w:rsidRDefault="00CD28E2" w:rsidP="00CD28E2">
      <w:pPr>
        <w:rPr>
          <w:sz w:val="24"/>
          <w:szCs w:val="24"/>
        </w:rPr>
      </w:pPr>
    </w:p>
    <w:p w:rsidR="00CD28E2" w:rsidRPr="00DB7FDB" w:rsidRDefault="00CD28E2" w:rsidP="00CD28E2">
      <w:pPr>
        <w:pStyle w:val="NoSpacing"/>
        <w:rPr>
          <w:rFonts w:ascii="Times New Roman" w:hAnsi="Times New Roman" w:cs="Times New Roman"/>
          <w:sz w:val="24"/>
          <w:szCs w:val="24"/>
        </w:rPr>
      </w:pPr>
      <w:r w:rsidRPr="00DB7FDB">
        <w:rPr>
          <w:rFonts w:ascii="Times New Roman" w:hAnsi="Times New Roman" w:cs="Times New Roman"/>
          <w:sz w:val="24"/>
          <w:szCs w:val="24"/>
        </w:rPr>
        <w:t>HIGH COURT OF ZIMBABWE</w:t>
      </w:r>
    </w:p>
    <w:p w:rsidR="00CD28E2" w:rsidRPr="00DB7FDB" w:rsidRDefault="00CD28E2" w:rsidP="00CD28E2">
      <w:pPr>
        <w:pStyle w:val="NoSpacing"/>
        <w:rPr>
          <w:rFonts w:ascii="Times New Roman" w:hAnsi="Times New Roman" w:cs="Times New Roman"/>
          <w:sz w:val="24"/>
          <w:szCs w:val="24"/>
        </w:rPr>
      </w:pPr>
      <w:r w:rsidRPr="00DB7FDB">
        <w:rPr>
          <w:rFonts w:ascii="Times New Roman" w:hAnsi="Times New Roman" w:cs="Times New Roman"/>
          <w:sz w:val="24"/>
          <w:szCs w:val="24"/>
        </w:rPr>
        <w:t>GUVAVA J</w:t>
      </w:r>
    </w:p>
    <w:p w:rsidR="00CD28E2" w:rsidRPr="00DB7FDB" w:rsidRDefault="00CD28E2" w:rsidP="00CD28E2">
      <w:pPr>
        <w:pStyle w:val="NoSpacing"/>
        <w:rPr>
          <w:rFonts w:ascii="Times New Roman" w:hAnsi="Times New Roman" w:cs="Times New Roman"/>
          <w:sz w:val="24"/>
          <w:szCs w:val="24"/>
        </w:rPr>
      </w:pPr>
      <w:r>
        <w:rPr>
          <w:rFonts w:ascii="Times New Roman" w:hAnsi="Times New Roman" w:cs="Times New Roman"/>
          <w:sz w:val="24"/>
          <w:szCs w:val="24"/>
        </w:rPr>
        <w:t>HARARE, 14 February</w:t>
      </w:r>
      <w:r w:rsidRPr="00DB7FDB">
        <w:rPr>
          <w:rFonts w:ascii="Times New Roman" w:hAnsi="Times New Roman" w:cs="Times New Roman"/>
          <w:sz w:val="24"/>
          <w:szCs w:val="24"/>
        </w:rPr>
        <w:t xml:space="preserve"> 2013</w:t>
      </w:r>
    </w:p>
    <w:p w:rsidR="00CD28E2" w:rsidRDefault="00CD28E2" w:rsidP="00CD28E2">
      <w:pPr>
        <w:rPr>
          <w:sz w:val="24"/>
          <w:szCs w:val="24"/>
        </w:rPr>
      </w:pPr>
    </w:p>
    <w:p w:rsidR="00CD28E2" w:rsidRPr="00454160" w:rsidRDefault="00CD28E2" w:rsidP="00CD28E2">
      <w:pPr>
        <w:rPr>
          <w:rFonts w:ascii="Times New Roman" w:hAnsi="Times New Roman" w:cs="Times New Roman"/>
          <w:b/>
          <w:sz w:val="24"/>
          <w:szCs w:val="24"/>
        </w:rPr>
      </w:pPr>
      <w:r w:rsidRPr="00454160">
        <w:rPr>
          <w:rFonts w:ascii="Times New Roman" w:hAnsi="Times New Roman" w:cs="Times New Roman"/>
          <w:b/>
          <w:sz w:val="24"/>
          <w:szCs w:val="24"/>
        </w:rPr>
        <w:t>FAMILY LAW COURT</w:t>
      </w:r>
    </w:p>
    <w:p w:rsidR="00CD28E2" w:rsidRPr="00454160" w:rsidRDefault="00CD28E2" w:rsidP="00CD28E2">
      <w:pPr>
        <w:rPr>
          <w:rFonts w:ascii="Times New Roman" w:hAnsi="Times New Roman" w:cs="Times New Roman"/>
          <w:b/>
          <w:sz w:val="24"/>
          <w:szCs w:val="24"/>
        </w:rPr>
      </w:pPr>
      <w:r w:rsidRPr="00454160">
        <w:rPr>
          <w:rFonts w:ascii="Times New Roman" w:hAnsi="Times New Roman" w:cs="Times New Roman"/>
          <w:b/>
          <w:sz w:val="24"/>
          <w:szCs w:val="24"/>
        </w:rPr>
        <w:t>Opposed Application</w:t>
      </w:r>
    </w:p>
    <w:p w:rsidR="00CD28E2" w:rsidRPr="00E64801" w:rsidRDefault="00CD28E2" w:rsidP="00CD28E2">
      <w:pPr>
        <w:pStyle w:val="NoSpacing"/>
        <w:rPr>
          <w:rFonts w:ascii="Times New Roman" w:hAnsi="Times New Roman" w:cs="Times New Roman"/>
          <w:sz w:val="24"/>
          <w:szCs w:val="24"/>
        </w:rPr>
      </w:pPr>
      <w:r w:rsidRPr="00C70281">
        <w:rPr>
          <w:rFonts w:ascii="Times New Roman" w:hAnsi="Times New Roman" w:cs="Times New Roman"/>
          <w:i/>
          <w:sz w:val="24"/>
          <w:szCs w:val="24"/>
        </w:rPr>
        <w:t>T .</w:t>
      </w:r>
      <w:proofErr w:type="spellStart"/>
      <w:r w:rsidRPr="00C70281">
        <w:rPr>
          <w:rFonts w:ascii="Times New Roman" w:hAnsi="Times New Roman" w:cs="Times New Roman"/>
          <w:i/>
          <w:sz w:val="24"/>
          <w:szCs w:val="24"/>
        </w:rPr>
        <w:t>Mpofu</w:t>
      </w:r>
      <w:proofErr w:type="gramStart"/>
      <w:r w:rsidRPr="00E64801">
        <w:rPr>
          <w:rFonts w:ascii="Times New Roman" w:hAnsi="Times New Roman" w:cs="Times New Roman"/>
          <w:sz w:val="24"/>
          <w:szCs w:val="24"/>
        </w:rPr>
        <w:t>,for</w:t>
      </w:r>
      <w:proofErr w:type="spellEnd"/>
      <w:proofErr w:type="gramEnd"/>
      <w:r w:rsidRPr="00E64801">
        <w:rPr>
          <w:rFonts w:ascii="Times New Roman" w:hAnsi="Times New Roman" w:cs="Times New Roman"/>
          <w:sz w:val="24"/>
          <w:szCs w:val="24"/>
        </w:rPr>
        <w:t xml:space="preserve"> the Applicant</w:t>
      </w:r>
    </w:p>
    <w:p w:rsidR="00CD28E2" w:rsidRPr="00E64801" w:rsidRDefault="00CD28E2" w:rsidP="00CD28E2">
      <w:pPr>
        <w:pStyle w:val="NoSpacing"/>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sidRPr="00C70281">
        <w:rPr>
          <w:rFonts w:ascii="Times New Roman" w:hAnsi="Times New Roman" w:cs="Times New Roman"/>
          <w:i/>
          <w:sz w:val="24"/>
          <w:szCs w:val="24"/>
        </w:rPr>
        <w:t>Nyeperai</w:t>
      </w:r>
      <w:proofErr w:type="spellEnd"/>
      <w:r>
        <w:rPr>
          <w:rFonts w:ascii="Times New Roman" w:hAnsi="Times New Roman" w:cs="Times New Roman"/>
          <w:sz w:val="24"/>
          <w:szCs w:val="24"/>
        </w:rPr>
        <w:t>,</w:t>
      </w:r>
      <w:r w:rsidRPr="00E64801">
        <w:rPr>
          <w:rFonts w:ascii="Times New Roman" w:hAnsi="Times New Roman" w:cs="Times New Roman"/>
          <w:sz w:val="24"/>
          <w:szCs w:val="24"/>
        </w:rPr>
        <w:t xml:space="preserve"> for the Respondent</w:t>
      </w:r>
    </w:p>
    <w:p w:rsidR="00CD28E2" w:rsidRDefault="00CD28E2" w:rsidP="00CD28E2">
      <w:pPr>
        <w:spacing w:after="0" w:line="360" w:lineRule="auto"/>
        <w:jc w:val="both"/>
        <w:rPr>
          <w:sz w:val="24"/>
          <w:szCs w:val="24"/>
        </w:rPr>
      </w:pPr>
    </w:p>
    <w:p w:rsidR="00CD28E2" w:rsidRPr="00C22CE2" w:rsidRDefault="00CD28E2" w:rsidP="00CD28E2">
      <w:pPr>
        <w:spacing w:after="0" w:line="360" w:lineRule="auto"/>
        <w:jc w:val="both"/>
        <w:rPr>
          <w:rFonts w:ascii="Times New Roman" w:hAnsi="Times New Roman" w:cs="Times New Roman"/>
          <w:sz w:val="24"/>
          <w:szCs w:val="24"/>
        </w:rPr>
      </w:pPr>
      <w:r>
        <w:rPr>
          <w:sz w:val="24"/>
          <w:szCs w:val="24"/>
        </w:rPr>
        <w:tab/>
      </w:r>
      <w:r w:rsidRPr="00E64801">
        <w:rPr>
          <w:rFonts w:ascii="Times New Roman" w:hAnsi="Times New Roman" w:cs="Times New Roman"/>
          <w:sz w:val="24"/>
          <w:szCs w:val="24"/>
        </w:rPr>
        <w:t>GUVAVA J: This is a matter in which I stayed my decision pending the determination of an appeal in case number CA197/07. The appeal was determined on 5 October 2011 but the respondent in this case promptly noted an appeal with the Supreme Court a</w:t>
      </w:r>
      <w:r>
        <w:rPr>
          <w:rFonts w:ascii="Times New Roman" w:hAnsi="Times New Roman" w:cs="Times New Roman"/>
          <w:sz w:val="24"/>
          <w:szCs w:val="24"/>
        </w:rPr>
        <w:t>gainst the judgment of HLATSHWAYO</w:t>
      </w:r>
      <w:r w:rsidRPr="00E64801">
        <w:rPr>
          <w:rFonts w:ascii="Times New Roman" w:hAnsi="Times New Roman" w:cs="Times New Roman"/>
          <w:sz w:val="24"/>
          <w:szCs w:val="24"/>
        </w:rPr>
        <w:t xml:space="preserve"> J. The parties submitted that the determination of the matter again be stayed pending the decision of the Supreme Court.  By letter dated 29 October 2012 the parties advised that the appeal before the Supreme Court had been removed from the roll by consent of both parties. Thus, as there is no longer an appeal </w:t>
      </w:r>
      <w:r w:rsidRPr="00C22CE2">
        <w:rPr>
          <w:rFonts w:ascii="Times New Roman" w:hAnsi="Times New Roman" w:cs="Times New Roman"/>
          <w:sz w:val="24"/>
          <w:szCs w:val="24"/>
        </w:rPr>
        <w:t xml:space="preserve">before the Supreme Court, I can now determine the application before me. </w:t>
      </w:r>
    </w:p>
    <w:p w:rsidR="00CD28E2" w:rsidRPr="00371BAF" w:rsidRDefault="00CD28E2" w:rsidP="00CD28E2">
      <w:pPr>
        <w:spacing w:line="360" w:lineRule="auto"/>
        <w:jc w:val="both"/>
        <w:rPr>
          <w:rFonts w:ascii="Times New Roman" w:hAnsi="Times New Roman" w:cs="Times New Roman"/>
          <w:sz w:val="24"/>
          <w:szCs w:val="24"/>
        </w:rPr>
      </w:pPr>
      <w:r>
        <w:rPr>
          <w:sz w:val="24"/>
          <w:szCs w:val="24"/>
        </w:rPr>
        <w:tab/>
      </w:r>
      <w:r w:rsidRPr="00371BAF">
        <w:rPr>
          <w:rFonts w:ascii="Times New Roman" w:hAnsi="Times New Roman" w:cs="Times New Roman"/>
          <w:sz w:val="24"/>
          <w:szCs w:val="24"/>
        </w:rPr>
        <w:t>The facts of this matter are mainly common cause and may be summarised as follows: The applicant in this case was the executor dative of the estate</w:t>
      </w:r>
      <w:r>
        <w:rPr>
          <w:rFonts w:ascii="Times New Roman" w:hAnsi="Times New Roman" w:cs="Times New Roman"/>
          <w:sz w:val="24"/>
          <w:szCs w:val="24"/>
        </w:rPr>
        <w:t xml:space="preserve"> of the</w:t>
      </w:r>
      <w:r w:rsidRPr="00371BAF">
        <w:rPr>
          <w:rFonts w:ascii="Times New Roman" w:hAnsi="Times New Roman" w:cs="Times New Roman"/>
          <w:sz w:val="24"/>
          <w:szCs w:val="24"/>
        </w:rPr>
        <w:t xml:space="preserve"> Late Alvin Roy Adams who passed away on 9 July 2004. (The deceased) The deceased was survived by his wife and three children who are all majors. Upon his death he left an immovable property being a certain piece of land in the District of Victoria, Lot 13 of </w:t>
      </w:r>
      <w:proofErr w:type="spellStart"/>
      <w:r w:rsidRPr="00371BAF">
        <w:rPr>
          <w:rFonts w:ascii="Times New Roman" w:hAnsi="Times New Roman" w:cs="Times New Roman"/>
          <w:sz w:val="24"/>
          <w:szCs w:val="24"/>
        </w:rPr>
        <w:t>Glynham</w:t>
      </w:r>
      <w:proofErr w:type="spellEnd"/>
      <w:r w:rsidRPr="00371BAF">
        <w:rPr>
          <w:rFonts w:ascii="Times New Roman" w:hAnsi="Times New Roman" w:cs="Times New Roman"/>
          <w:sz w:val="24"/>
          <w:szCs w:val="24"/>
        </w:rPr>
        <w:t>, measuring 1</w:t>
      </w:r>
      <w:proofErr w:type="gramStart"/>
      <w:r w:rsidRPr="00371BAF">
        <w:rPr>
          <w:rFonts w:ascii="Times New Roman" w:hAnsi="Times New Roman" w:cs="Times New Roman"/>
          <w:sz w:val="24"/>
          <w:szCs w:val="24"/>
        </w:rPr>
        <w:t>,8629</w:t>
      </w:r>
      <w:proofErr w:type="gramEnd"/>
      <w:r w:rsidRPr="00371BAF">
        <w:rPr>
          <w:rFonts w:ascii="Times New Roman" w:hAnsi="Times New Roman" w:cs="Times New Roman"/>
          <w:sz w:val="24"/>
          <w:szCs w:val="24"/>
        </w:rPr>
        <w:t xml:space="preserve"> ha also known as 21 </w:t>
      </w:r>
      <w:proofErr w:type="spellStart"/>
      <w:r w:rsidRPr="00371BAF">
        <w:rPr>
          <w:rFonts w:ascii="Times New Roman" w:hAnsi="Times New Roman" w:cs="Times New Roman"/>
          <w:sz w:val="24"/>
          <w:szCs w:val="24"/>
        </w:rPr>
        <w:t>Glynham</w:t>
      </w:r>
      <w:proofErr w:type="spellEnd"/>
      <w:r w:rsidRPr="00371BAF">
        <w:rPr>
          <w:rFonts w:ascii="Times New Roman" w:hAnsi="Times New Roman" w:cs="Times New Roman"/>
          <w:sz w:val="24"/>
          <w:szCs w:val="24"/>
        </w:rPr>
        <w:t xml:space="preserve"> Road, </w:t>
      </w:r>
      <w:proofErr w:type="spellStart"/>
      <w:r w:rsidRPr="00371BAF">
        <w:rPr>
          <w:rFonts w:ascii="Times New Roman" w:hAnsi="Times New Roman" w:cs="Times New Roman"/>
          <w:sz w:val="24"/>
          <w:szCs w:val="24"/>
        </w:rPr>
        <w:t>Masvingo</w:t>
      </w:r>
      <w:proofErr w:type="spellEnd"/>
      <w:r w:rsidRPr="00371BAF">
        <w:rPr>
          <w:rFonts w:ascii="Times New Roman" w:hAnsi="Times New Roman" w:cs="Times New Roman"/>
          <w:sz w:val="24"/>
          <w:szCs w:val="24"/>
        </w:rPr>
        <w:t xml:space="preserve"> which was registered in his name. A year after deceased's death his wife sold the property to the </w:t>
      </w:r>
      <w:r>
        <w:rPr>
          <w:rFonts w:ascii="Times New Roman" w:hAnsi="Times New Roman" w:cs="Times New Roman"/>
          <w:sz w:val="24"/>
          <w:szCs w:val="24"/>
        </w:rPr>
        <w:t xml:space="preserve">first </w:t>
      </w:r>
      <w:r w:rsidRPr="00371BAF">
        <w:rPr>
          <w:rFonts w:ascii="Times New Roman" w:hAnsi="Times New Roman" w:cs="Times New Roman"/>
          <w:sz w:val="24"/>
          <w:szCs w:val="24"/>
        </w:rPr>
        <w:t xml:space="preserve">respondent for the sum of $350 000 000. The agreement of sale was drawn up by </w:t>
      </w:r>
      <w:proofErr w:type="spellStart"/>
      <w:r w:rsidRPr="00371BAF">
        <w:rPr>
          <w:rFonts w:ascii="Times New Roman" w:hAnsi="Times New Roman" w:cs="Times New Roman"/>
          <w:sz w:val="24"/>
          <w:szCs w:val="24"/>
        </w:rPr>
        <w:t>Messers</w:t>
      </w:r>
      <w:proofErr w:type="spellEnd"/>
      <w:r>
        <w:rPr>
          <w:rFonts w:ascii="Times New Roman" w:hAnsi="Times New Roman" w:cs="Times New Roman"/>
          <w:sz w:val="24"/>
          <w:szCs w:val="24"/>
        </w:rPr>
        <w:t xml:space="preserve"> </w:t>
      </w:r>
      <w:proofErr w:type="spellStart"/>
      <w:r w:rsidRPr="00371BAF">
        <w:rPr>
          <w:rFonts w:ascii="Times New Roman" w:hAnsi="Times New Roman" w:cs="Times New Roman"/>
          <w:sz w:val="24"/>
          <w:szCs w:val="24"/>
        </w:rPr>
        <w:t>Mwonzora</w:t>
      </w:r>
      <w:proofErr w:type="spellEnd"/>
      <w:r w:rsidRPr="00371BAF">
        <w:rPr>
          <w:rFonts w:ascii="Times New Roman" w:hAnsi="Times New Roman" w:cs="Times New Roman"/>
          <w:sz w:val="24"/>
          <w:szCs w:val="24"/>
        </w:rPr>
        <w:t xml:space="preserve"> and Associates who represented both the deceased's wife and the purchaser.  The full purchase price was paid to </w:t>
      </w:r>
      <w:r w:rsidRPr="00371BAF">
        <w:rPr>
          <w:rFonts w:ascii="Times New Roman" w:hAnsi="Times New Roman" w:cs="Times New Roman"/>
          <w:sz w:val="24"/>
          <w:szCs w:val="24"/>
        </w:rPr>
        <w:lastRenderedPageBreak/>
        <w:t>the legal practitioners. The respondent was thereafter granted vacant possession of the property pending registration and transfer.</w:t>
      </w:r>
    </w:p>
    <w:p w:rsidR="00CD28E2" w:rsidRPr="00371BAF" w:rsidRDefault="00CD28E2" w:rsidP="00CD28E2">
      <w:pPr>
        <w:spacing w:line="360" w:lineRule="auto"/>
        <w:jc w:val="both"/>
        <w:rPr>
          <w:rFonts w:ascii="Times New Roman" w:hAnsi="Times New Roman" w:cs="Times New Roman"/>
          <w:sz w:val="24"/>
          <w:szCs w:val="24"/>
        </w:rPr>
      </w:pPr>
      <w:r>
        <w:tab/>
      </w:r>
      <w:r w:rsidRPr="00371BAF">
        <w:rPr>
          <w:rFonts w:ascii="Times New Roman" w:hAnsi="Times New Roman" w:cs="Times New Roman"/>
          <w:sz w:val="24"/>
          <w:szCs w:val="24"/>
        </w:rPr>
        <w:t xml:space="preserve">The deceased's estate was subsequently registered and the applicant appointed as executor dative of the deceased's estate. He instituted proceedings out of this court seeking to evict the respondent from the property. He submitted to the court that the sale to the respondent was illegal as it was </w:t>
      </w:r>
      <w:proofErr w:type="gramStart"/>
      <w:r w:rsidRPr="00371BAF">
        <w:rPr>
          <w:rFonts w:ascii="Times New Roman" w:hAnsi="Times New Roman" w:cs="Times New Roman"/>
          <w:sz w:val="24"/>
          <w:szCs w:val="24"/>
        </w:rPr>
        <w:t>effected</w:t>
      </w:r>
      <w:proofErr w:type="gramEnd"/>
      <w:r w:rsidRPr="00371BAF">
        <w:rPr>
          <w:rFonts w:ascii="Times New Roman" w:hAnsi="Times New Roman" w:cs="Times New Roman"/>
          <w:sz w:val="24"/>
          <w:szCs w:val="24"/>
        </w:rPr>
        <w:t xml:space="preserve"> without the Masters</w:t>
      </w:r>
      <w:r>
        <w:rPr>
          <w:rFonts w:ascii="Times New Roman" w:hAnsi="Times New Roman" w:cs="Times New Roman"/>
          <w:sz w:val="24"/>
          <w:szCs w:val="24"/>
        </w:rPr>
        <w:t>’</w:t>
      </w:r>
      <w:r w:rsidRPr="00371BAF">
        <w:rPr>
          <w:rFonts w:ascii="Times New Roman" w:hAnsi="Times New Roman" w:cs="Times New Roman"/>
          <w:sz w:val="24"/>
          <w:szCs w:val="24"/>
        </w:rPr>
        <w:t xml:space="preserve"> consent and the deceased's wife did not have the requisite authority to sell as she was not the executor of the estate. The first respondent opposed the application on the basis that the surviving spouse sold the property as she was in a dire financial position. He submitted that in such circumstances a sale may be carried out without the master's consent and before the registration of the estate in terms of section 41 of the Administration of Estates Act [</w:t>
      </w:r>
      <w:r>
        <w:rPr>
          <w:rFonts w:ascii="Times New Roman" w:hAnsi="Times New Roman" w:cs="Times New Roman"/>
          <w:i/>
          <w:sz w:val="24"/>
          <w:szCs w:val="24"/>
        </w:rPr>
        <w:t>Cap</w:t>
      </w:r>
      <w:r w:rsidRPr="00371BAF">
        <w:rPr>
          <w:rFonts w:ascii="Times New Roman" w:hAnsi="Times New Roman" w:cs="Times New Roman"/>
          <w:i/>
          <w:sz w:val="24"/>
          <w:szCs w:val="24"/>
        </w:rPr>
        <w:t xml:space="preserve"> 6:01].</w:t>
      </w:r>
      <w:r w:rsidRPr="00371BAF">
        <w:rPr>
          <w:rFonts w:ascii="Times New Roman" w:hAnsi="Times New Roman" w:cs="Times New Roman"/>
          <w:sz w:val="24"/>
          <w:szCs w:val="24"/>
        </w:rPr>
        <w:t xml:space="preserve"> The respondent also filed a counter claim for the transfer of the property into his name.</w:t>
      </w:r>
    </w:p>
    <w:p w:rsidR="00CD28E2" w:rsidRPr="007C64AC" w:rsidRDefault="00CD28E2" w:rsidP="00CD28E2">
      <w:pPr>
        <w:spacing w:line="360" w:lineRule="auto"/>
        <w:jc w:val="both"/>
        <w:rPr>
          <w:rFonts w:ascii="Times New Roman" w:hAnsi="Times New Roman" w:cs="Times New Roman"/>
          <w:sz w:val="24"/>
          <w:szCs w:val="24"/>
        </w:rPr>
      </w:pPr>
      <w:r>
        <w:tab/>
      </w:r>
      <w:r w:rsidRPr="007C64AC">
        <w:rPr>
          <w:rFonts w:ascii="Times New Roman" w:hAnsi="Times New Roman" w:cs="Times New Roman"/>
          <w:sz w:val="24"/>
          <w:szCs w:val="24"/>
        </w:rPr>
        <w:t>At the commencement of the proceedings the applicant’s counsel applied to substitute the appli</w:t>
      </w:r>
      <w:r>
        <w:rPr>
          <w:rFonts w:ascii="Times New Roman" w:hAnsi="Times New Roman" w:cs="Times New Roman"/>
          <w:sz w:val="24"/>
          <w:szCs w:val="24"/>
        </w:rPr>
        <w:t xml:space="preserve">cant so that it becomes </w:t>
      </w:r>
      <w:proofErr w:type="spellStart"/>
      <w:r w:rsidRPr="007C64AC">
        <w:rPr>
          <w:rFonts w:ascii="Times New Roman" w:hAnsi="Times New Roman" w:cs="Times New Roman"/>
          <w:sz w:val="24"/>
          <w:szCs w:val="24"/>
        </w:rPr>
        <w:t>Chantelle</w:t>
      </w:r>
      <w:proofErr w:type="spellEnd"/>
      <w:r w:rsidRPr="007C64AC">
        <w:rPr>
          <w:rFonts w:ascii="Times New Roman" w:hAnsi="Times New Roman" w:cs="Times New Roman"/>
          <w:sz w:val="24"/>
          <w:szCs w:val="24"/>
        </w:rPr>
        <w:t xml:space="preserve"> Adams who has been appointed as the new executor of the estate. The amendment was admitted by consent. The applicant also raised a point </w:t>
      </w:r>
      <w:r w:rsidRPr="007C64AC">
        <w:rPr>
          <w:rFonts w:ascii="Times New Roman" w:hAnsi="Times New Roman" w:cs="Times New Roman"/>
          <w:i/>
          <w:sz w:val="24"/>
          <w:szCs w:val="24"/>
        </w:rPr>
        <w:t xml:space="preserve">in </w:t>
      </w:r>
      <w:proofErr w:type="spellStart"/>
      <w:r w:rsidRPr="007C64AC">
        <w:rPr>
          <w:rFonts w:ascii="Times New Roman" w:hAnsi="Times New Roman" w:cs="Times New Roman"/>
          <w:i/>
          <w:sz w:val="24"/>
          <w:szCs w:val="24"/>
        </w:rPr>
        <w:t>limine</w:t>
      </w:r>
      <w:proofErr w:type="spellEnd"/>
      <w:r w:rsidRPr="007C64AC">
        <w:rPr>
          <w:rFonts w:ascii="Times New Roman" w:hAnsi="Times New Roman" w:cs="Times New Roman"/>
          <w:sz w:val="24"/>
          <w:szCs w:val="24"/>
        </w:rPr>
        <w:t>. It was argued that the first respondent’s defence and counterclaim must be dismissed as it was</w:t>
      </w:r>
      <w:r>
        <w:rPr>
          <w:rFonts w:ascii="Times New Roman" w:hAnsi="Times New Roman" w:cs="Times New Roman"/>
          <w:sz w:val="24"/>
          <w:szCs w:val="24"/>
        </w:rPr>
        <w:t xml:space="preserve"> res judicata as it was</w:t>
      </w:r>
      <w:r w:rsidRPr="007C64AC">
        <w:rPr>
          <w:rFonts w:ascii="Times New Roman" w:hAnsi="Times New Roman" w:cs="Times New Roman"/>
          <w:sz w:val="24"/>
          <w:szCs w:val="24"/>
        </w:rPr>
        <w:t xml:space="preserve"> based on a point that had been raised before the Magistrate’s Co</w:t>
      </w:r>
      <w:r>
        <w:rPr>
          <w:rFonts w:ascii="Times New Roman" w:hAnsi="Times New Roman" w:cs="Times New Roman"/>
          <w:sz w:val="24"/>
          <w:szCs w:val="24"/>
        </w:rPr>
        <w:t xml:space="preserve">urt and </w:t>
      </w:r>
      <w:proofErr w:type="spellStart"/>
      <w:r>
        <w:rPr>
          <w:rFonts w:ascii="Times New Roman" w:hAnsi="Times New Roman" w:cs="Times New Roman"/>
          <w:sz w:val="24"/>
          <w:szCs w:val="24"/>
        </w:rPr>
        <w:t>dismissed.</w:t>
      </w:r>
      <w:r w:rsidRPr="007C64AC">
        <w:rPr>
          <w:rFonts w:ascii="Times New Roman" w:hAnsi="Times New Roman" w:cs="Times New Roman"/>
          <w:sz w:val="24"/>
          <w:szCs w:val="24"/>
        </w:rPr>
        <w:t>The</w:t>
      </w:r>
      <w:proofErr w:type="spellEnd"/>
      <w:r w:rsidRPr="007C64AC">
        <w:rPr>
          <w:rFonts w:ascii="Times New Roman" w:hAnsi="Times New Roman" w:cs="Times New Roman"/>
          <w:sz w:val="24"/>
          <w:szCs w:val="24"/>
        </w:rPr>
        <w:t xml:space="preserve"> respondents opposed the point raised and submitted that there was no final judgment as they had appealed against the magistrate's decision and the appeal was still pending. The respondent also submitted that the issue of</w:t>
      </w:r>
      <w:r w:rsidRPr="007C64AC">
        <w:rPr>
          <w:rFonts w:ascii="Times New Roman" w:hAnsi="Times New Roman" w:cs="Times New Roman"/>
          <w:i/>
          <w:sz w:val="24"/>
          <w:szCs w:val="24"/>
        </w:rPr>
        <w:t xml:space="preserve"> res judicata </w:t>
      </w:r>
      <w:r w:rsidRPr="007C64AC">
        <w:rPr>
          <w:rFonts w:ascii="Times New Roman" w:hAnsi="Times New Roman" w:cs="Times New Roman"/>
          <w:sz w:val="24"/>
          <w:szCs w:val="24"/>
        </w:rPr>
        <w:t xml:space="preserve">had been improperly raised by the applicant as it was only raised in the answering affidavit. </w:t>
      </w:r>
    </w:p>
    <w:p w:rsidR="00CD28E2" w:rsidRPr="007C64AC" w:rsidRDefault="00CD28E2" w:rsidP="00CD28E2">
      <w:pPr>
        <w:spacing w:line="360" w:lineRule="auto"/>
        <w:ind w:firstLine="720"/>
        <w:jc w:val="both"/>
        <w:rPr>
          <w:rFonts w:ascii="Times New Roman" w:hAnsi="Times New Roman" w:cs="Times New Roman"/>
          <w:sz w:val="24"/>
          <w:szCs w:val="24"/>
        </w:rPr>
      </w:pPr>
      <w:r w:rsidRPr="007C64AC">
        <w:rPr>
          <w:rFonts w:ascii="Times New Roman" w:hAnsi="Times New Roman" w:cs="Times New Roman"/>
          <w:sz w:val="24"/>
          <w:szCs w:val="24"/>
        </w:rPr>
        <w:t xml:space="preserve">The plea of </w:t>
      </w:r>
      <w:r w:rsidRPr="007C64AC">
        <w:rPr>
          <w:rFonts w:ascii="Times New Roman" w:hAnsi="Times New Roman" w:cs="Times New Roman"/>
          <w:i/>
          <w:sz w:val="24"/>
          <w:szCs w:val="24"/>
        </w:rPr>
        <w:t>res judicata</w:t>
      </w:r>
      <w:r w:rsidRPr="007C64AC">
        <w:rPr>
          <w:rFonts w:ascii="Times New Roman" w:hAnsi="Times New Roman" w:cs="Times New Roman"/>
          <w:sz w:val="24"/>
          <w:szCs w:val="24"/>
        </w:rPr>
        <w:t xml:space="preserve"> is a special plea</w:t>
      </w:r>
      <w:r>
        <w:rPr>
          <w:rFonts w:ascii="Times New Roman" w:hAnsi="Times New Roman" w:cs="Times New Roman"/>
          <w:sz w:val="24"/>
          <w:szCs w:val="24"/>
        </w:rPr>
        <w:t xml:space="preserve"> and</w:t>
      </w:r>
      <w:r w:rsidRPr="007C64AC">
        <w:rPr>
          <w:rFonts w:ascii="Times New Roman" w:hAnsi="Times New Roman" w:cs="Times New Roman"/>
          <w:sz w:val="24"/>
          <w:szCs w:val="24"/>
        </w:rPr>
        <w:t xml:space="preserve"> it has to be specifically pleaded by a party relying upon it. In this case the applicant referred to it in his opposing affidavit to applicants counter application in paragraph 10. He subsequently filed an answering affidavit where he elaborated the point. Whilst the applicant </w:t>
      </w:r>
      <w:proofErr w:type="gramStart"/>
      <w:r w:rsidRPr="007C64AC">
        <w:rPr>
          <w:rFonts w:ascii="Times New Roman" w:hAnsi="Times New Roman" w:cs="Times New Roman"/>
          <w:sz w:val="24"/>
          <w:szCs w:val="24"/>
        </w:rPr>
        <w:t>raised</w:t>
      </w:r>
      <w:proofErr w:type="gramEnd"/>
      <w:r w:rsidRPr="007C64AC">
        <w:rPr>
          <w:rFonts w:ascii="Times New Roman" w:hAnsi="Times New Roman" w:cs="Times New Roman"/>
          <w:sz w:val="24"/>
          <w:szCs w:val="24"/>
        </w:rPr>
        <w:t xml:space="preserve"> the point very inelegantly in the opposing affidavit there can be no doubt that it was dealt with fully in the answering affidavit. In my view the issue is clearly before the court and as it raises an issue of the jurisdiction of the court it seems to me that it must be determined.</w:t>
      </w:r>
    </w:p>
    <w:p w:rsidR="00CD28E2" w:rsidRPr="007C64AC" w:rsidRDefault="00CD28E2" w:rsidP="00CD28E2">
      <w:pPr>
        <w:spacing w:line="360" w:lineRule="auto"/>
        <w:jc w:val="both"/>
        <w:rPr>
          <w:rFonts w:ascii="Times New Roman" w:hAnsi="Times New Roman" w:cs="Times New Roman"/>
          <w:sz w:val="24"/>
          <w:szCs w:val="24"/>
        </w:rPr>
      </w:pPr>
      <w:r>
        <w:tab/>
      </w:r>
      <w:r w:rsidRPr="007C64AC">
        <w:rPr>
          <w:rFonts w:ascii="Times New Roman" w:hAnsi="Times New Roman" w:cs="Times New Roman"/>
          <w:sz w:val="24"/>
          <w:szCs w:val="24"/>
        </w:rPr>
        <w:t xml:space="preserve">The principle of the </w:t>
      </w:r>
      <w:r w:rsidRPr="007C64AC">
        <w:rPr>
          <w:rFonts w:ascii="Times New Roman" w:hAnsi="Times New Roman" w:cs="Times New Roman"/>
          <w:i/>
          <w:sz w:val="24"/>
          <w:szCs w:val="24"/>
        </w:rPr>
        <w:t>res judicata</w:t>
      </w:r>
      <w:r w:rsidRPr="007C64AC">
        <w:rPr>
          <w:rFonts w:ascii="Times New Roman" w:hAnsi="Times New Roman" w:cs="Times New Roman"/>
          <w:sz w:val="24"/>
          <w:szCs w:val="24"/>
        </w:rPr>
        <w:t xml:space="preserve"> has been expressed in the case of </w:t>
      </w:r>
      <w:proofErr w:type="spellStart"/>
      <w:r w:rsidRPr="007C64AC">
        <w:rPr>
          <w:rFonts w:ascii="Times New Roman" w:hAnsi="Times New Roman" w:cs="Times New Roman"/>
          <w:i/>
          <w:sz w:val="24"/>
          <w:szCs w:val="24"/>
        </w:rPr>
        <w:t>Wolfenden</w:t>
      </w:r>
      <w:proofErr w:type="spellEnd"/>
      <w:r w:rsidRPr="007C64AC">
        <w:rPr>
          <w:rFonts w:ascii="Times New Roman" w:hAnsi="Times New Roman" w:cs="Times New Roman"/>
          <w:i/>
          <w:sz w:val="24"/>
          <w:szCs w:val="24"/>
        </w:rPr>
        <w:t xml:space="preserve"> v Jackson </w:t>
      </w:r>
      <w:r w:rsidRPr="007C64AC">
        <w:rPr>
          <w:rFonts w:ascii="Times New Roman" w:hAnsi="Times New Roman" w:cs="Times New Roman"/>
          <w:sz w:val="24"/>
          <w:szCs w:val="24"/>
        </w:rPr>
        <w:t>1985 (2) ZLR 313 as follows:</w:t>
      </w:r>
    </w:p>
    <w:p w:rsidR="00CD28E2" w:rsidRPr="007C64AC" w:rsidRDefault="00CD28E2" w:rsidP="00CD28E2">
      <w:pPr>
        <w:spacing w:line="360" w:lineRule="auto"/>
        <w:ind w:left="720" w:firstLine="45"/>
        <w:jc w:val="both"/>
        <w:rPr>
          <w:rFonts w:ascii="Times New Roman" w:hAnsi="Times New Roman" w:cs="Times New Roman"/>
          <w:sz w:val="24"/>
          <w:szCs w:val="24"/>
        </w:rPr>
      </w:pPr>
      <w:r>
        <w:lastRenderedPageBreak/>
        <w:t>"</w:t>
      </w:r>
      <w:r w:rsidRPr="007C64AC">
        <w:rPr>
          <w:rFonts w:ascii="Times New Roman" w:hAnsi="Times New Roman" w:cs="Times New Roman"/>
          <w:sz w:val="24"/>
          <w:szCs w:val="24"/>
        </w:rPr>
        <w:t xml:space="preserve">The origin of the doctrine is to be found in the civil authorities, which laid down two requirements for its successful invocation, namely, that the proceedings relied upon must be between the same parties or their privies, and that the same question, </w:t>
      </w:r>
      <w:proofErr w:type="spellStart"/>
      <w:r w:rsidRPr="007C64AC">
        <w:rPr>
          <w:rFonts w:ascii="Times New Roman" w:hAnsi="Times New Roman" w:cs="Times New Roman"/>
          <w:i/>
          <w:sz w:val="24"/>
          <w:szCs w:val="24"/>
        </w:rPr>
        <w:t>eademquestio</w:t>
      </w:r>
      <w:proofErr w:type="spellEnd"/>
      <w:r w:rsidRPr="007C64AC">
        <w:rPr>
          <w:rFonts w:ascii="Times New Roman" w:hAnsi="Times New Roman" w:cs="Times New Roman"/>
          <w:sz w:val="24"/>
          <w:szCs w:val="24"/>
        </w:rPr>
        <w:t xml:space="preserve">, must arise. (See </w:t>
      </w:r>
      <w:r w:rsidRPr="007C64AC">
        <w:rPr>
          <w:rFonts w:ascii="Times New Roman" w:hAnsi="Times New Roman" w:cs="Times New Roman"/>
          <w:i/>
          <w:sz w:val="24"/>
          <w:szCs w:val="24"/>
        </w:rPr>
        <w:t>Bertram G v Wood</w:t>
      </w:r>
      <w:r w:rsidRPr="007C64AC">
        <w:rPr>
          <w:rFonts w:ascii="Times New Roman" w:hAnsi="Times New Roman" w:cs="Times New Roman"/>
          <w:sz w:val="24"/>
          <w:szCs w:val="24"/>
        </w:rPr>
        <w:t xml:space="preserve"> (1893) 10 SC 177 at 180) In Roman-Dutch law the requisites were divided into three. </w:t>
      </w:r>
      <w:proofErr w:type="spellStart"/>
      <w:r w:rsidRPr="007C64AC">
        <w:rPr>
          <w:rFonts w:ascii="Times New Roman" w:hAnsi="Times New Roman" w:cs="Times New Roman"/>
          <w:i/>
          <w:sz w:val="24"/>
          <w:szCs w:val="24"/>
        </w:rPr>
        <w:t>Voet</w:t>
      </w:r>
      <w:proofErr w:type="spellEnd"/>
      <w:r w:rsidRPr="007C64AC">
        <w:rPr>
          <w:rFonts w:ascii="Times New Roman" w:hAnsi="Times New Roman" w:cs="Times New Roman"/>
          <w:sz w:val="24"/>
          <w:szCs w:val="24"/>
        </w:rPr>
        <w:t xml:space="preserve"> 44.2.3 says that there must also be the same cause of action." </w:t>
      </w:r>
    </w:p>
    <w:p w:rsidR="00CD28E2" w:rsidRPr="007C64AC" w:rsidRDefault="00CD28E2" w:rsidP="00CD28E2">
      <w:pPr>
        <w:spacing w:line="360" w:lineRule="auto"/>
        <w:jc w:val="both"/>
        <w:rPr>
          <w:rFonts w:ascii="Times New Roman" w:hAnsi="Times New Roman" w:cs="Times New Roman"/>
          <w:sz w:val="24"/>
          <w:szCs w:val="24"/>
        </w:rPr>
      </w:pPr>
      <w:r w:rsidRPr="007C64AC">
        <w:rPr>
          <w:rFonts w:ascii="Times New Roman" w:hAnsi="Times New Roman" w:cs="Times New Roman"/>
          <w:sz w:val="24"/>
          <w:szCs w:val="24"/>
        </w:rPr>
        <w:t xml:space="preserve">The approach has also been adopted in our court.  In the case of </w:t>
      </w:r>
      <w:r w:rsidRPr="007C64AC">
        <w:rPr>
          <w:rFonts w:ascii="Times New Roman" w:hAnsi="Times New Roman" w:cs="Times New Roman"/>
          <w:i/>
          <w:sz w:val="24"/>
          <w:szCs w:val="24"/>
        </w:rPr>
        <w:t xml:space="preserve">Towers v </w:t>
      </w:r>
      <w:proofErr w:type="spellStart"/>
      <w:r w:rsidRPr="007C64AC">
        <w:rPr>
          <w:rFonts w:ascii="Times New Roman" w:hAnsi="Times New Roman" w:cs="Times New Roman"/>
          <w:i/>
          <w:sz w:val="24"/>
          <w:szCs w:val="24"/>
        </w:rPr>
        <w:t>Chitapa</w:t>
      </w:r>
      <w:proofErr w:type="spellEnd"/>
      <w:r>
        <w:rPr>
          <w:rFonts w:ascii="Times New Roman" w:hAnsi="Times New Roman" w:cs="Times New Roman"/>
          <w:sz w:val="24"/>
          <w:szCs w:val="24"/>
        </w:rPr>
        <w:t xml:space="preserve"> 1996 (2) ZLR 261 G</w:t>
      </w:r>
      <w:r w:rsidRPr="007C64AC">
        <w:rPr>
          <w:rFonts w:ascii="Times New Roman" w:hAnsi="Times New Roman" w:cs="Times New Roman"/>
          <w:sz w:val="24"/>
          <w:szCs w:val="24"/>
        </w:rPr>
        <w:t>ILLESPIE J stated as follows:</w:t>
      </w:r>
    </w:p>
    <w:p w:rsidR="00CD28E2" w:rsidRPr="007C64AC" w:rsidRDefault="00CD28E2" w:rsidP="00CD28E2">
      <w:pPr>
        <w:spacing w:line="360" w:lineRule="auto"/>
        <w:jc w:val="both"/>
        <w:rPr>
          <w:rFonts w:ascii="Times New Roman" w:hAnsi="Times New Roman" w:cs="Times New Roman"/>
          <w:sz w:val="24"/>
          <w:szCs w:val="24"/>
        </w:rPr>
      </w:pPr>
      <w:r>
        <w:tab/>
      </w:r>
      <w:r w:rsidRPr="007C64AC">
        <w:rPr>
          <w:rFonts w:ascii="Times New Roman" w:hAnsi="Times New Roman" w:cs="Times New Roman"/>
          <w:sz w:val="24"/>
          <w:szCs w:val="24"/>
        </w:rPr>
        <w:t xml:space="preserve">"This approach has been approved by the Supreme Court in Zimbabwe; although subsequent to that approval further doubt appeared to be cast on the issue by the same court.  Any doubt must now, however, be regarded as having been dispelled by the decision in </w:t>
      </w:r>
      <w:proofErr w:type="spellStart"/>
      <w:r w:rsidRPr="007C64AC">
        <w:rPr>
          <w:rFonts w:ascii="Times New Roman" w:hAnsi="Times New Roman" w:cs="Times New Roman"/>
          <w:i/>
          <w:sz w:val="24"/>
          <w:szCs w:val="24"/>
        </w:rPr>
        <w:t>Kommissaris</w:t>
      </w:r>
      <w:proofErr w:type="spellEnd"/>
      <w:r w:rsidRPr="007C64AC">
        <w:rPr>
          <w:rFonts w:ascii="Times New Roman" w:hAnsi="Times New Roman" w:cs="Times New Roman"/>
          <w:i/>
          <w:sz w:val="24"/>
          <w:szCs w:val="24"/>
        </w:rPr>
        <w:t xml:space="preserve"> van </w:t>
      </w:r>
      <w:proofErr w:type="spellStart"/>
      <w:r w:rsidRPr="007C64AC">
        <w:rPr>
          <w:rFonts w:ascii="Times New Roman" w:hAnsi="Times New Roman" w:cs="Times New Roman"/>
          <w:i/>
          <w:sz w:val="24"/>
          <w:szCs w:val="24"/>
        </w:rPr>
        <w:t>BinnelandseInkomste</w:t>
      </w:r>
      <w:proofErr w:type="spellEnd"/>
      <w:r w:rsidRPr="007C64AC">
        <w:rPr>
          <w:rFonts w:ascii="Times New Roman" w:hAnsi="Times New Roman" w:cs="Times New Roman"/>
          <w:i/>
          <w:sz w:val="24"/>
          <w:szCs w:val="24"/>
        </w:rPr>
        <w:t xml:space="preserve"> v Absa Bank </w:t>
      </w:r>
      <w:proofErr w:type="spellStart"/>
      <w:r w:rsidRPr="007C64AC">
        <w:rPr>
          <w:rFonts w:ascii="Times New Roman" w:hAnsi="Times New Roman" w:cs="Times New Roman"/>
          <w:i/>
          <w:sz w:val="24"/>
          <w:szCs w:val="24"/>
        </w:rPr>
        <w:t>Bpk</w:t>
      </w:r>
      <w:proofErr w:type="spellEnd"/>
      <w:r w:rsidRPr="007C64AC">
        <w:rPr>
          <w:rFonts w:ascii="Times New Roman" w:hAnsi="Times New Roman" w:cs="Times New Roman"/>
          <w:i/>
          <w:sz w:val="24"/>
          <w:szCs w:val="24"/>
        </w:rPr>
        <w:t>.</w:t>
      </w:r>
      <w:r w:rsidRPr="007C64AC">
        <w:rPr>
          <w:rFonts w:ascii="Times New Roman" w:hAnsi="Times New Roman" w:cs="Times New Roman"/>
          <w:sz w:val="24"/>
          <w:szCs w:val="24"/>
        </w:rPr>
        <w:t xml:space="preserve">  In this case the elements of the defence </w:t>
      </w:r>
      <w:r w:rsidRPr="007C64AC">
        <w:rPr>
          <w:rFonts w:ascii="Times New Roman" w:hAnsi="Times New Roman" w:cs="Times New Roman"/>
          <w:i/>
          <w:sz w:val="24"/>
          <w:szCs w:val="24"/>
        </w:rPr>
        <w:t>of res judicata</w:t>
      </w:r>
      <w:r w:rsidRPr="007C64AC">
        <w:rPr>
          <w:rFonts w:ascii="Times New Roman" w:hAnsi="Times New Roman" w:cs="Times New Roman"/>
          <w:sz w:val="24"/>
          <w:szCs w:val="24"/>
        </w:rPr>
        <w:t xml:space="preserve"> were explained as consisting of an identity of </w:t>
      </w:r>
      <w:r>
        <w:rPr>
          <w:rFonts w:ascii="Times New Roman" w:hAnsi="Times New Roman" w:cs="Times New Roman"/>
          <w:sz w:val="24"/>
          <w:szCs w:val="24"/>
        </w:rPr>
        <w:t xml:space="preserve">the </w:t>
      </w:r>
      <w:r w:rsidRPr="007C64AC">
        <w:rPr>
          <w:rFonts w:ascii="Times New Roman" w:hAnsi="Times New Roman" w:cs="Times New Roman"/>
          <w:sz w:val="24"/>
          <w:szCs w:val="24"/>
        </w:rPr>
        <w:t xml:space="preserve">plaintiff, </w:t>
      </w:r>
      <w:r>
        <w:rPr>
          <w:rFonts w:ascii="Times New Roman" w:hAnsi="Times New Roman" w:cs="Times New Roman"/>
          <w:sz w:val="24"/>
          <w:szCs w:val="24"/>
        </w:rPr>
        <w:t xml:space="preserve">the </w:t>
      </w:r>
      <w:r w:rsidRPr="007C64AC">
        <w:rPr>
          <w:rFonts w:ascii="Times New Roman" w:hAnsi="Times New Roman" w:cs="Times New Roman"/>
          <w:sz w:val="24"/>
          <w:szCs w:val="24"/>
        </w:rPr>
        <w:t xml:space="preserve">defendant, thing in contest and cause of action. It was held that the latter two requirements in particular ought in the appropriate case to be interpreted expansively so as to permit the possibility of a defence of </w:t>
      </w:r>
      <w:r w:rsidRPr="007C64AC">
        <w:rPr>
          <w:rFonts w:ascii="Times New Roman" w:hAnsi="Times New Roman" w:cs="Times New Roman"/>
          <w:i/>
          <w:sz w:val="24"/>
          <w:szCs w:val="24"/>
        </w:rPr>
        <w:t>res judicata</w:t>
      </w:r>
      <w:r w:rsidRPr="007C64AC">
        <w:rPr>
          <w:rFonts w:ascii="Times New Roman" w:hAnsi="Times New Roman" w:cs="Times New Roman"/>
          <w:sz w:val="24"/>
          <w:szCs w:val="24"/>
        </w:rPr>
        <w:t xml:space="preserve"> being invoked in respect of an issue determined as part of the </w:t>
      </w:r>
      <w:r w:rsidRPr="007C64AC">
        <w:rPr>
          <w:rFonts w:ascii="Times New Roman" w:hAnsi="Times New Roman" w:cs="Times New Roman"/>
          <w:i/>
          <w:sz w:val="24"/>
          <w:szCs w:val="24"/>
        </w:rPr>
        <w:t xml:space="preserve">ratio </w:t>
      </w:r>
      <w:proofErr w:type="spellStart"/>
      <w:r w:rsidRPr="007C64AC">
        <w:rPr>
          <w:rFonts w:ascii="Times New Roman" w:hAnsi="Times New Roman" w:cs="Times New Roman"/>
          <w:i/>
          <w:sz w:val="24"/>
          <w:szCs w:val="24"/>
        </w:rPr>
        <w:t>decidendi</w:t>
      </w:r>
      <w:proofErr w:type="spellEnd"/>
      <w:r w:rsidRPr="007C64AC">
        <w:rPr>
          <w:rFonts w:ascii="Times New Roman" w:hAnsi="Times New Roman" w:cs="Times New Roman"/>
          <w:sz w:val="24"/>
          <w:szCs w:val="24"/>
        </w:rPr>
        <w:t xml:space="preserve"> of the earlier decision, a defence that may conveniently be termed issue </w:t>
      </w:r>
      <w:r w:rsidRPr="007C64AC">
        <w:rPr>
          <w:rFonts w:ascii="Times New Roman" w:hAnsi="Times New Roman" w:cs="Times New Roman"/>
          <w:i/>
          <w:sz w:val="24"/>
          <w:szCs w:val="24"/>
        </w:rPr>
        <w:t>estoppel</w:t>
      </w:r>
      <w:r w:rsidRPr="007C64AC">
        <w:rPr>
          <w:rFonts w:ascii="Times New Roman" w:hAnsi="Times New Roman" w:cs="Times New Roman"/>
          <w:sz w:val="24"/>
          <w:szCs w:val="24"/>
        </w:rPr>
        <w:t>, despite the fact strictly speaking, a different cause of action and different relief may be sued for in both cases. The defence ought   only to be allowed, however, with caution, and only where the underlying requirement that the same question should arise in both cases is satisfied."</w:t>
      </w:r>
    </w:p>
    <w:p w:rsidR="00CD28E2" w:rsidRPr="007C64AC" w:rsidRDefault="00CD28E2" w:rsidP="00CD28E2">
      <w:pPr>
        <w:spacing w:line="360" w:lineRule="auto"/>
        <w:jc w:val="both"/>
        <w:rPr>
          <w:rFonts w:ascii="Times New Roman" w:hAnsi="Times New Roman" w:cs="Times New Roman"/>
          <w:sz w:val="24"/>
          <w:szCs w:val="24"/>
        </w:rPr>
      </w:pPr>
      <w:r>
        <w:tab/>
      </w:r>
      <w:r w:rsidRPr="007C64AC">
        <w:rPr>
          <w:rFonts w:ascii="Times New Roman" w:hAnsi="Times New Roman" w:cs="Times New Roman"/>
          <w:sz w:val="24"/>
          <w:szCs w:val="24"/>
        </w:rPr>
        <w:t xml:space="preserve">In this case there can be no doubt that the parties in the matter determined by the Magistrates Court were the same. The issue before the court is the same in so far as the first respondent based his claim for an interdict on the interpretation of section 41 of the Administration of Estates Act. In the claim for an interdict the respondent was seeking to establish that he had a clear right to the property as it had been sold to him in circumstances provided for by the Administration of Estates Act. In this case the respondent is again seeking to assert his rights through the use of the same provision in order to challenge the applicant's right to evict him.  In my view therefore the cause of action is the same and the point </w:t>
      </w:r>
      <w:r w:rsidRPr="007C64AC">
        <w:rPr>
          <w:rFonts w:ascii="Times New Roman" w:hAnsi="Times New Roman" w:cs="Times New Roman"/>
          <w:i/>
          <w:sz w:val="24"/>
          <w:szCs w:val="24"/>
        </w:rPr>
        <w:t xml:space="preserve">in </w:t>
      </w:r>
      <w:proofErr w:type="spellStart"/>
      <w:r w:rsidRPr="007C64AC">
        <w:rPr>
          <w:rFonts w:ascii="Times New Roman" w:hAnsi="Times New Roman" w:cs="Times New Roman"/>
          <w:i/>
          <w:sz w:val="24"/>
          <w:szCs w:val="24"/>
        </w:rPr>
        <w:t>limine</w:t>
      </w:r>
      <w:proofErr w:type="spellEnd"/>
      <w:r w:rsidRPr="007C64AC">
        <w:rPr>
          <w:rFonts w:ascii="Times New Roman" w:hAnsi="Times New Roman" w:cs="Times New Roman"/>
          <w:sz w:val="24"/>
          <w:szCs w:val="24"/>
        </w:rPr>
        <w:t xml:space="preserve"> raised by the applicant should be upheld.</w:t>
      </w:r>
    </w:p>
    <w:p w:rsidR="00CD28E2" w:rsidRPr="00BA57D7" w:rsidRDefault="00CD28E2" w:rsidP="00CD28E2">
      <w:pPr>
        <w:spacing w:line="360" w:lineRule="auto"/>
        <w:jc w:val="both"/>
        <w:rPr>
          <w:rFonts w:ascii="Times New Roman" w:hAnsi="Times New Roman" w:cs="Times New Roman"/>
          <w:sz w:val="24"/>
          <w:szCs w:val="24"/>
        </w:rPr>
      </w:pPr>
      <w:r w:rsidRPr="00BA57D7">
        <w:rPr>
          <w:rFonts w:ascii="Times New Roman" w:hAnsi="Times New Roman" w:cs="Times New Roman"/>
          <w:sz w:val="24"/>
          <w:szCs w:val="24"/>
        </w:rPr>
        <w:lastRenderedPageBreak/>
        <w:t>Accordingly the first</w:t>
      </w:r>
      <w:r>
        <w:rPr>
          <w:rFonts w:ascii="Times New Roman" w:hAnsi="Times New Roman" w:cs="Times New Roman"/>
          <w:sz w:val="24"/>
          <w:szCs w:val="24"/>
        </w:rPr>
        <w:t xml:space="preserve"> </w:t>
      </w:r>
      <w:r w:rsidRPr="00BA57D7">
        <w:rPr>
          <w:rFonts w:ascii="Times New Roman" w:hAnsi="Times New Roman" w:cs="Times New Roman"/>
          <w:sz w:val="24"/>
          <w:szCs w:val="24"/>
        </w:rPr>
        <w:t>respondents Notice of opposition and counter–claim are hereby dismissed.</w:t>
      </w:r>
      <w:r>
        <w:rPr>
          <w:rFonts w:ascii="Times New Roman" w:hAnsi="Times New Roman" w:cs="Times New Roman"/>
          <w:sz w:val="24"/>
          <w:szCs w:val="24"/>
        </w:rPr>
        <w:t xml:space="preserve"> In the premises there is no basis to deny the applicant the relief sought.</w:t>
      </w:r>
    </w:p>
    <w:p w:rsidR="00CD28E2" w:rsidRDefault="00CD28E2" w:rsidP="00CD28E2">
      <w:pPr>
        <w:spacing w:line="360" w:lineRule="auto"/>
        <w:rPr>
          <w:rFonts w:ascii="Times New Roman" w:hAnsi="Times New Roman" w:cs="Times New Roman"/>
          <w:sz w:val="24"/>
          <w:szCs w:val="24"/>
        </w:rPr>
      </w:pPr>
      <w:r w:rsidRPr="00BA57D7">
        <w:rPr>
          <w:rFonts w:ascii="Times New Roman" w:hAnsi="Times New Roman" w:cs="Times New Roman"/>
          <w:sz w:val="24"/>
          <w:szCs w:val="24"/>
        </w:rPr>
        <w:t xml:space="preserve"> The applicant had not sought an order of costs in the application</w:t>
      </w:r>
      <w:r>
        <w:rPr>
          <w:rFonts w:ascii="Times New Roman" w:hAnsi="Times New Roman" w:cs="Times New Roman"/>
          <w:sz w:val="24"/>
          <w:szCs w:val="24"/>
        </w:rPr>
        <w:t>. I will thus not make an order for costs.</w:t>
      </w:r>
    </w:p>
    <w:p w:rsidR="00CD28E2" w:rsidRPr="00BA57D7" w:rsidRDefault="00CD28E2" w:rsidP="00CD28E2">
      <w:pPr>
        <w:spacing w:line="360" w:lineRule="auto"/>
        <w:rPr>
          <w:rFonts w:ascii="Times New Roman" w:hAnsi="Times New Roman" w:cs="Times New Roman"/>
          <w:sz w:val="24"/>
          <w:szCs w:val="24"/>
        </w:rPr>
      </w:pPr>
      <w:r>
        <w:rPr>
          <w:rFonts w:ascii="Times New Roman" w:hAnsi="Times New Roman" w:cs="Times New Roman"/>
          <w:sz w:val="24"/>
          <w:szCs w:val="24"/>
        </w:rPr>
        <w:t xml:space="preserve"> I </w:t>
      </w:r>
      <w:r w:rsidRPr="00BA57D7">
        <w:rPr>
          <w:rFonts w:ascii="Times New Roman" w:hAnsi="Times New Roman" w:cs="Times New Roman"/>
          <w:sz w:val="24"/>
          <w:szCs w:val="24"/>
        </w:rPr>
        <w:t xml:space="preserve">therefore </w:t>
      </w:r>
      <w:r>
        <w:rPr>
          <w:rFonts w:ascii="Times New Roman" w:hAnsi="Times New Roman" w:cs="Times New Roman"/>
          <w:sz w:val="24"/>
          <w:szCs w:val="24"/>
        </w:rPr>
        <w:t>make the following order</w:t>
      </w:r>
      <w:r w:rsidRPr="00BA57D7">
        <w:rPr>
          <w:rFonts w:ascii="Times New Roman" w:hAnsi="Times New Roman" w:cs="Times New Roman"/>
          <w:sz w:val="24"/>
          <w:szCs w:val="24"/>
        </w:rPr>
        <w:t>:</w:t>
      </w:r>
    </w:p>
    <w:p w:rsidR="00CD28E2" w:rsidRPr="00BA57D7" w:rsidRDefault="00CD28E2" w:rsidP="00CD28E2">
      <w:pPr>
        <w:pStyle w:val="ListParagraph"/>
        <w:numPr>
          <w:ilvl w:val="0"/>
          <w:numId w:val="1"/>
        </w:numPr>
        <w:spacing w:line="360" w:lineRule="auto"/>
        <w:rPr>
          <w:rFonts w:ascii="Times New Roman" w:hAnsi="Times New Roman" w:cs="Times New Roman"/>
          <w:sz w:val="24"/>
          <w:szCs w:val="24"/>
        </w:rPr>
      </w:pPr>
      <w:r w:rsidRPr="00BA57D7">
        <w:rPr>
          <w:rFonts w:ascii="Times New Roman" w:hAnsi="Times New Roman" w:cs="Times New Roman"/>
          <w:sz w:val="24"/>
          <w:szCs w:val="24"/>
        </w:rPr>
        <w:t xml:space="preserve">The </w:t>
      </w:r>
      <w:r>
        <w:rPr>
          <w:rFonts w:ascii="Times New Roman" w:hAnsi="Times New Roman" w:cs="Times New Roman"/>
          <w:sz w:val="24"/>
          <w:szCs w:val="24"/>
        </w:rPr>
        <w:t>first</w:t>
      </w:r>
      <w:r w:rsidRPr="00BA57D7">
        <w:rPr>
          <w:rFonts w:ascii="Times New Roman" w:hAnsi="Times New Roman" w:cs="Times New Roman"/>
          <w:sz w:val="24"/>
          <w:szCs w:val="24"/>
        </w:rPr>
        <w:t xml:space="preserve"> respondent and all those claiming through him vacate Lot No 3 </w:t>
      </w:r>
      <w:proofErr w:type="spellStart"/>
      <w:r w:rsidRPr="00BA57D7">
        <w:rPr>
          <w:rFonts w:ascii="Times New Roman" w:hAnsi="Times New Roman" w:cs="Times New Roman"/>
          <w:sz w:val="24"/>
          <w:szCs w:val="24"/>
        </w:rPr>
        <w:t>Glynham</w:t>
      </w:r>
      <w:proofErr w:type="spellEnd"/>
      <w:r w:rsidRPr="00BA57D7">
        <w:rPr>
          <w:rFonts w:ascii="Times New Roman" w:hAnsi="Times New Roman" w:cs="Times New Roman"/>
          <w:sz w:val="24"/>
          <w:szCs w:val="24"/>
        </w:rPr>
        <w:t xml:space="preserve">, </w:t>
      </w:r>
      <w:proofErr w:type="spellStart"/>
      <w:r w:rsidRPr="00BA57D7">
        <w:rPr>
          <w:rFonts w:ascii="Times New Roman" w:hAnsi="Times New Roman" w:cs="Times New Roman"/>
          <w:sz w:val="24"/>
          <w:szCs w:val="24"/>
        </w:rPr>
        <w:t>Masvingo</w:t>
      </w:r>
      <w:proofErr w:type="spellEnd"/>
      <w:r w:rsidRPr="00BA57D7">
        <w:rPr>
          <w:rFonts w:ascii="Times New Roman" w:hAnsi="Times New Roman" w:cs="Times New Roman"/>
          <w:sz w:val="24"/>
          <w:szCs w:val="24"/>
        </w:rPr>
        <w:t xml:space="preserve"> within seven (7) days of the grant of this order failing which the </w:t>
      </w:r>
      <w:r>
        <w:rPr>
          <w:rFonts w:ascii="Times New Roman" w:hAnsi="Times New Roman" w:cs="Times New Roman"/>
          <w:sz w:val="24"/>
          <w:szCs w:val="24"/>
        </w:rPr>
        <w:t xml:space="preserve">second </w:t>
      </w:r>
      <w:r w:rsidRPr="00BA57D7">
        <w:rPr>
          <w:rFonts w:ascii="Times New Roman" w:hAnsi="Times New Roman" w:cs="Times New Roman"/>
          <w:sz w:val="24"/>
          <w:szCs w:val="24"/>
        </w:rPr>
        <w:t>respondent be and is hereby ordered to evict the respondent and all those claiming through him.</w:t>
      </w:r>
    </w:p>
    <w:p w:rsidR="00CD28E2" w:rsidRDefault="00CD28E2" w:rsidP="00CD28E2">
      <w:pPr>
        <w:pStyle w:val="ListParagraph"/>
        <w:numPr>
          <w:ilvl w:val="0"/>
          <w:numId w:val="1"/>
        </w:numPr>
        <w:spacing w:line="360" w:lineRule="auto"/>
        <w:rPr>
          <w:rFonts w:ascii="Times New Roman" w:hAnsi="Times New Roman" w:cs="Times New Roman"/>
          <w:sz w:val="24"/>
          <w:szCs w:val="24"/>
        </w:rPr>
      </w:pPr>
      <w:r w:rsidRPr="00BA57D7">
        <w:rPr>
          <w:rFonts w:ascii="Times New Roman" w:hAnsi="Times New Roman" w:cs="Times New Roman"/>
          <w:sz w:val="24"/>
          <w:szCs w:val="24"/>
        </w:rPr>
        <w:t>There shall be no order as to costs.</w:t>
      </w:r>
    </w:p>
    <w:p w:rsidR="00CD28E2" w:rsidRDefault="00CD28E2" w:rsidP="00CD28E2">
      <w:pPr>
        <w:spacing w:line="360" w:lineRule="auto"/>
        <w:rPr>
          <w:rFonts w:ascii="Times New Roman" w:hAnsi="Times New Roman" w:cs="Times New Roman"/>
          <w:i/>
          <w:sz w:val="24"/>
          <w:szCs w:val="24"/>
        </w:rPr>
      </w:pPr>
    </w:p>
    <w:p w:rsidR="00CD28E2" w:rsidRDefault="00CD28E2" w:rsidP="00CD28E2">
      <w:pPr>
        <w:spacing w:line="360" w:lineRule="auto"/>
        <w:rPr>
          <w:rFonts w:ascii="Times New Roman" w:hAnsi="Times New Roman" w:cs="Times New Roman"/>
          <w:i/>
          <w:sz w:val="24"/>
          <w:szCs w:val="24"/>
        </w:rPr>
      </w:pPr>
    </w:p>
    <w:p w:rsidR="00CD28E2" w:rsidRDefault="00CD28E2" w:rsidP="00CD28E2">
      <w:pPr>
        <w:spacing w:line="360" w:lineRule="auto"/>
        <w:rPr>
          <w:rFonts w:ascii="Times New Roman" w:hAnsi="Times New Roman" w:cs="Times New Roman"/>
          <w:sz w:val="24"/>
          <w:szCs w:val="24"/>
        </w:rPr>
      </w:pPr>
      <w:proofErr w:type="spellStart"/>
      <w:r w:rsidRPr="008163F2">
        <w:rPr>
          <w:rFonts w:ascii="Times New Roman" w:hAnsi="Times New Roman" w:cs="Times New Roman"/>
          <w:i/>
          <w:sz w:val="24"/>
          <w:szCs w:val="24"/>
        </w:rPr>
        <w:t>Chadyiwa</w:t>
      </w:r>
      <w:proofErr w:type="spellEnd"/>
      <w:r w:rsidRPr="008163F2">
        <w:rPr>
          <w:rFonts w:ascii="Times New Roman" w:hAnsi="Times New Roman" w:cs="Times New Roman"/>
          <w:i/>
          <w:sz w:val="24"/>
          <w:szCs w:val="24"/>
        </w:rPr>
        <w:t>&amp; Associates</w:t>
      </w:r>
      <w:r>
        <w:rPr>
          <w:rFonts w:ascii="Times New Roman" w:hAnsi="Times New Roman" w:cs="Times New Roman"/>
          <w:sz w:val="24"/>
          <w:szCs w:val="24"/>
        </w:rPr>
        <w:t>, Applicant’s legal practitioners</w:t>
      </w:r>
    </w:p>
    <w:p w:rsidR="00CD28E2" w:rsidRPr="0016118B" w:rsidRDefault="00CD28E2" w:rsidP="00CD28E2">
      <w:pPr>
        <w:spacing w:line="360" w:lineRule="auto"/>
        <w:rPr>
          <w:rFonts w:ascii="Times New Roman" w:hAnsi="Times New Roman" w:cs="Times New Roman"/>
          <w:sz w:val="24"/>
          <w:szCs w:val="24"/>
        </w:rPr>
      </w:pPr>
      <w:r w:rsidRPr="0016118B">
        <w:rPr>
          <w:rFonts w:ascii="Times New Roman" w:hAnsi="Times New Roman" w:cs="Times New Roman"/>
          <w:i/>
          <w:sz w:val="24"/>
          <w:szCs w:val="24"/>
        </w:rPr>
        <w:t>Costa &amp;</w:t>
      </w:r>
      <w:proofErr w:type="spellStart"/>
      <w:r w:rsidRPr="0016118B">
        <w:rPr>
          <w:rFonts w:ascii="Times New Roman" w:hAnsi="Times New Roman" w:cs="Times New Roman"/>
          <w:i/>
          <w:sz w:val="24"/>
          <w:szCs w:val="24"/>
        </w:rPr>
        <w:t>Madzonga</w:t>
      </w:r>
      <w:proofErr w:type="spellEnd"/>
      <w:r>
        <w:rPr>
          <w:rFonts w:ascii="Times New Roman" w:hAnsi="Times New Roman" w:cs="Times New Roman"/>
          <w:sz w:val="24"/>
          <w:szCs w:val="24"/>
        </w:rPr>
        <w:t>, 1</w:t>
      </w:r>
      <w:r w:rsidRPr="0016118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D28E2" w:rsidRPr="00BA57D7" w:rsidRDefault="00CD28E2" w:rsidP="00CD28E2">
      <w:pPr>
        <w:spacing w:line="360" w:lineRule="auto"/>
        <w:rPr>
          <w:rFonts w:ascii="Times New Roman" w:hAnsi="Times New Roman" w:cs="Times New Roman"/>
          <w:sz w:val="24"/>
          <w:szCs w:val="24"/>
        </w:rPr>
      </w:pPr>
    </w:p>
    <w:p w:rsidR="00CD28E2" w:rsidRPr="00BA57D7" w:rsidRDefault="00CD28E2" w:rsidP="00CD28E2">
      <w:pPr>
        <w:spacing w:line="360" w:lineRule="auto"/>
        <w:rPr>
          <w:rFonts w:ascii="Times New Roman" w:hAnsi="Times New Roman" w:cs="Times New Roman"/>
          <w:sz w:val="24"/>
          <w:szCs w:val="24"/>
        </w:rPr>
      </w:pPr>
    </w:p>
    <w:p w:rsidR="00CD28E2" w:rsidRPr="00BA57D7" w:rsidRDefault="00CD28E2" w:rsidP="00CD28E2">
      <w:pPr>
        <w:spacing w:line="360" w:lineRule="auto"/>
        <w:rPr>
          <w:rFonts w:ascii="Times New Roman" w:hAnsi="Times New Roman" w:cs="Times New Roman"/>
          <w:sz w:val="24"/>
          <w:szCs w:val="24"/>
        </w:rPr>
      </w:pPr>
    </w:p>
    <w:p w:rsidR="00CD28E2" w:rsidRPr="00BA57D7" w:rsidRDefault="00CD28E2" w:rsidP="00CD28E2">
      <w:pPr>
        <w:spacing w:line="360" w:lineRule="auto"/>
        <w:rPr>
          <w:rFonts w:ascii="Times New Roman" w:hAnsi="Times New Roman" w:cs="Times New Roman"/>
          <w:sz w:val="24"/>
          <w:szCs w:val="24"/>
        </w:rPr>
      </w:pPr>
    </w:p>
    <w:p w:rsidR="00CD28E2" w:rsidRPr="0070286C" w:rsidRDefault="00CD28E2" w:rsidP="00CD28E2">
      <w:pPr>
        <w:rPr>
          <w:sz w:val="24"/>
          <w:szCs w:val="24"/>
        </w:rPr>
      </w:pPr>
    </w:p>
    <w:p w:rsidR="00CD28E2" w:rsidRPr="008139D9" w:rsidRDefault="00CD28E2" w:rsidP="00CD28E2">
      <w:pPr>
        <w:rPr>
          <w:sz w:val="24"/>
          <w:szCs w:val="24"/>
        </w:rPr>
      </w:pPr>
    </w:p>
    <w:p w:rsidR="00CD28E2" w:rsidRDefault="00CD28E2" w:rsidP="00CD28E2"/>
    <w:p w:rsidR="00C24BC9" w:rsidRDefault="00C24BC9"/>
    <w:sectPr w:rsidR="00C24BC9" w:rsidSect="00A5289F">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A1" w:rsidRDefault="00BC17A1">
      <w:pPr>
        <w:spacing w:after="0" w:line="240" w:lineRule="auto"/>
      </w:pPr>
      <w:r>
        <w:separator/>
      </w:r>
    </w:p>
  </w:endnote>
  <w:endnote w:type="continuationSeparator" w:id="0">
    <w:p w:rsidR="00BC17A1" w:rsidRDefault="00BC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24" w:rsidRDefault="00BC17A1">
    <w:pPr>
      <w:pStyle w:val="Footer"/>
    </w:pPr>
  </w:p>
  <w:p w:rsidR="00F14C24" w:rsidRDefault="00BC1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A1" w:rsidRDefault="00BC17A1">
      <w:pPr>
        <w:spacing w:after="0" w:line="240" w:lineRule="auto"/>
      </w:pPr>
      <w:r>
        <w:separator/>
      </w:r>
    </w:p>
  </w:footnote>
  <w:footnote w:type="continuationSeparator" w:id="0">
    <w:p w:rsidR="00BC17A1" w:rsidRDefault="00BC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6720"/>
      <w:docPartObj>
        <w:docPartGallery w:val="Page Numbers (Top of Page)"/>
        <w:docPartUnique/>
      </w:docPartObj>
    </w:sdtPr>
    <w:sdtEndPr>
      <w:rPr>
        <w:rFonts w:ascii="Times New Roman" w:hAnsi="Times New Roman" w:cs="Times New Roman"/>
        <w:sz w:val="24"/>
        <w:szCs w:val="24"/>
      </w:rPr>
    </w:sdtEndPr>
    <w:sdtContent>
      <w:p w:rsidR="00F14C24" w:rsidRPr="00F14C24" w:rsidRDefault="00CD28E2" w:rsidP="00F14C24">
        <w:pPr>
          <w:pStyle w:val="Header"/>
          <w:ind w:left="3240" w:firstLine="4680"/>
          <w:rPr>
            <w:rFonts w:ascii="Times New Roman" w:hAnsi="Times New Roman" w:cs="Times New Roman"/>
            <w:sz w:val="24"/>
            <w:szCs w:val="24"/>
          </w:rPr>
        </w:pPr>
        <w:r>
          <w:t xml:space="preserve">         </w:t>
        </w:r>
        <w:r w:rsidRPr="00F14C24">
          <w:rPr>
            <w:rFonts w:ascii="Times New Roman" w:hAnsi="Times New Roman" w:cs="Times New Roman"/>
            <w:sz w:val="24"/>
            <w:szCs w:val="24"/>
          </w:rPr>
          <w:fldChar w:fldCharType="begin"/>
        </w:r>
        <w:r w:rsidRPr="00F14C24">
          <w:rPr>
            <w:rFonts w:ascii="Times New Roman" w:hAnsi="Times New Roman" w:cs="Times New Roman"/>
            <w:sz w:val="24"/>
            <w:szCs w:val="24"/>
          </w:rPr>
          <w:instrText xml:space="preserve"> PAGE   \* MERGEFORMAT </w:instrText>
        </w:r>
        <w:r w:rsidRPr="00F14C24">
          <w:rPr>
            <w:rFonts w:ascii="Times New Roman" w:hAnsi="Times New Roman" w:cs="Times New Roman"/>
            <w:sz w:val="24"/>
            <w:szCs w:val="24"/>
          </w:rPr>
          <w:fldChar w:fldCharType="separate"/>
        </w:r>
        <w:r w:rsidR="000F7253">
          <w:rPr>
            <w:rFonts w:ascii="Times New Roman" w:hAnsi="Times New Roman" w:cs="Times New Roman"/>
            <w:noProof/>
            <w:sz w:val="24"/>
            <w:szCs w:val="24"/>
          </w:rPr>
          <w:t>1</w:t>
        </w:r>
        <w:r w:rsidRPr="00F14C24">
          <w:rPr>
            <w:rFonts w:ascii="Times New Roman" w:hAnsi="Times New Roman" w:cs="Times New Roman"/>
            <w:sz w:val="24"/>
            <w:szCs w:val="24"/>
          </w:rPr>
          <w:fldChar w:fldCharType="end"/>
        </w:r>
      </w:p>
      <w:p w:rsidR="00F14C24" w:rsidRPr="00F14C24" w:rsidRDefault="00CD28E2" w:rsidP="00F14C24">
        <w:pPr>
          <w:pStyle w:val="Header"/>
          <w:rPr>
            <w:rFonts w:ascii="Times New Roman" w:hAnsi="Times New Roman" w:cs="Times New Roman"/>
            <w:sz w:val="24"/>
            <w:szCs w:val="24"/>
          </w:rPr>
        </w:pPr>
        <w:r w:rsidRPr="00F14C24">
          <w:rPr>
            <w:rFonts w:ascii="Times New Roman" w:hAnsi="Times New Roman" w:cs="Times New Roman"/>
            <w:sz w:val="24"/>
            <w:szCs w:val="24"/>
          </w:rPr>
          <w:tab/>
          <w:t xml:space="preserve">                                                                                                           HH</w:t>
        </w:r>
        <w:r>
          <w:rPr>
            <w:rFonts w:ascii="Times New Roman" w:hAnsi="Times New Roman" w:cs="Times New Roman"/>
            <w:sz w:val="24"/>
            <w:szCs w:val="24"/>
          </w:rPr>
          <w:t xml:space="preserve"> 46-2013</w:t>
        </w:r>
      </w:p>
      <w:p w:rsidR="00F14C24" w:rsidRPr="00F14C24" w:rsidRDefault="00CD28E2" w:rsidP="00F14C24">
        <w:pPr>
          <w:pStyle w:val="Header"/>
          <w:ind w:left="3960"/>
          <w:rPr>
            <w:rFonts w:ascii="Times New Roman" w:hAnsi="Times New Roman" w:cs="Times New Roman"/>
            <w:sz w:val="24"/>
            <w:szCs w:val="24"/>
          </w:rPr>
        </w:pPr>
        <w:r w:rsidRPr="00F14C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4C24">
          <w:rPr>
            <w:rFonts w:ascii="Times New Roman" w:hAnsi="Times New Roman" w:cs="Times New Roman"/>
            <w:sz w:val="24"/>
            <w:szCs w:val="24"/>
          </w:rPr>
          <w:t>HC 6053/2007</w:t>
        </w:r>
      </w:p>
    </w:sdtContent>
  </w:sdt>
  <w:p w:rsidR="00F14C24" w:rsidRDefault="00BC1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B0B8E"/>
    <w:multiLevelType w:val="hybridMultilevel"/>
    <w:tmpl w:val="E3ACF824"/>
    <w:lvl w:ilvl="0" w:tplc="DE422E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28E2"/>
    <w:rsid w:val="000F7253"/>
    <w:rsid w:val="00BC17A1"/>
    <w:rsid w:val="00C24BC9"/>
    <w:rsid w:val="00CD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E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8E2"/>
    <w:pPr>
      <w:ind w:left="720"/>
      <w:contextualSpacing/>
    </w:pPr>
  </w:style>
  <w:style w:type="paragraph" w:styleId="NoSpacing">
    <w:name w:val="No Spacing"/>
    <w:uiPriority w:val="1"/>
    <w:qFormat/>
    <w:rsid w:val="00CD28E2"/>
    <w:pPr>
      <w:spacing w:after="0" w:line="240" w:lineRule="auto"/>
    </w:pPr>
    <w:rPr>
      <w:lang w:val="en-ZW"/>
    </w:rPr>
  </w:style>
  <w:style w:type="paragraph" w:styleId="Header">
    <w:name w:val="header"/>
    <w:basedOn w:val="Normal"/>
    <w:link w:val="HeaderChar"/>
    <w:uiPriority w:val="99"/>
    <w:unhideWhenUsed/>
    <w:rsid w:val="00CD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8E2"/>
    <w:rPr>
      <w:lang w:val="en-ZW"/>
    </w:rPr>
  </w:style>
  <w:style w:type="paragraph" w:styleId="Footer">
    <w:name w:val="footer"/>
    <w:basedOn w:val="Normal"/>
    <w:link w:val="FooterChar"/>
    <w:uiPriority w:val="99"/>
    <w:unhideWhenUsed/>
    <w:rsid w:val="00CD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8E2"/>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2013-03-20T13:58:00Z</dcterms:created>
  <dcterms:modified xsi:type="dcterms:W3CDTF">2013-03-20T13:58:00Z</dcterms:modified>
</cp:coreProperties>
</file>