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68" w:rsidRDefault="00F01068" w:rsidP="0011530D">
      <w:pPr>
        <w:spacing w:after="0" w:line="360" w:lineRule="auto"/>
        <w:rPr>
          <w:rFonts w:ascii="Tahoma" w:hAnsi="Tahoma" w:cs="Tahoma"/>
          <w:b/>
          <w:sz w:val="24"/>
          <w:szCs w:val="24"/>
        </w:rPr>
      </w:pP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4C6C04">
        <w:rPr>
          <w:rFonts w:ascii="Tahoma" w:hAnsi="Tahoma" w:cs="Tahoma"/>
          <w:b/>
          <w:sz w:val="24"/>
          <w:szCs w:val="24"/>
        </w:rPr>
        <w:t>336</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776C36">
        <w:rPr>
          <w:rFonts w:ascii="Tahoma" w:hAnsi="Tahoma" w:cs="Tahoma"/>
          <w:b/>
          <w:sz w:val="24"/>
          <w:szCs w:val="24"/>
        </w:rPr>
        <w:t>3</w:t>
      </w:r>
      <w:r w:rsidR="00776C36" w:rsidRPr="00776C36">
        <w:rPr>
          <w:rFonts w:ascii="Tahoma" w:hAnsi="Tahoma" w:cs="Tahoma"/>
          <w:b/>
          <w:sz w:val="24"/>
          <w:szCs w:val="24"/>
          <w:vertAlign w:val="superscript"/>
        </w:rPr>
        <w:t>RD</w:t>
      </w:r>
      <w:r w:rsidR="002E229C">
        <w:rPr>
          <w:rFonts w:ascii="Tahoma" w:hAnsi="Tahoma" w:cs="Tahoma"/>
          <w:b/>
          <w:sz w:val="24"/>
          <w:szCs w:val="24"/>
        </w:rPr>
        <w:t xml:space="preserve"> FEBRUARY</w:t>
      </w:r>
      <w:r w:rsidRPr="007E544C">
        <w:rPr>
          <w:rFonts w:ascii="Tahoma" w:hAnsi="Tahoma" w:cs="Tahoma"/>
          <w:b/>
          <w:sz w:val="24"/>
          <w:szCs w:val="24"/>
        </w:rPr>
        <w:t>,</w:t>
      </w:r>
      <w:r w:rsidR="00276D4A">
        <w:rPr>
          <w:rFonts w:ascii="Tahoma" w:hAnsi="Tahoma" w:cs="Tahoma"/>
          <w:b/>
          <w:sz w:val="24"/>
          <w:szCs w:val="24"/>
        </w:rPr>
        <w:t xml:space="preserve"> 2016</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4C6C04">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4C6C04">
        <w:rPr>
          <w:rFonts w:ascii="Tahoma" w:hAnsi="Tahoma" w:cs="Tahoma"/>
          <w:b/>
          <w:sz w:val="24"/>
          <w:szCs w:val="24"/>
        </w:rPr>
        <w:t>139</w:t>
      </w:r>
      <w:r w:rsidR="00192EC2" w:rsidRPr="007E544C">
        <w:rPr>
          <w:rFonts w:ascii="Tahoma" w:hAnsi="Tahoma" w:cs="Tahoma"/>
          <w:b/>
          <w:sz w:val="24"/>
          <w:szCs w:val="24"/>
        </w:rPr>
        <w:t>/</w:t>
      </w:r>
      <w:r w:rsidR="002E229C">
        <w:rPr>
          <w:rFonts w:ascii="Tahoma" w:hAnsi="Tahoma" w:cs="Tahoma"/>
          <w:b/>
          <w:sz w:val="24"/>
          <w:szCs w:val="24"/>
        </w:rPr>
        <w:t>15</w:t>
      </w:r>
    </w:p>
    <w:p w:rsidR="002E229C"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776C36">
        <w:rPr>
          <w:rFonts w:ascii="Tahoma" w:hAnsi="Tahoma" w:cs="Tahoma"/>
          <w:b/>
          <w:sz w:val="24"/>
          <w:szCs w:val="24"/>
        </w:rPr>
        <w:t>27</w:t>
      </w:r>
      <w:r w:rsidR="003C673B" w:rsidRPr="003C673B">
        <w:rPr>
          <w:rFonts w:ascii="Tahoma" w:hAnsi="Tahoma" w:cs="Tahoma"/>
          <w:b/>
          <w:sz w:val="24"/>
          <w:szCs w:val="24"/>
          <w:vertAlign w:val="superscript"/>
        </w:rPr>
        <w:t>TH</w:t>
      </w:r>
      <w:r w:rsidR="000E5A35" w:rsidRPr="007E544C">
        <w:rPr>
          <w:rFonts w:ascii="Tahoma" w:hAnsi="Tahoma" w:cs="Tahoma"/>
          <w:b/>
          <w:sz w:val="24"/>
          <w:szCs w:val="24"/>
        </w:rPr>
        <w:t xml:space="preserve"> </w:t>
      </w:r>
      <w:r w:rsidR="003C673B">
        <w:rPr>
          <w:rFonts w:ascii="Tahoma" w:hAnsi="Tahoma" w:cs="Tahoma"/>
          <w:b/>
          <w:sz w:val="24"/>
          <w:szCs w:val="24"/>
        </w:rPr>
        <w:t>MAY</w:t>
      </w:r>
      <w:r w:rsidR="00BD43C4" w:rsidRPr="007E544C">
        <w:rPr>
          <w:rFonts w:ascii="Tahoma" w:hAnsi="Tahoma" w:cs="Tahoma"/>
          <w:b/>
          <w:sz w:val="24"/>
          <w:szCs w:val="24"/>
        </w:rPr>
        <w:t>, 2016</w:t>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776C36" w:rsidP="0011530D">
      <w:pPr>
        <w:spacing w:after="0" w:line="360" w:lineRule="auto"/>
        <w:rPr>
          <w:rFonts w:ascii="Tahoma" w:hAnsi="Tahoma" w:cs="Tahoma"/>
          <w:b/>
          <w:sz w:val="25"/>
          <w:szCs w:val="25"/>
        </w:rPr>
      </w:pPr>
      <w:r>
        <w:rPr>
          <w:rFonts w:ascii="Tahoma" w:hAnsi="Tahoma" w:cs="Tahoma"/>
          <w:b/>
          <w:sz w:val="25"/>
          <w:szCs w:val="25"/>
        </w:rPr>
        <w:t>ROSEMARY CHAGONDA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71E87">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580150" w:rsidP="00743501">
      <w:pPr>
        <w:spacing w:after="0" w:line="240" w:lineRule="auto"/>
        <w:rPr>
          <w:rFonts w:ascii="Tahoma" w:hAnsi="Tahoma" w:cs="Tahoma"/>
          <w:b/>
          <w:sz w:val="25"/>
          <w:szCs w:val="25"/>
        </w:rPr>
      </w:pPr>
      <w:r>
        <w:rPr>
          <w:rFonts w:ascii="Tahoma" w:hAnsi="Tahoma" w:cs="Tahoma"/>
          <w:b/>
          <w:sz w:val="25"/>
          <w:szCs w:val="25"/>
        </w:rPr>
        <w:t>CRESTA LODGE</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A71E87">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D7303">
        <w:rPr>
          <w:rFonts w:ascii="Tahoma" w:hAnsi="Tahoma" w:cs="Tahoma"/>
          <w:b/>
          <w:sz w:val="25"/>
          <w:szCs w:val="25"/>
        </w:rPr>
        <w:t>O. Zimbodza</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C673B">
        <w:rPr>
          <w:rFonts w:ascii="Tahoma" w:hAnsi="Tahoma" w:cs="Tahoma"/>
          <w:b/>
          <w:sz w:val="25"/>
          <w:szCs w:val="25"/>
        </w:rPr>
        <w:t xml:space="preserve">Mr </w:t>
      </w:r>
      <w:r w:rsidR="001D7303">
        <w:rPr>
          <w:rFonts w:ascii="Tahoma" w:hAnsi="Tahoma" w:cs="Tahoma"/>
          <w:b/>
          <w:sz w:val="25"/>
          <w:szCs w:val="25"/>
        </w:rPr>
        <w:t>A.K. Maguchu</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F01068">
        <w:rPr>
          <w:rFonts w:ascii="Tahoma" w:hAnsi="Tahoma" w:cs="Tahoma"/>
          <w:sz w:val="25"/>
          <w:szCs w:val="25"/>
        </w:rPr>
        <w:t>The charges for which Appellant was found guilty and dismissed from Respondent’s employ were:</w:t>
      </w:r>
    </w:p>
    <w:p w:rsidR="00F01068" w:rsidRDefault="00F01068" w:rsidP="00A42E04">
      <w:pPr>
        <w:spacing w:after="0" w:line="360" w:lineRule="auto"/>
        <w:jc w:val="both"/>
        <w:rPr>
          <w:rFonts w:ascii="Tahoma" w:hAnsi="Tahoma" w:cs="Tahoma"/>
          <w:sz w:val="25"/>
          <w:szCs w:val="25"/>
        </w:rPr>
      </w:pP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Any act or conduct or omission inconsistent with express or implied conditions of the employee’s contract. </w:t>
      </w: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Being dishonest in the performance of normal duties. </w:t>
      </w:r>
    </w:p>
    <w:p w:rsidR="00F01068" w:rsidRDefault="00F01068" w:rsidP="00F01068">
      <w:pPr>
        <w:spacing w:after="0" w:line="360" w:lineRule="auto"/>
        <w:jc w:val="both"/>
        <w:rPr>
          <w:rFonts w:ascii="Tahoma" w:hAnsi="Tahoma" w:cs="Tahoma"/>
          <w:sz w:val="25"/>
          <w:szCs w:val="25"/>
        </w:rPr>
      </w:pPr>
    </w:p>
    <w:p w:rsidR="00F01068" w:rsidRDefault="00F01068" w:rsidP="00F01068">
      <w:pPr>
        <w:spacing w:after="0" w:line="360" w:lineRule="auto"/>
        <w:ind w:firstLine="720"/>
        <w:jc w:val="both"/>
        <w:rPr>
          <w:rFonts w:ascii="Tahoma" w:hAnsi="Tahoma" w:cs="Tahoma"/>
          <w:sz w:val="25"/>
          <w:szCs w:val="25"/>
        </w:rPr>
      </w:pPr>
      <w:r>
        <w:rPr>
          <w:rFonts w:ascii="Tahoma" w:hAnsi="Tahoma" w:cs="Tahoma"/>
          <w:sz w:val="25"/>
          <w:szCs w:val="25"/>
        </w:rPr>
        <w:t xml:space="preserve">In brief the allegations that brought about the charges were that Appellant created a personal account for one Allen Ruzvidzo for a transaction involving $100 which Allen had improperly transacted on a </w:t>
      </w:r>
      <w:r w:rsidR="00D66FF2">
        <w:rPr>
          <w:rFonts w:ascii="Tahoma" w:hAnsi="Tahoma" w:cs="Tahoma"/>
          <w:sz w:val="25"/>
          <w:szCs w:val="25"/>
        </w:rPr>
        <w:t>guest’s</w:t>
      </w:r>
      <w:r>
        <w:rPr>
          <w:rFonts w:ascii="Tahoma" w:hAnsi="Tahoma" w:cs="Tahoma"/>
          <w:sz w:val="25"/>
          <w:szCs w:val="25"/>
        </w:rPr>
        <w:t xml:space="preserve"> account which transaction would leave the guest’s account with an outstanding balance. </w:t>
      </w:r>
    </w:p>
    <w:p w:rsidR="00F01068" w:rsidRDefault="00F01068" w:rsidP="00F01068">
      <w:pPr>
        <w:spacing w:after="0" w:line="360" w:lineRule="auto"/>
        <w:ind w:firstLine="720"/>
        <w:jc w:val="both"/>
        <w:rPr>
          <w:rFonts w:ascii="Tahoma" w:hAnsi="Tahoma" w:cs="Tahoma"/>
          <w:sz w:val="25"/>
          <w:szCs w:val="25"/>
        </w:rPr>
      </w:pPr>
    </w:p>
    <w:p w:rsidR="00F01068" w:rsidRDefault="00F01068" w:rsidP="00F01068">
      <w:pPr>
        <w:spacing w:after="0" w:line="360" w:lineRule="auto"/>
        <w:ind w:firstLine="720"/>
        <w:jc w:val="both"/>
        <w:rPr>
          <w:rFonts w:ascii="Tahoma" w:hAnsi="Tahoma" w:cs="Tahoma"/>
          <w:sz w:val="25"/>
          <w:szCs w:val="25"/>
        </w:rPr>
      </w:pPr>
      <w:r>
        <w:rPr>
          <w:rFonts w:ascii="Tahoma" w:hAnsi="Tahoma" w:cs="Tahoma"/>
          <w:sz w:val="25"/>
          <w:szCs w:val="25"/>
        </w:rPr>
        <w:t>Appellant’s appeal to the Appeal’s Committee (A/C) was unsuccessful.  It is to this court that Appellant turned to on four grounds of appeal, vis, that:-</w:t>
      </w: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lastRenderedPageBreak/>
        <w:t xml:space="preserve">The A/C erred at law in allowing splitting of charges. </w:t>
      </w: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 A/C erred in accepting a defective investigation report. </w:t>
      </w: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 A/C erred in upholding Appellant’s dismissal despite evidence clearly showing that Appellant was not dishonest. </w:t>
      </w:r>
    </w:p>
    <w:p w:rsidR="00F01068" w:rsidRDefault="00F01068" w:rsidP="00F01068">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The A/C erred in dismissing Appellant despite the evidence in mitigation which were in favour of a lesser penalty than dismissal. </w:t>
      </w:r>
    </w:p>
    <w:p w:rsidR="00F01068" w:rsidRDefault="00F01068" w:rsidP="00F01068">
      <w:pPr>
        <w:spacing w:after="0" w:line="360" w:lineRule="auto"/>
        <w:jc w:val="both"/>
        <w:rPr>
          <w:rFonts w:ascii="Tahoma" w:hAnsi="Tahoma" w:cs="Tahoma"/>
          <w:sz w:val="25"/>
          <w:szCs w:val="25"/>
        </w:rPr>
      </w:pPr>
    </w:p>
    <w:p w:rsidR="00F01068" w:rsidRDefault="00F01068" w:rsidP="00F01068">
      <w:pPr>
        <w:spacing w:after="0" w:line="360" w:lineRule="auto"/>
        <w:ind w:firstLine="720"/>
        <w:jc w:val="both"/>
        <w:rPr>
          <w:rFonts w:ascii="Tahoma" w:hAnsi="Tahoma" w:cs="Tahoma"/>
          <w:sz w:val="25"/>
          <w:szCs w:val="25"/>
        </w:rPr>
      </w:pPr>
      <w:r w:rsidRPr="00F01068">
        <w:rPr>
          <w:rFonts w:ascii="Tahoma" w:hAnsi="Tahoma" w:cs="Tahoma"/>
          <w:sz w:val="25"/>
          <w:szCs w:val="25"/>
        </w:rPr>
        <w:t>It is an unchalle</w:t>
      </w:r>
      <w:r>
        <w:rPr>
          <w:rFonts w:ascii="Tahoma" w:hAnsi="Tahoma" w:cs="Tahoma"/>
          <w:sz w:val="25"/>
          <w:szCs w:val="25"/>
        </w:rPr>
        <w:t>nged principle that it is the employer’s prerogative to level charges against an employee.  In casu, the employer (Respondent</w:t>
      </w:r>
      <w:r w:rsidR="00ED48BF">
        <w:rPr>
          <w:rFonts w:ascii="Tahoma" w:hAnsi="Tahoma" w:cs="Tahoma"/>
          <w:sz w:val="25"/>
          <w:szCs w:val="25"/>
        </w:rPr>
        <w:t>)</w:t>
      </w:r>
      <w:r>
        <w:rPr>
          <w:rFonts w:ascii="Tahoma" w:hAnsi="Tahoma" w:cs="Tahoma"/>
          <w:sz w:val="25"/>
          <w:szCs w:val="25"/>
        </w:rPr>
        <w:t xml:space="preserve"> preferred two charges</w:t>
      </w:r>
      <w:r w:rsidR="00ED48BF">
        <w:rPr>
          <w:rFonts w:ascii="Tahoma" w:hAnsi="Tahoma" w:cs="Tahoma"/>
          <w:sz w:val="25"/>
          <w:szCs w:val="25"/>
        </w:rPr>
        <w:t xml:space="preserve"> derived from the circumstances arising from Appellant’s actions</w:t>
      </w:r>
      <w:r w:rsidR="00BF0940">
        <w:rPr>
          <w:rFonts w:ascii="Tahoma" w:hAnsi="Tahoma" w:cs="Tahoma"/>
          <w:sz w:val="25"/>
          <w:szCs w:val="25"/>
        </w:rPr>
        <w:t>.  F</w:t>
      </w:r>
      <w:r w:rsidR="00ED48BF">
        <w:rPr>
          <w:rFonts w:ascii="Tahoma" w:hAnsi="Tahoma" w:cs="Tahoma"/>
          <w:sz w:val="25"/>
          <w:szCs w:val="25"/>
        </w:rPr>
        <w:t xml:space="preserve">rom the circumstances, as correctly submitted by Respondent’s legal practitioner, Respondent noted that Appellant failed to follow procedures </w:t>
      </w:r>
      <w:r w:rsidR="0040653C">
        <w:rPr>
          <w:rFonts w:ascii="Tahoma" w:hAnsi="Tahoma" w:cs="Tahoma"/>
          <w:sz w:val="25"/>
          <w:szCs w:val="25"/>
        </w:rPr>
        <w:t xml:space="preserve">and this was with an intention </w:t>
      </w:r>
      <w:r w:rsidR="00D66FF2">
        <w:rPr>
          <w:rFonts w:ascii="Tahoma" w:hAnsi="Tahoma" w:cs="Tahoma"/>
          <w:sz w:val="25"/>
          <w:szCs w:val="25"/>
        </w:rPr>
        <w:t>to</w:t>
      </w:r>
      <w:r w:rsidR="00ED48BF">
        <w:rPr>
          <w:rFonts w:ascii="Tahoma" w:hAnsi="Tahoma" w:cs="Tahoma"/>
          <w:sz w:val="25"/>
          <w:szCs w:val="25"/>
        </w:rPr>
        <w:t xml:space="preserve"> </w:t>
      </w:r>
      <w:proofErr w:type="gramStart"/>
      <w:r w:rsidR="00ED48BF">
        <w:rPr>
          <w:rFonts w:ascii="Tahoma" w:hAnsi="Tahoma" w:cs="Tahoma"/>
          <w:sz w:val="25"/>
          <w:szCs w:val="25"/>
        </w:rPr>
        <w:t>deceive,</w:t>
      </w:r>
      <w:proofErr w:type="gramEnd"/>
      <w:r w:rsidR="00ED48BF">
        <w:rPr>
          <w:rFonts w:ascii="Tahoma" w:hAnsi="Tahoma" w:cs="Tahoma"/>
          <w:sz w:val="25"/>
          <w:szCs w:val="25"/>
        </w:rPr>
        <w:t xml:space="preserve"> and that regardless of whether procedures were followed</w:t>
      </w:r>
      <w:r w:rsidR="00BF0940">
        <w:rPr>
          <w:rFonts w:ascii="Tahoma" w:hAnsi="Tahoma" w:cs="Tahoma"/>
          <w:sz w:val="25"/>
          <w:szCs w:val="25"/>
        </w:rPr>
        <w:t xml:space="preserve"> or not</w:t>
      </w:r>
      <w:r w:rsidR="0040653C">
        <w:rPr>
          <w:rFonts w:ascii="Tahoma" w:hAnsi="Tahoma" w:cs="Tahoma"/>
          <w:sz w:val="25"/>
          <w:szCs w:val="25"/>
        </w:rPr>
        <w:t>,</w:t>
      </w:r>
      <w:r w:rsidR="00ED48BF">
        <w:rPr>
          <w:rFonts w:ascii="Tahoma" w:hAnsi="Tahoma" w:cs="Tahoma"/>
          <w:sz w:val="25"/>
          <w:szCs w:val="25"/>
        </w:rPr>
        <w:t xml:space="preserve"> she intended to deceive.  These in my view were two distinct acts of misconduct which could be preferred separately by Respondent. </w:t>
      </w:r>
    </w:p>
    <w:p w:rsidR="00ED48BF" w:rsidRDefault="00ED48BF" w:rsidP="00F01068">
      <w:pPr>
        <w:spacing w:after="0" w:line="360" w:lineRule="auto"/>
        <w:ind w:firstLine="720"/>
        <w:jc w:val="both"/>
        <w:rPr>
          <w:rFonts w:ascii="Tahoma" w:hAnsi="Tahoma" w:cs="Tahoma"/>
          <w:sz w:val="25"/>
          <w:szCs w:val="25"/>
        </w:rPr>
      </w:pPr>
    </w:p>
    <w:p w:rsidR="00ED48BF" w:rsidRDefault="00ED48BF" w:rsidP="00F01068">
      <w:pPr>
        <w:spacing w:after="0" w:line="360" w:lineRule="auto"/>
        <w:ind w:firstLine="720"/>
        <w:jc w:val="both"/>
        <w:rPr>
          <w:rFonts w:ascii="Tahoma" w:hAnsi="Tahoma" w:cs="Tahoma"/>
          <w:sz w:val="25"/>
          <w:szCs w:val="25"/>
        </w:rPr>
      </w:pPr>
      <w:r>
        <w:rPr>
          <w:rFonts w:ascii="Tahoma" w:hAnsi="Tahoma" w:cs="Tahoma"/>
          <w:sz w:val="25"/>
          <w:szCs w:val="25"/>
        </w:rPr>
        <w:t xml:space="preserve">The fact that the charges fall under the same category for which the penalty is the same, is neither here nor there. </w:t>
      </w:r>
    </w:p>
    <w:p w:rsidR="00ED48BF" w:rsidRDefault="00ED48BF" w:rsidP="00F01068">
      <w:pPr>
        <w:spacing w:after="0" w:line="360" w:lineRule="auto"/>
        <w:ind w:firstLine="720"/>
        <w:jc w:val="both"/>
        <w:rPr>
          <w:rFonts w:ascii="Tahoma" w:hAnsi="Tahoma" w:cs="Tahoma"/>
          <w:sz w:val="25"/>
          <w:szCs w:val="25"/>
        </w:rPr>
      </w:pPr>
    </w:p>
    <w:p w:rsidR="00ED48BF" w:rsidRDefault="00ED48BF" w:rsidP="00F01068">
      <w:pPr>
        <w:spacing w:after="0" w:line="360" w:lineRule="auto"/>
        <w:ind w:firstLine="720"/>
        <w:jc w:val="both"/>
        <w:rPr>
          <w:rFonts w:ascii="Tahoma" w:hAnsi="Tahoma" w:cs="Tahoma"/>
          <w:sz w:val="25"/>
          <w:szCs w:val="25"/>
        </w:rPr>
      </w:pPr>
      <w:r>
        <w:rPr>
          <w:rFonts w:ascii="Tahoma" w:hAnsi="Tahoma" w:cs="Tahoma"/>
          <w:sz w:val="25"/>
          <w:szCs w:val="25"/>
        </w:rPr>
        <w:t xml:space="preserve">This notwithstanding, I am in agreement with Respondent’s submission that the first two grounds of appeal raise issues for review and are therefore improperly before the </w:t>
      </w:r>
      <w:r w:rsidR="00D66FF2">
        <w:rPr>
          <w:rFonts w:ascii="Tahoma" w:hAnsi="Tahoma" w:cs="Tahoma"/>
          <w:sz w:val="25"/>
          <w:szCs w:val="25"/>
        </w:rPr>
        <w:t>Court</w:t>
      </w:r>
      <w:r>
        <w:rPr>
          <w:rFonts w:ascii="Tahoma" w:hAnsi="Tahoma" w:cs="Tahoma"/>
          <w:sz w:val="25"/>
          <w:szCs w:val="25"/>
        </w:rPr>
        <w:t xml:space="preserve"> as appeal grounds. </w:t>
      </w:r>
    </w:p>
    <w:p w:rsidR="00ED48BF" w:rsidRDefault="00ED48BF" w:rsidP="00F01068">
      <w:pPr>
        <w:spacing w:after="0" w:line="360" w:lineRule="auto"/>
        <w:ind w:firstLine="720"/>
        <w:jc w:val="both"/>
        <w:rPr>
          <w:rFonts w:ascii="Tahoma" w:hAnsi="Tahoma" w:cs="Tahoma"/>
          <w:sz w:val="25"/>
          <w:szCs w:val="25"/>
        </w:rPr>
      </w:pPr>
    </w:p>
    <w:p w:rsidR="00ED48BF" w:rsidRDefault="00ED48BF" w:rsidP="00F01068">
      <w:pPr>
        <w:spacing w:after="0" w:line="360" w:lineRule="auto"/>
        <w:ind w:firstLine="720"/>
        <w:jc w:val="both"/>
        <w:rPr>
          <w:rFonts w:ascii="Tahoma" w:hAnsi="Tahoma" w:cs="Tahoma"/>
          <w:sz w:val="25"/>
          <w:szCs w:val="25"/>
        </w:rPr>
      </w:pPr>
      <w:r>
        <w:rPr>
          <w:rFonts w:ascii="Tahoma" w:hAnsi="Tahoma" w:cs="Tahoma"/>
          <w:sz w:val="25"/>
          <w:szCs w:val="25"/>
        </w:rPr>
        <w:t xml:space="preserve">As regards the third ground of appeal, it is clear that Appellant is aggrieved by the verdict on the second charge.  She is not </w:t>
      </w:r>
      <w:r w:rsidR="0040653C">
        <w:rPr>
          <w:rFonts w:ascii="Tahoma" w:hAnsi="Tahoma" w:cs="Tahoma"/>
          <w:sz w:val="25"/>
          <w:szCs w:val="25"/>
        </w:rPr>
        <w:t>challeng</w:t>
      </w:r>
      <w:r w:rsidR="00BF0940">
        <w:rPr>
          <w:rFonts w:ascii="Tahoma" w:hAnsi="Tahoma" w:cs="Tahoma"/>
          <w:sz w:val="25"/>
          <w:szCs w:val="25"/>
        </w:rPr>
        <w:t>ing</w:t>
      </w:r>
      <w:r>
        <w:rPr>
          <w:rFonts w:ascii="Tahoma" w:hAnsi="Tahoma" w:cs="Tahoma"/>
          <w:sz w:val="25"/>
          <w:szCs w:val="25"/>
        </w:rPr>
        <w:t xml:space="preserve"> the verdict on the first </w:t>
      </w:r>
      <w:proofErr w:type="gramStart"/>
      <w:r w:rsidR="00D66FF2">
        <w:rPr>
          <w:rFonts w:ascii="Tahoma" w:hAnsi="Tahoma" w:cs="Tahoma"/>
          <w:sz w:val="25"/>
          <w:szCs w:val="25"/>
        </w:rPr>
        <w:t>charge</w:t>
      </w:r>
      <w:r w:rsidR="00BF0940">
        <w:rPr>
          <w:rFonts w:ascii="Tahoma" w:hAnsi="Tahoma" w:cs="Tahoma"/>
          <w:sz w:val="25"/>
          <w:szCs w:val="25"/>
        </w:rPr>
        <w:t>,</w:t>
      </w:r>
      <w:r w:rsidR="00D66FF2">
        <w:rPr>
          <w:rFonts w:ascii="Tahoma" w:hAnsi="Tahoma" w:cs="Tahoma"/>
          <w:sz w:val="25"/>
          <w:szCs w:val="25"/>
        </w:rPr>
        <w:t xml:space="preserve"> that</w:t>
      </w:r>
      <w:proofErr w:type="gramEnd"/>
      <w:r>
        <w:rPr>
          <w:rFonts w:ascii="Tahoma" w:hAnsi="Tahoma" w:cs="Tahoma"/>
          <w:sz w:val="25"/>
          <w:szCs w:val="25"/>
        </w:rPr>
        <w:t xml:space="preserve"> of conduct inconsistent with the express or implied conditions of her contract of employment.  That </w:t>
      </w:r>
      <w:r w:rsidR="0040653C">
        <w:rPr>
          <w:rFonts w:ascii="Tahoma" w:hAnsi="Tahoma" w:cs="Tahoma"/>
          <w:sz w:val="25"/>
          <w:szCs w:val="25"/>
        </w:rPr>
        <w:t>verdict</w:t>
      </w:r>
      <w:r>
        <w:rPr>
          <w:rFonts w:ascii="Tahoma" w:hAnsi="Tahoma" w:cs="Tahoma"/>
          <w:sz w:val="25"/>
          <w:szCs w:val="25"/>
        </w:rPr>
        <w:t xml:space="preserve"> therefore remains unchallenged and remains </w:t>
      </w:r>
      <w:proofErr w:type="gramStart"/>
      <w:r>
        <w:rPr>
          <w:rFonts w:ascii="Tahoma" w:hAnsi="Tahoma" w:cs="Tahoma"/>
          <w:sz w:val="25"/>
          <w:szCs w:val="25"/>
        </w:rPr>
        <w:t>confirmed</w:t>
      </w:r>
      <w:proofErr w:type="gramEnd"/>
      <w:r>
        <w:rPr>
          <w:rFonts w:ascii="Tahoma" w:hAnsi="Tahoma" w:cs="Tahoma"/>
          <w:sz w:val="25"/>
          <w:szCs w:val="25"/>
        </w:rPr>
        <w:t xml:space="preserve">. </w:t>
      </w:r>
    </w:p>
    <w:p w:rsidR="00ED48BF" w:rsidRDefault="00ED48BF" w:rsidP="00F01068">
      <w:pPr>
        <w:spacing w:after="0" w:line="360" w:lineRule="auto"/>
        <w:ind w:firstLine="720"/>
        <w:jc w:val="both"/>
        <w:rPr>
          <w:rFonts w:ascii="Tahoma" w:hAnsi="Tahoma" w:cs="Tahoma"/>
          <w:sz w:val="25"/>
          <w:szCs w:val="25"/>
        </w:rPr>
      </w:pPr>
    </w:p>
    <w:p w:rsidR="00ED48BF" w:rsidRDefault="00ED48BF" w:rsidP="00F01068">
      <w:pPr>
        <w:spacing w:after="0" w:line="360" w:lineRule="auto"/>
        <w:ind w:firstLine="720"/>
        <w:jc w:val="both"/>
        <w:rPr>
          <w:rFonts w:ascii="Tahoma" w:hAnsi="Tahoma" w:cs="Tahoma"/>
          <w:sz w:val="25"/>
          <w:szCs w:val="25"/>
        </w:rPr>
      </w:pPr>
      <w:r>
        <w:rPr>
          <w:rFonts w:ascii="Tahoma" w:hAnsi="Tahoma" w:cs="Tahoma"/>
          <w:sz w:val="25"/>
          <w:szCs w:val="25"/>
        </w:rPr>
        <w:t xml:space="preserve">On the second charge, it is common cause that Allen made an improper transaction on the guest’s account.  This transaction gave the impression that the guest’s account had an outstanding balance.  This was not correct.  The Appellant picked this up and decided to open a personal account for Allen and transferred the $100.00 debt into that account.  This gave the impression that Allen was </w:t>
      </w:r>
      <w:r w:rsidR="00BF0940">
        <w:rPr>
          <w:rFonts w:ascii="Tahoma" w:hAnsi="Tahoma" w:cs="Tahoma"/>
          <w:sz w:val="25"/>
          <w:szCs w:val="25"/>
        </w:rPr>
        <w:t>a</w:t>
      </w:r>
      <w:r>
        <w:rPr>
          <w:rFonts w:ascii="Tahoma" w:hAnsi="Tahoma" w:cs="Tahoma"/>
          <w:sz w:val="25"/>
          <w:szCs w:val="25"/>
        </w:rPr>
        <w:t xml:space="preserve"> debtor. </w:t>
      </w:r>
    </w:p>
    <w:p w:rsidR="00ED48BF" w:rsidRDefault="00ED48BF" w:rsidP="00F01068">
      <w:pPr>
        <w:spacing w:after="0" w:line="360" w:lineRule="auto"/>
        <w:ind w:firstLine="720"/>
        <w:jc w:val="both"/>
        <w:rPr>
          <w:rFonts w:ascii="Tahoma" w:hAnsi="Tahoma" w:cs="Tahoma"/>
          <w:sz w:val="25"/>
          <w:szCs w:val="25"/>
        </w:rPr>
      </w:pPr>
    </w:p>
    <w:p w:rsidR="00ED48BF" w:rsidRDefault="00ED48BF" w:rsidP="00F01068">
      <w:pPr>
        <w:spacing w:after="0" w:line="360" w:lineRule="auto"/>
        <w:ind w:firstLine="720"/>
        <w:jc w:val="both"/>
        <w:rPr>
          <w:rFonts w:ascii="Tahoma" w:hAnsi="Tahoma" w:cs="Tahoma"/>
          <w:sz w:val="25"/>
          <w:szCs w:val="25"/>
        </w:rPr>
      </w:pPr>
      <w:r>
        <w:rPr>
          <w:rFonts w:ascii="Tahoma" w:hAnsi="Tahoma" w:cs="Tahoma"/>
          <w:sz w:val="25"/>
          <w:szCs w:val="25"/>
        </w:rPr>
        <w:t xml:space="preserve">The A/C’s deliberations on the </w:t>
      </w:r>
      <w:proofErr w:type="gramStart"/>
      <w:r>
        <w:rPr>
          <w:rFonts w:ascii="Tahoma" w:hAnsi="Tahoma" w:cs="Tahoma"/>
          <w:sz w:val="25"/>
          <w:szCs w:val="25"/>
        </w:rPr>
        <w:t>above,</w:t>
      </w:r>
      <w:proofErr w:type="gramEnd"/>
      <w:r>
        <w:rPr>
          <w:rFonts w:ascii="Tahoma" w:hAnsi="Tahoma" w:cs="Tahoma"/>
          <w:sz w:val="25"/>
          <w:szCs w:val="25"/>
        </w:rPr>
        <w:t xml:space="preserve"> were that Appellant acknowledged that the corrections to Allen’s </w:t>
      </w:r>
      <w:r w:rsidR="00D66FF2">
        <w:rPr>
          <w:rFonts w:ascii="Tahoma" w:hAnsi="Tahoma" w:cs="Tahoma"/>
          <w:sz w:val="25"/>
          <w:szCs w:val="25"/>
        </w:rPr>
        <w:t>fraudulent</w:t>
      </w:r>
      <w:r>
        <w:rPr>
          <w:rFonts w:ascii="Tahoma" w:hAnsi="Tahoma" w:cs="Tahoma"/>
          <w:sz w:val="25"/>
          <w:szCs w:val="25"/>
        </w:rPr>
        <w:t xml:space="preserve"> postings could have been corrected on the same account and folio</w:t>
      </w:r>
      <w:r w:rsidR="00BF0940">
        <w:rPr>
          <w:rFonts w:ascii="Tahoma" w:hAnsi="Tahoma" w:cs="Tahoma"/>
          <w:sz w:val="25"/>
          <w:szCs w:val="25"/>
        </w:rPr>
        <w:t xml:space="preserve">. </w:t>
      </w:r>
      <w:r>
        <w:rPr>
          <w:rFonts w:ascii="Tahoma" w:hAnsi="Tahoma" w:cs="Tahoma"/>
          <w:sz w:val="25"/>
          <w:szCs w:val="25"/>
        </w:rPr>
        <w:t xml:space="preserve"> Appellant failed to show good cause for opening the personal account.  </w:t>
      </w:r>
      <w:r w:rsidR="0033258B">
        <w:rPr>
          <w:rFonts w:ascii="Tahoma" w:hAnsi="Tahoma" w:cs="Tahoma"/>
          <w:sz w:val="25"/>
          <w:szCs w:val="25"/>
        </w:rPr>
        <w:t xml:space="preserve">This is more so in view of the fact that Allen tampered with the guest’s Account to “get” the $100,00 from the system. </w:t>
      </w:r>
    </w:p>
    <w:p w:rsidR="0033258B" w:rsidRDefault="0033258B" w:rsidP="00F01068">
      <w:pPr>
        <w:spacing w:after="0" w:line="360" w:lineRule="auto"/>
        <w:ind w:firstLine="720"/>
        <w:jc w:val="both"/>
        <w:rPr>
          <w:rFonts w:ascii="Tahoma" w:hAnsi="Tahoma" w:cs="Tahoma"/>
          <w:sz w:val="25"/>
          <w:szCs w:val="25"/>
        </w:rPr>
      </w:pPr>
    </w:p>
    <w:p w:rsidR="0033258B" w:rsidRDefault="0033258B" w:rsidP="00F01068">
      <w:pPr>
        <w:spacing w:after="0" w:line="360" w:lineRule="auto"/>
        <w:ind w:firstLine="720"/>
        <w:jc w:val="both"/>
        <w:rPr>
          <w:rFonts w:ascii="Tahoma" w:hAnsi="Tahoma" w:cs="Tahoma"/>
          <w:sz w:val="25"/>
          <w:szCs w:val="25"/>
        </w:rPr>
      </w:pPr>
      <w:r>
        <w:rPr>
          <w:rFonts w:ascii="Tahoma" w:hAnsi="Tahoma" w:cs="Tahoma"/>
          <w:sz w:val="25"/>
          <w:szCs w:val="25"/>
        </w:rPr>
        <w:t>By opening a personal account for Allen, well knowing that Allen had</w:t>
      </w:r>
      <w:r w:rsidR="0040653C">
        <w:rPr>
          <w:rFonts w:ascii="Tahoma" w:hAnsi="Tahoma" w:cs="Tahoma"/>
          <w:sz w:val="25"/>
          <w:szCs w:val="25"/>
        </w:rPr>
        <w:t xml:space="preserve"> without authority</w:t>
      </w:r>
      <w:r>
        <w:rPr>
          <w:rFonts w:ascii="Tahoma" w:hAnsi="Tahoma" w:cs="Tahoma"/>
          <w:sz w:val="25"/>
          <w:szCs w:val="25"/>
        </w:rPr>
        <w:t xml:space="preserve"> taken money from the system was a dishonest act in my view.  There was </w:t>
      </w:r>
      <w:r w:rsidR="00BF0940">
        <w:rPr>
          <w:rFonts w:ascii="Tahoma" w:hAnsi="Tahoma" w:cs="Tahoma"/>
          <w:sz w:val="25"/>
          <w:szCs w:val="25"/>
        </w:rPr>
        <w:t>enough evidence to substantiate</w:t>
      </w:r>
      <w:r>
        <w:rPr>
          <w:rFonts w:ascii="Tahoma" w:hAnsi="Tahoma" w:cs="Tahoma"/>
          <w:sz w:val="25"/>
          <w:szCs w:val="25"/>
        </w:rPr>
        <w:t xml:space="preserve"> that charge and this ground of appeal must be dismissed. </w:t>
      </w:r>
    </w:p>
    <w:p w:rsidR="0033258B" w:rsidRDefault="0033258B" w:rsidP="00F01068">
      <w:pPr>
        <w:spacing w:after="0" w:line="360" w:lineRule="auto"/>
        <w:ind w:firstLine="720"/>
        <w:jc w:val="both"/>
        <w:rPr>
          <w:rFonts w:ascii="Tahoma" w:hAnsi="Tahoma" w:cs="Tahoma"/>
          <w:sz w:val="25"/>
          <w:szCs w:val="25"/>
        </w:rPr>
      </w:pPr>
    </w:p>
    <w:p w:rsidR="0033258B" w:rsidRDefault="0033258B" w:rsidP="00F01068">
      <w:pPr>
        <w:spacing w:after="0" w:line="360" w:lineRule="auto"/>
        <w:ind w:firstLine="720"/>
        <w:jc w:val="both"/>
        <w:rPr>
          <w:rFonts w:ascii="Tahoma" w:hAnsi="Tahoma" w:cs="Tahoma"/>
          <w:sz w:val="25"/>
          <w:szCs w:val="25"/>
        </w:rPr>
      </w:pPr>
      <w:r>
        <w:rPr>
          <w:rFonts w:ascii="Tahoma" w:hAnsi="Tahoma" w:cs="Tahoma"/>
          <w:sz w:val="25"/>
          <w:szCs w:val="25"/>
        </w:rPr>
        <w:t>As regards the fourth ground, the record shows that both mitigatory and aggravatory factors were considered by the Disciplinary Committee.  The Disciplinary Committee found however that dismissal was the appropriate penalty.  This was a discretion that the Disciplinary Committee exercised and could not be interfered with by the A/C.</w:t>
      </w:r>
    </w:p>
    <w:p w:rsidR="0033258B" w:rsidRDefault="0033258B" w:rsidP="00F01068">
      <w:pPr>
        <w:spacing w:after="0" w:line="360" w:lineRule="auto"/>
        <w:ind w:firstLine="720"/>
        <w:jc w:val="both"/>
        <w:rPr>
          <w:rFonts w:ascii="Tahoma" w:hAnsi="Tahoma" w:cs="Tahoma"/>
          <w:sz w:val="25"/>
          <w:szCs w:val="25"/>
        </w:rPr>
      </w:pPr>
    </w:p>
    <w:p w:rsidR="0033258B" w:rsidRDefault="0033258B" w:rsidP="00F01068">
      <w:pPr>
        <w:spacing w:after="0" w:line="360" w:lineRule="auto"/>
        <w:ind w:firstLine="720"/>
        <w:jc w:val="both"/>
        <w:rPr>
          <w:rFonts w:ascii="Tahoma" w:hAnsi="Tahoma" w:cs="Tahoma"/>
          <w:sz w:val="25"/>
          <w:szCs w:val="25"/>
        </w:rPr>
      </w:pPr>
      <w:r>
        <w:rPr>
          <w:rFonts w:ascii="Tahoma" w:hAnsi="Tahoma" w:cs="Tahoma"/>
          <w:sz w:val="25"/>
          <w:szCs w:val="25"/>
        </w:rPr>
        <w:t xml:space="preserve">It is trite that the issue of penalty is the discretion of the employer and that exercise cannot be interfered with by an Appellate Court unless it is shown that it was not judiciously exercised </w:t>
      </w:r>
    </w:p>
    <w:p w:rsidR="00BF0940" w:rsidRDefault="00BF0940" w:rsidP="00F01068">
      <w:pPr>
        <w:spacing w:after="0" w:line="360" w:lineRule="auto"/>
        <w:ind w:firstLine="720"/>
        <w:jc w:val="both"/>
        <w:rPr>
          <w:rFonts w:ascii="Tahoma" w:hAnsi="Tahoma" w:cs="Tahoma"/>
          <w:b/>
          <w:i/>
          <w:sz w:val="25"/>
          <w:szCs w:val="25"/>
        </w:rPr>
      </w:pPr>
    </w:p>
    <w:p w:rsidR="0033258B" w:rsidRDefault="0033258B" w:rsidP="00F01068">
      <w:pPr>
        <w:spacing w:after="0" w:line="360" w:lineRule="auto"/>
        <w:ind w:firstLine="720"/>
        <w:jc w:val="both"/>
        <w:rPr>
          <w:rFonts w:ascii="Tahoma" w:hAnsi="Tahoma" w:cs="Tahoma"/>
          <w:b/>
          <w:i/>
          <w:sz w:val="25"/>
          <w:szCs w:val="25"/>
        </w:rPr>
      </w:pPr>
      <w:r>
        <w:rPr>
          <w:rFonts w:ascii="Tahoma" w:hAnsi="Tahoma" w:cs="Tahoma"/>
          <w:b/>
          <w:i/>
          <w:sz w:val="25"/>
          <w:szCs w:val="25"/>
        </w:rPr>
        <w:t xml:space="preserve">TREGERS PLASTICS (PRIVATE) LIMITED </w:t>
      </w:r>
    </w:p>
    <w:p w:rsidR="0033258B" w:rsidRDefault="0033258B" w:rsidP="00F01068">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gramStart"/>
      <w:r>
        <w:rPr>
          <w:rFonts w:ascii="Tahoma" w:hAnsi="Tahoma" w:cs="Tahoma"/>
          <w:b/>
          <w:i/>
          <w:sz w:val="25"/>
          <w:szCs w:val="25"/>
        </w:rPr>
        <w:t>vs</w:t>
      </w:r>
      <w:proofErr w:type="gramEnd"/>
    </w:p>
    <w:p w:rsidR="00BF0940" w:rsidRDefault="00BF0940" w:rsidP="00BF0940">
      <w:pPr>
        <w:pStyle w:val="ListParagraph"/>
        <w:numPr>
          <w:ilvl w:val="0"/>
          <w:numId w:val="3"/>
        </w:numPr>
        <w:spacing w:after="0" w:line="360" w:lineRule="auto"/>
        <w:jc w:val="both"/>
        <w:rPr>
          <w:rFonts w:ascii="Tahoma" w:hAnsi="Tahoma" w:cs="Tahoma"/>
          <w:b/>
          <w:i/>
          <w:sz w:val="25"/>
          <w:szCs w:val="25"/>
        </w:rPr>
      </w:pPr>
      <w:r>
        <w:rPr>
          <w:rFonts w:ascii="Tahoma" w:hAnsi="Tahoma" w:cs="Tahoma"/>
          <w:b/>
          <w:i/>
          <w:sz w:val="25"/>
          <w:szCs w:val="25"/>
        </w:rPr>
        <w:t xml:space="preserve">WOODRECK SIBANDA </w:t>
      </w:r>
      <w:r w:rsidR="0033258B" w:rsidRPr="00BF0940">
        <w:rPr>
          <w:rFonts w:ascii="Tahoma" w:hAnsi="Tahoma" w:cs="Tahoma"/>
          <w:b/>
          <w:i/>
          <w:sz w:val="25"/>
          <w:szCs w:val="25"/>
        </w:rPr>
        <w:t xml:space="preserve"> </w:t>
      </w:r>
    </w:p>
    <w:p w:rsidR="0033258B" w:rsidRPr="00BF0940" w:rsidRDefault="0033258B" w:rsidP="00BF0940">
      <w:pPr>
        <w:pStyle w:val="ListParagraph"/>
        <w:numPr>
          <w:ilvl w:val="0"/>
          <w:numId w:val="3"/>
        </w:numPr>
        <w:spacing w:after="0" w:line="360" w:lineRule="auto"/>
        <w:jc w:val="both"/>
        <w:rPr>
          <w:rFonts w:ascii="Tahoma" w:hAnsi="Tahoma" w:cs="Tahoma"/>
          <w:b/>
          <w:i/>
          <w:sz w:val="25"/>
          <w:szCs w:val="25"/>
        </w:rPr>
      </w:pPr>
      <w:r w:rsidRPr="00BF0940">
        <w:rPr>
          <w:rFonts w:ascii="Tahoma" w:hAnsi="Tahoma" w:cs="Tahoma"/>
          <w:b/>
          <w:i/>
          <w:sz w:val="25"/>
          <w:szCs w:val="25"/>
        </w:rPr>
        <w:t>PAUL MANGONDO SC</w:t>
      </w:r>
      <w:r w:rsidR="00BF0940">
        <w:rPr>
          <w:rFonts w:ascii="Tahoma" w:hAnsi="Tahoma" w:cs="Tahoma"/>
          <w:b/>
          <w:i/>
          <w:sz w:val="25"/>
          <w:szCs w:val="25"/>
        </w:rPr>
        <w:t xml:space="preserve"> 22</w:t>
      </w:r>
      <w:r w:rsidRPr="00BF0940">
        <w:rPr>
          <w:rFonts w:ascii="Tahoma" w:hAnsi="Tahoma" w:cs="Tahoma"/>
          <w:b/>
          <w:i/>
          <w:sz w:val="25"/>
          <w:szCs w:val="25"/>
        </w:rPr>
        <w:t>/12</w:t>
      </w:r>
    </w:p>
    <w:p w:rsidR="0033258B" w:rsidRDefault="0033258B" w:rsidP="00F01068">
      <w:pPr>
        <w:spacing w:after="0" w:line="360" w:lineRule="auto"/>
        <w:ind w:firstLine="720"/>
        <w:jc w:val="both"/>
        <w:rPr>
          <w:rFonts w:ascii="Tahoma" w:hAnsi="Tahoma" w:cs="Tahoma"/>
          <w:b/>
          <w:i/>
          <w:sz w:val="25"/>
          <w:szCs w:val="25"/>
        </w:rPr>
      </w:pPr>
    </w:p>
    <w:p w:rsidR="0033258B" w:rsidRDefault="0033258B" w:rsidP="00F01068">
      <w:pPr>
        <w:spacing w:after="0" w:line="360" w:lineRule="auto"/>
        <w:ind w:firstLine="720"/>
        <w:jc w:val="both"/>
        <w:rPr>
          <w:rFonts w:ascii="Tahoma" w:hAnsi="Tahoma" w:cs="Tahoma"/>
          <w:sz w:val="25"/>
          <w:szCs w:val="25"/>
        </w:rPr>
      </w:pPr>
      <w:r>
        <w:rPr>
          <w:rFonts w:ascii="Tahoma" w:hAnsi="Tahoma" w:cs="Tahoma"/>
          <w:sz w:val="25"/>
          <w:szCs w:val="25"/>
        </w:rPr>
        <w:t xml:space="preserve">In casu, as alluded to earlier, there has not </w:t>
      </w:r>
      <w:r w:rsidR="004F3771">
        <w:rPr>
          <w:rFonts w:ascii="Tahoma" w:hAnsi="Tahoma" w:cs="Tahoma"/>
          <w:sz w:val="25"/>
          <w:szCs w:val="25"/>
        </w:rPr>
        <w:t xml:space="preserve">been a challenge to the verdict on the first </w:t>
      </w:r>
      <w:r w:rsidR="0040653C">
        <w:rPr>
          <w:rFonts w:ascii="Tahoma" w:hAnsi="Tahoma" w:cs="Tahoma"/>
          <w:sz w:val="25"/>
          <w:szCs w:val="25"/>
        </w:rPr>
        <w:t>charge</w:t>
      </w:r>
      <w:r w:rsidR="004F3771">
        <w:rPr>
          <w:rFonts w:ascii="Tahoma" w:hAnsi="Tahoma" w:cs="Tahoma"/>
          <w:sz w:val="25"/>
          <w:szCs w:val="25"/>
        </w:rPr>
        <w:t>.  It therefore stands.  The penalty on a first breach is a dismissal.  The A/C found that Appellant</w:t>
      </w:r>
      <w:r w:rsidR="0040653C">
        <w:rPr>
          <w:rFonts w:ascii="Tahoma" w:hAnsi="Tahoma" w:cs="Tahoma"/>
          <w:sz w:val="25"/>
          <w:szCs w:val="25"/>
        </w:rPr>
        <w:t>’</w:t>
      </w:r>
      <w:r w:rsidR="004F3771">
        <w:rPr>
          <w:rFonts w:ascii="Tahoma" w:hAnsi="Tahoma" w:cs="Tahoma"/>
          <w:sz w:val="25"/>
          <w:szCs w:val="25"/>
        </w:rPr>
        <w:t>s bulk of submissions on mitigation were all based on matter</w:t>
      </w:r>
      <w:r w:rsidR="00BF0940">
        <w:rPr>
          <w:rFonts w:ascii="Tahoma" w:hAnsi="Tahoma" w:cs="Tahoma"/>
          <w:sz w:val="25"/>
          <w:szCs w:val="25"/>
        </w:rPr>
        <w:t>s</w:t>
      </w:r>
      <w:r w:rsidR="004F3771">
        <w:rPr>
          <w:rFonts w:ascii="Tahoma" w:hAnsi="Tahoma" w:cs="Tahoma"/>
          <w:sz w:val="25"/>
          <w:szCs w:val="25"/>
        </w:rPr>
        <w:t xml:space="preserve"> discussed in Allen’s hearing.  It considered the aggravating factors and decided to </w:t>
      </w:r>
      <w:r w:rsidR="00D66FF2">
        <w:rPr>
          <w:rFonts w:ascii="Tahoma" w:hAnsi="Tahoma" w:cs="Tahoma"/>
          <w:sz w:val="25"/>
          <w:szCs w:val="25"/>
        </w:rPr>
        <w:t>uphold</w:t>
      </w:r>
      <w:r w:rsidR="004F3771">
        <w:rPr>
          <w:rFonts w:ascii="Tahoma" w:hAnsi="Tahoma" w:cs="Tahoma"/>
          <w:sz w:val="25"/>
          <w:szCs w:val="25"/>
        </w:rPr>
        <w:t xml:space="preserve"> the dismissal penalty. </w:t>
      </w:r>
    </w:p>
    <w:p w:rsidR="004F3771" w:rsidRDefault="004F3771" w:rsidP="00F01068">
      <w:pPr>
        <w:spacing w:after="0" w:line="360" w:lineRule="auto"/>
        <w:ind w:firstLine="720"/>
        <w:jc w:val="both"/>
        <w:rPr>
          <w:rFonts w:ascii="Tahoma" w:hAnsi="Tahoma" w:cs="Tahoma"/>
          <w:sz w:val="25"/>
          <w:szCs w:val="25"/>
        </w:rPr>
      </w:pPr>
    </w:p>
    <w:p w:rsidR="004F3771" w:rsidRDefault="004F3771" w:rsidP="00F01068">
      <w:pPr>
        <w:spacing w:after="0" w:line="360" w:lineRule="auto"/>
        <w:ind w:firstLine="720"/>
        <w:jc w:val="both"/>
        <w:rPr>
          <w:rFonts w:ascii="Tahoma" w:hAnsi="Tahoma" w:cs="Tahoma"/>
          <w:sz w:val="25"/>
          <w:szCs w:val="25"/>
        </w:rPr>
      </w:pPr>
      <w:r>
        <w:rPr>
          <w:rFonts w:ascii="Tahoma" w:hAnsi="Tahoma" w:cs="Tahoma"/>
          <w:sz w:val="25"/>
          <w:szCs w:val="25"/>
        </w:rPr>
        <w:t xml:space="preserve">I find no legal basis to interfere with its decision.  As an Appellate Court, </w:t>
      </w:r>
      <w:r w:rsidR="00BF0940">
        <w:rPr>
          <w:rFonts w:ascii="Tahoma" w:hAnsi="Tahoma" w:cs="Tahoma"/>
          <w:sz w:val="25"/>
          <w:szCs w:val="25"/>
        </w:rPr>
        <w:t>the A/C had</w:t>
      </w:r>
      <w:r>
        <w:rPr>
          <w:rFonts w:ascii="Tahoma" w:hAnsi="Tahoma" w:cs="Tahoma"/>
          <w:sz w:val="25"/>
          <w:szCs w:val="25"/>
        </w:rPr>
        <w:t xml:space="preserve"> no legal basis to interfere with the Disciplinary Committee’s exercise of </w:t>
      </w:r>
      <w:r w:rsidR="00F86F01">
        <w:rPr>
          <w:rFonts w:ascii="Tahoma" w:hAnsi="Tahoma" w:cs="Tahoma"/>
          <w:sz w:val="25"/>
          <w:szCs w:val="25"/>
        </w:rPr>
        <w:t>discretion on the penalty.</w:t>
      </w:r>
    </w:p>
    <w:p w:rsidR="00F86F01" w:rsidRDefault="00F86F01" w:rsidP="00F01068">
      <w:pPr>
        <w:spacing w:after="0" w:line="360" w:lineRule="auto"/>
        <w:ind w:firstLine="720"/>
        <w:jc w:val="both"/>
        <w:rPr>
          <w:rFonts w:ascii="Tahoma" w:hAnsi="Tahoma" w:cs="Tahoma"/>
          <w:sz w:val="25"/>
          <w:szCs w:val="25"/>
        </w:rPr>
      </w:pPr>
    </w:p>
    <w:p w:rsidR="00F86F01" w:rsidRDefault="00F86F01" w:rsidP="00F01068">
      <w:pPr>
        <w:spacing w:after="0" w:line="360" w:lineRule="auto"/>
        <w:ind w:firstLine="720"/>
        <w:jc w:val="both"/>
        <w:rPr>
          <w:rFonts w:ascii="Tahoma" w:hAnsi="Tahoma" w:cs="Tahoma"/>
          <w:sz w:val="25"/>
          <w:szCs w:val="25"/>
        </w:rPr>
      </w:pPr>
      <w:r>
        <w:rPr>
          <w:rFonts w:ascii="Tahoma" w:hAnsi="Tahoma" w:cs="Tahoma"/>
          <w:sz w:val="25"/>
          <w:szCs w:val="25"/>
        </w:rPr>
        <w:t>This fourth ground of appeal,</w:t>
      </w:r>
      <w:r w:rsidR="00D66FF2">
        <w:rPr>
          <w:rFonts w:ascii="Tahoma" w:hAnsi="Tahoma" w:cs="Tahoma"/>
          <w:sz w:val="25"/>
          <w:szCs w:val="25"/>
        </w:rPr>
        <w:t xml:space="preserve"> cannot be upheld either. </w:t>
      </w:r>
    </w:p>
    <w:p w:rsidR="00D66FF2" w:rsidRDefault="00D66FF2" w:rsidP="00F01068">
      <w:pPr>
        <w:spacing w:after="0" w:line="360" w:lineRule="auto"/>
        <w:ind w:firstLine="720"/>
        <w:jc w:val="both"/>
        <w:rPr>
          <w:rFonts w:ascii="Tahoma" w:hAnsi="Tahoma" w:cs="Tahoma"/>
          <w:sz w:val="25"/>
          <w:szCs w:val="25"/>
        </w:rPr>
      </w:pPr>
    </w:p>
    <w:p w:rsidR="00D66FF2" w:rsidRPr="0033258B" w:rsidRDefault="00D66FF2" w:rsidP="00F01068">
      <w:pPr>
        <w:spacing w:after="0" w:line="360" w:lineRule="auto"/>
        <w:ind w:firstLine="720"/>
        <w:jc w:val="both"/>
        <w:rPr>
          <w:rFonts w:ascii="Tahoma" w:hAnsi="Tahoma" w:cs="Tahoma"/>
          <w:sz w:val="25"/>
          <w:szCs w:val="25"/>
        </w:rPr>
      </w:pPr>
      <w:r>
        <w:rPr>
          <w:rFonts w:ascii="Tahoma" w:hAnsi="Tahoma" w:cs="Tahoma"/>
          <w:sz w:val="25"/>
          <w:szCs w:val="25"/>
        </w:rPr>
        <w:t xml:space="preserve">In the circumstances the entire appeal is without merit.  It is and is hereby dismissed in its entirety with costs. </w:t>
      </w:r>
    </w:p>
    <w:p w:rsidR="00A42E04" w:rsidRPr="00D95B8F" w:rsidRDefault="00A42E04" w:rsidP="00A42E04">
      <w:pPr>
        <w:spacing w:after="0" w:line="360" w:lineRule="auto"/>
        <w:jc w:val="both"/>
        <w:rPr>
          <w:rFonts w:ascii="Tahoma" w:hAnsi="Tahoma" w:cs="Tahoma"/>
          <w:sz w:val="25"/>
          <w:szCs w:val="25"/>
        </w:rPr>
      </w:pPr>
    </w:p>
    <w:p w:rsidR="00B8682C" w:rsidRPr="00D66FF2" w:rsidRDefault="00B8682C" w:rsidP="00D66FF2">
      <w:pPr>
        <w:spacing w:after="0" w:line="360" w:lineRule="auto"/>
        <w:jc w:val="both"/>
        <w:rPr>
          <w:rFonts w:ascii="Tahoma" w:hAnsi="Tahoma" w:cs="Tahoma"/>
          <w:sz w:val="25"/>
          <w:szCs w:val="25"/>
        </w:rPr>
      </w:pPr>
    </w:p>
    <w:p w:rsidR="00025B6C" w:rsidRPr="00D95B8F" w:rsidRDefault="001D7303" w:rsidP="00B10417">
      <w:pPr>
        <w:spacing w:after="0" w:line="360" w:lineRule="auto"/>
        <w:rPr>
          <w:rFonts w:ascii="Tahoma" w:hAnsi="Tahoma" w:cs="Tahoma"/>
          <w:b/>
          <w:i/>
          <w:sz w:val="25"/>
          <w:szCs w:val="25"/>
        </w:rPr>
      </w:pPr>
      <w:r>
        <w:rPr>
          <w:rFonts w:ascii="Tahoma" w:hAnsi="Tahoma" w:cs="Tahoma"/>
          <w:b/>
          <w:i/>
          <w:sz w:val="25"/>
          <w:szCs w:val="25"/>
        </w:rPr>
        <w:t>Zimbodza &amp; Mugwagwa</w:t>
      </w:r>
      <w:r w:rsidR="00025B6C" w:rsidRPr="00D95B8F">
        <w:rPr>
          <w:rFonts w:ascii="Tahoma" w:hAnsi="Tahoma" w:cs="Tahoma"/>
          <w:b/>
          <w:i/>
          <w:sz w:val="25"/>
          <w:szCs w:val="25"/>
        </w:rPr>
        <w:t>– Appellant’s legal practitioners</w:t>
      </w:r>
    </w:p>
    <w:p w:rsidR="007C5CA3" w:rsidRDefault="001D7303" w:rsidP="007D717D">
      <w:pPr>
        <w:spacing w:after="0" w:line="240" w:lineRule="auto"/>
        <w:rPr>
          <w:rFonts w:ascii="Tahoma" w:hAnsi="Tahoma" w:cs="Tahoma"/>
          <w:b/>
          <w:i/>
          <w:sz w:val="25"/>
          <w:szCs w:val="25"/>
        </w:rPr>
      </w:pPr>
      <w:r>
        <w:rPr>
          <w:rFonts w:ascii="Tahoma" w:hAnsi="Tahoma" w:cs="Tahoma"/>
          <w:b/>
          <w:i/>
          <w:sz w:val="25"/>
          <w:szCs w:val="25"/>
        </w:rPr>
        <w:t xml:space="preserve">Dube, Manikai &amp; Hwacha </w:t>
      </w:r>
      <w:r w:rsidR="00025B6C" w:rsidRPr="00D95B8F">
        <w:rPr>
          <w:rFonts w:ascii="Tahoma" w:hAnsi="Tahoma" w:cs="Tahoma"/>
          <w:b/>
          <w:i/>
          <w:sz w:val="25"/>
          <w:szCs w:val="25"/>
        </w:rPr>
        <w:t xml:space="preserve">– </w:t>
      </w:r>
      <w:r w:rsidR="007D717D" w:rsidRPr="00D95B8F">
        <w:rPr>
          <w:rFonts w:ascii="Tahoma" w:hAnsi="Tahoma" w:cs="Tahoma"/>
          <w:b/>
          <w:i/>
          <w:sz w:val="25"/>
          <w:szCs w:val="25"/>
        </w:rPr>
        <w:t>Respondent’s legal practitioners</w:t>
      </w:r>
      <w:bookmarkStart w:id="0" w:name="_GoBack"/>
      <w:bookmarkEnd w:id="0"/>
    </w:p>
    <w:sectPr w:rsidR="007C5CA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91" w:rsidRDefault="001A6F91" w:rsidP="007C5CA3">
      <w:pPr>
        <w:spacing w:after="0" w:line="240" w:lineRule="auto"/>
      </w:pPr>
      <w:r>
        <w:separator/>
      </w:r>
    </w:p>
  </w:endnote>
  <w:endnote w:type="continuationSeparator" w:id="0">
    <w:p w:rsidR="001A6F91" w:rsidRDefault="001A6F9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F086F">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91" w:rsidRDefault="001A6F91" w:rsidP="007C5CA3">
      <w:pPr>
        <w:spacing w:after="0" w:line="240" w:lineRule="auto"/>
      </w:pPr>
      <w:r>
        <w:separator/>
      </w:r>
    </w:p>
  </w:footnote>
  <w:footnote w:type="continuationSeparator" w:id="0">
    <w:p w:rsidR="001A6F91" w:rsidRDefault="001A6F9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D66FF2">
      <w:rPr>
        <w:rFonts w:ascii="Tahoma" w:hAnsi="Tahoma" w:cs="Tahoma"/>
        <w:b/>
        <w:sz w:val="24"/>
        <w:szCs w:val="24"/>
      </w:rPr>
      <w:t>336</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131E"/>
    <w:multiLevelType w:val="hybridMultilevel"/>
    <w:tmpl w:val="9D0C8338"/>
    <w:lvl w:ilvl="0" w:tplc="26FA9318">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CCC7857"/>
    <w:multiLevelType w:val="hybridMultilevel"/>
    <w:tmpl w:val="BE462C8C"/>
    <w:lvl w:ilvl="0" w:tplc="BA40A2B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351"/>
    <w:rsid w:val="000A07BC"/>
    <w:rsid w:val="000D6E56"/>
    <w:rsid w:val="000E1A24"/>
    <w:rsid w:val="000E1D81"/>
    <w:rsid w:val="000E5A35"/>
    <w:rsid w:val="001059DC"/>
    <w:rsid w:val="0011530D"/>
    <w:rsid w:val="00192EC2"/>
    <w:rsid w:val="001A037B"/>
    <w:rsid w:val="001A6F91"/>
    <w:rsid w:val="001B520A"/>
    <w:rsid w:val="001B7DFE"/>
    <w:rsid w:val="001D7303"/>
    <w:rsid w:val="001E59E3"/>
    <w:rsid w:val="001F2A28"/>
    <w:rsid w:val="001F6C80"/>
    <w:rsid w:val="00257D13"/>
    <w:rsid w:val="00257EAA"/>
    <w:rsid w:val="00276D4A"/>
    <w:rsid w:val="002813AD"/>
    <w:rsid w:val="002A3347"/>
    <w:rsid w:val="002A4EA4"/>
    <w:rsid w:val="002B042E"/>
    <w:rsid w:val="002C7EF3"/>
    <w:rsid w:val="002D0332"/>
    <w:rsid w:val="002E1FE1"/>
    <w:rsid w:val="002E229C"/>
    <w:rsid w:val="002F086F"/>
    <w:rsid w:val="002F5836"/>
    <w:rsid w:val="003102CF"/>
    <w:rsid w:val="00320D70"/>
    <w:rsid w:val="0033258B"/>
    <w:rsid w:val="00333A04"/>
    <w:rsid w:val="00345C9C"/>
    <w:rsid w:val="00352819"/>
    <w:rsid w:val="003571DC"/>
    <w:rsid w:val="003732BA"/>
    <w:rsid w:val="003744B2"/>
    <w:rsid w:val="003902C5"/>
    <w:rsid w:val="003B073C"/>
    <w:rsid w:val="003B2DAE"/>
    <w:rsid w:val="003C4704"/>
    <w:rsid w:val="003C673B"/>
    <w:rsid w:val="003E58BF"/>
    <w:rsid w:val="003E7494"/>
    <w:rsid w:val="0040653C"/>
    <w:rsid w:val="00417162"/>
    <w:rsid w:val="00421D94"/>
    <w:rsid w:val="00435CF9"/>
    <w:rsid w:val="004403C4"/>
    <w:rsid w:val="00443D09"/>
    <w:rsid w:val="00450F2A"/>
    <w:rsid w:val="00452BD6"/>
    <w:rsid w:val="00471F6B"/>
    <w:rsid w:val="004770D4"/>
    <w:rsid w:val="004905CF"/>
    <w:rsid w:val="004927A7"/>
    <w:rsid w:val="004C0E8D"/>
    <w:rsid w:val="004C3334"/>
    <w:rsid w:val="004C6C04"/>
    <w:rsid w:val="004D303B"/>
    <w:rsid w:val="004E2B68"/>
    <w:rsid w:val="004E6DBC"/>
    <w:rsid w:val="004F3771"/>
    <w:rsid w:val="00521048"/>
    <w:rsid w:val="00535E77"/>
    <w:rsid w:val="00542814"/>
    <w:rsid w:val="00580150"/>
    <w:rsid w:val="005B403F"/>
    <w:rsid w:val="005B6B07"/>
    <w:rsid w:val="005E2693"/>
    <w:rsid w:val="005E4CBF"/>
    <w:rsid w:val="005F3C09"/>
    <w:rsid w:val="00637CA0"/>
    <w:rsid w:val="006462FD"/>
    <w:rsid w:val="00652B98"/>
    <w:rsid w:val="006766B6"/>
    <w:rsid w:val="00680357"/>
    <w:rsid w:val="00694322"/>
    <w:rsid w:val="006E73F7"/>
    <w:rsid w:val="00736501"/>
    <w:rsid w:val="00740E8A"/>
    <w:rsid w:val="00743501"/>
    <w:rsid w:val="007548C0"/>
    <w:rsid w:val="00761EF7"/>
    <w:rsid w:val="007659C9"/>
    <w:rsid w:val="00776C36"/>
    <w:rsid w:val="00777CDC"/>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7D49"/>
    <w:rsid w:val="00A05445"/>
    <w:rsid w:val="00A15B90"/>
    <w:rsid w:val="00A42E04"/>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41C4"/>
    <w:rsid w:val="00B8682C"/>
    <w:rsid w:val="00B8731A"/>
    <w:rsid w:val="00B91278"/>
    <w:rsid w:val="00BA5626"/>
    <w:rsid w:val="00BD43C4"/>
    <w:rsid w:val="00BE7503"/>
    <w:rsid w:val="00BF0940"/>
    <w:rsid w:val="00C279F3"/>
    <w:rsid w:val="00C41ABD"/>
    <w:rsid w:val="00C63A75"/>
    <w:rsid w:val="00C83742"/>
    <w:rsid w:val="00CB2223"/>
    <w:rsid w:val="00CE61E0"/>
    <w:rsid w:val="00CF7FB6"/>
    <w:rsid w:val="00D13C45"/>
    <w:rsid w:val="00D34EA0"/>
    <w:rsid w:val="00D35D61"/>
    <w:rsid w:val="00D66B99"/>
    <w:rsid w:val="00D66FF2"/>
    <w:rsid w:val="00D6717B"/>
    <w:rsid w:val="00D95B8F"/>
    <w:rsid w:val="00DA5F18"/>
    <w:rsid w:val="00DD7258"/>
    <w:rsid w:val="00E04088"/>
    <w:rsid w:val="00E40848"/>
    <w:rsid w:val="00E5115D"/>
    <w:rsid w:val="00E86E3D"/>
    <w:rsid w:val="00EA5CF8"/>
    <w:rsid w:val="00EC3B90"/>
    <w:rsid w:val="00EC57F0"/>
    <w:rsid w:val="00EC678A"/>
    <w:rsid w:val="00ED3B87"/>
    <w:rsid w:val="00ED48BF"/>
    <w:rsid w:val="00ED5019"/>
    <w:rsid w:val="00EE2051"/>
    <w:rsid w:val="00EE43D8"/>
    <w:rsid w:val="00F00961"/>
    <w:rsid w:val="00F01068"/>
    <w:rsid w:val="00F034A3"/>
    <w:rsid w:val="00F04459"/>
    <w:rsid w:val="00F06F4E"/>
    <w:rsid w:val="00F10308"/>
    <w:rsid w:val="00F11DA5"/>
    <w:rsid w:val="00F2481E"/>
    <w:rsid w:val="00F2770F"/>
    <w:rsid w:val="00F86F01"/>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9</cp:revision>
  <cp:lastPrinted>2016-05-24T07:35:00Z</cp:lastPrinted>
  <dcterms:created xsi:type="dcterms:W3CDTF">2016-05-16T12:48:00Z</dcterms:created>
  <dcterms:modified xsi:type="dcterms:W3CDTF">2016-05-24T07:35:00Z</dcterms:modified>
</cp:coreProperties>
</file>