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D1" w:rsidRDefault="00EE78D1" w:rsidP="003E5395">
      <w:pPr>
        <w:spacing w:after="0"/>
        <w:jc w:val="both"/>
        <w:rPr>
          <w:rFonts w:ascii="Times New Roman" w:hAnsi="Times New Roman" w:cs="Times New Roman"/>
          <w:sz w:val="24"/>
          <w:szCs w:val="24"/>
        </w:rPr>
      </w:pPr>
      <w:bookmarkStart w:id="0" w:name="_GoBack"/>
      <w:bookmarkEnd w:id="0"/>
    </w:p>
    <w:p w:rsidR="00EE78D1" w:rsidRPr="00B017EC" w:rsidRDefault="00AF0C01"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ROPAFADZO ZOWE </w:t>
      </w:r>
    </w:p>
    <w:p w:rsidR="0096091F" w:rsidRPr="00B017EC" w:rsidRDefault="00F96775" w:rsidP="003A689C">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v</w:t>
      </w:r>
      <w:r w:rsidR="00EE78D1" w:rsidRPr="00B017EC">
        <w:rPr>
          <w:rFonts w:ascii="Times New Roman" w:hAnsi="Times New Roman" w:cs="Times New Roman"/>
          <w:sz w:val="24"/>
          <w:szCs w:val="24"/>
        </w:rPr>
        <w:t>ersus</w:t>
      </w:r>
    </w:p>
    <w:p w:rsidR="00EE78D1" w:rsidRDefault="00AF0C01"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SONNY MANYANDE</w:t>
      </w:r>
    </w:p>
    <w:p w:rsidR="00C40160" w:rsidRDefault="00C40160" w:rsidP="003A689C">
      <w:pPr>
        <w:spacing w:after="0" w:line="240" w:lineRule="auto"/>
        <w:jc w:val="both"/>
        <w:rPr>
          <w:rFonts w:ascii="Times New Roman" w:hAnsi="Times New Roman" w:cs="Times New Roman"/>
          <w:sz w:val="24"/>
          <w:szCs w:val="24"/>
        </w:rPr>
      </w:pPr>
    </w:p>
    <w:p w:rsidR="003A689C" w:rsidRPr="00B017EC" w:rsidRDefault="003A689C" w:rsidP="003A689C">
      <w:pPr>
        <w:spacing w:after="0" w:line="240" w:lineRule="auto"/>
        <w:jc w:val="both"/>
        <w:rPr>
          <w:rFonts w:ascii="Times New Roman" w:hAnsi="Times New Roman" w:cs="Times New Roman"/>
          <w:sz w:val="24"/>
          <w:szCs w:val="24"/>
        </w:rPr>
      </w:pPr>
    </w:p>
    <w:p w:rsidR="00C40160" w:rsidRPr="00B017EC" w:rsidRDefault="00C40160" w:rsidP="003A689C">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 xml:space="preserve">HIGH COURT OF ZIMBABWE </w:t>
      </w:r>
    </w:p>
    <w:p w:rsidR="00C40160" w:rsidRPr="00B017EC" w:rsidRDefault="00075172"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MWAYERA &amp; </w:t>
      </w:r>
      <w:r w:rsidR="00C40160" w:rsidRPr="00B017EC">
        <w:rPr>
          <w:rFonts w:ascii="Times New Roman" w:hAnsi="Times New Roman" w:cs="Times New Roman"/>
          <w:sz w:val="24"/>
          <w:szCs w:val="24"/>
        </w:rPr>
        <w:t>MUZENDA J</w:t>
      </w:r>
      <w:r>
        <w:rPr>
          <w:rFonts w:ascii="Times New Roman" w:hAnsi="Times New Roman" w:cs="Times New Roman"/>
          <w:sz w:val="24"/>
          <w:szCs w:val="24"/>
        </w:rPr>
        <w:t>J</w:t>
      </w:r>
    </w:p>
    <w:p w:rsidR="00C40160" w:rsidRPr="00B017EC" w:rsidRDefault="00C40160" w:rsidP="003A689C">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MUT</w:t>
      </w:r>
      <w:r w:rsidR="00CD0AE3">
        <w:rPr>
          <w:rFonts w:ascii="Times New Roman" w:hAnsi="Times New Roman" w:cs="Times New Roman"/>
          <w:sz w:val="24"/>
          <w:szCs w:val="24"/>
        </w:rPr>
        <w:t>ARE, 2</w:t>
      </w:r>
      <w:r w:rsidR="00AF0C01">
        <w:rPr>
          <w:rFonts w:ascii="Times New Roman" w:hAnsi="Times New Roman" w:cs="Times New Roman"/>
          <w:sz w:val="24"/>
          <w:szCs w:val="24"/>
        </w:rPr>
        <w:t>6</w:t>
      </w:r>
      <w:r w:rsidR="006919BD" w:rsidRPr="00B017EC">
        <w:rPr>
          <w:rFonts w:ascii="Times New Roman" w:hAnsi="Times New Roman" w:cs="Times New Roman"/>
          <w:sz w:val="24"/>
          <w:szCs w:val="24"/>
        </w:rPr>
        <w:t xml:space="preserve"> May</w:t>
      </w:r>
      <w:r w:rsidR="000F4D02" w:rsidRPr="00B017EC">
        <w:rPr>
          <w:rFonts w:ascii="Times New Roman" w:hAnsi="Times New Roman" w:cs="Times New Roman"/>
          <w:sz w:val="24"/>
          <w:szCs w:val="24"/>
        </w:rPr>
        <w:t xml:space="preserve"> </w:t>
      </w:r>
      <w:r w:rsidR="00C26757" w:rsidRPr="00B017EC">
        <w:rPr>
          <w:rFonts w:ascii="Times New Roman" w:hAnsi="Times New Roman" w:cs="Times New Roman"/>
          <w:sz w:val="24"/>
          <w:szCs w:val="24"/>
        </w:rPr>
        <w:t>2021</w:t>
      </w:r>
      <w:r w:rsidR="00AF0C01">
        <w:rPr>
          <w:rFonts w:ascii="Times New Roman" w:hAnsi="Times New Roman" w:cs="Times New Roman"/>
          <w:sz w:val="24"/>
          <w:szCs w:val="24"/>
        </w:rPr>
        <w:t xml:space="preserve"> and</w:t>
      </w:r>
      <w:r w:rsidR="00AC4FD9">
        <w:rPr>
          <w:rFonts w:ascii="Times New Roman" w:hAnsi="Times New Roman" w:cs="Times New Roman"/>
          <w:sz w:val="24"/>
          <w:szCs w:val="24"/>
        </w:rPr>
        <w:t xml:space="preserve"> 10 June 2021</w:t>
      </w:r>
      <w:r w:rsidR="00AF0C01">
        <w:rPr>
          <w:rFonts w:ascii="Times New Roman" w:hAnsi="Times New Roman" w:cs="Times New Roman"/>
          <w:sz w:val="24"/>
          <w:szCs w:val="24"/>
        </w:rPr>
        <w:t xml:space="preserve"> </w:t>
      </w:r>
    </w:p>
    <w:p w:rsidR="00C40160" w:rsidRPr="00B017EC" w:rsidRDefault="00C40160" w:rsidP="003A689C">
      <w:pPr>
        <w:spacing w:after="0" w:line="240" w:lineRule="auto"/>
        <w:jc w:val="both"/>
        <w:rPr>
          <w:rFonts w:ascii="Times New Roman" w:hAnsi="Times New Roman" w:cs="Times New Roman"/>
          <w:sz w:val="24"/>
          <w:szCs w:val="24"/>
        </w:rPr>
      </w:pPr>
    </w:p>
    <w:p w:rsidR="00EF05BC" w:rsidRPr="00B017EC" w:rsidRDefault="00EF05BC" w:rsidP="003A689C">
      <w:pPr>
        <w:spacing w:after="0" w:line="240" w:lineRule="auto"/>
        <w:jc w:val="both"/>
        <w:rPr>
          <w:rFonts w:ascii="Times New Roman" w:hAnsi="Times New Roman" w:cs="Times New Roman"/>
          <w:sz w:val="24"/>
          <w:szCs w:val="24"/>
        </w:rPr>
      </w:pPr>
    </w:p>
    <w:p w:rsidR="00C26757" w:rsidRDefault="006919BD" w:rsidP="003A689C">
      <w:pPr>
        <w:spacing w:after="0" w:line="240" w:lineRule="auto"/>
        <w:jc w:val="both"/>
        <w:rPr>
          <w:rFonts w:ascii="Times New Roman" w:hAnsi="Times New Roman" w:cs="Times New Roman"/>
          <w:b/>
          <w:sz w:val="24"/>
          <w:szCs w:val="24"/>
        </w:rPr>
      </w:pPr>
      <w:r w:rsidRPr="00B017EC">
        <w:rPr>
          <w:rFonts w:ascii="Times New Roman" w:hAnsi="Times New Roman" w:cs="Times New Roman"/>
          <w:b/>
          <w:sz w:val="24"/>
          <w:szCs w:val="24"/>
        </w:rPr>
        <w:t>Civil Appeal</w:t>
      </w:r>
    </w:p>
    <w:p w:rsidR="00CD0AE3" w:rsidRDefault="00CD0AE3" w:rsidP="003A689C">
      <w:pPr>
        <w:spacing w:after="0" w:line="240" w:lineRule="auto"/>
        <w:jc w:val="both"/>
        <w:rPr>
          <w:rFonts w:ascii="Times New Roman" w:hAnsi="Times New Roman" w:cs="Times New Roman"/>
          <w:b/>
          <w:sz w:val="24"/>
          <w:szCs w:val="24"/>
        </w:rPr>
      </w:pPr>
    </w:p>
    <w:p w:rsidR="003A689C" w:rsidRDefault="003A689C" w:rsidP="003A689C">
      <w:pPr>
        <w:spacing w:after="0" w:line="240" w:lineRule="auto"/>
        <w:jc w:val="both"/>
        <w:rPr>
          <w:rFonts w:ascii="Times New Roman" w:hAnsi="Times New Roman" w:cs="Times New Roman"/>
          <w:b/>
          <w:sz w:val="24"/>
          <w:szCs w:val="24"/>
        </w:rPr>
      </w:pPr>
    </w:p>
    <w:p w:rsidR="00CD0AE3" w:rsidRDefault="00AF0C01" w:rsidP="003A689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I.T. Chakawata</w:t>
      </w:r>
      <w:r w:rsidR="00CD0AE3">
        <w:rPr>
          <w:rFonts w:ascii="Times New Roman" w:hAnsi="Times New Roman" w:cs="Times New Roman"/>
          <w:sz w:val="24"/>
          <w:szCs w:val="24"/>
        </w:rPr>
        <w:t xml:space="preserve">, for the Appellant </w:t>
      </w:r>
    </w:p>
    <w:p w:rsidR="00CD0AE3" w:rsidRPr="00CD0AE3" w:rsidRDefault="00CD0AE3"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Respondent</w:t>
      </w:r>
      <w:r w:rsidR="00AF0C01">
        <w:rPr>
          <w:rFonts w:ascii="Times New Roman" w:hAnsi="Times New Roman" w:cs="Times New Roman"/>
          <w:sz w:val="24"/>
          <w:szCs w:val="24"/>
        </w:rPr>
        <w:t xml:space="preserve"> in person</w:t>
      </w:r>
    </w:p>
    <w:p w:rsidR="006919BD" w:rsidRPr="00B017EC" w:rsidRDefault="006919BD" w:rsidP="003A689C">
      <w:pPr>
        <w:spacing w:after="0" w:line="240" w:lineRule="auto"/>
        <w:jc w:val="both"/>
        <w:rPr>
          <w:rFonts w:ascii="Times New Roman" w:hAnsi="Times New Roman" w:cs="Times New Roman"/>
          <w:b/>
          <w:sz w:val="24"/>
          <w:szCs w:val="24"/>
        </w:rPr>
      </w:pPr>
    </w:p>
    <w:p w:rsidR="00C26757" w:rsidRPr="00B017EC" w:rsidRDefault="00C26757" w:rsidP="00B017EC">
      <w:pPr>
        <w:spacing w:after="0" w:line="360" w:lineRule="auto"/>
        <w:jc w:val="both"/>
        <w:rPr>
          <w:rFonts w:ascii="Times New Roman" w:hAnsi="Times New Roman" w:cs="Times New Roman"/>
          <w:b/>
          <w:sz w:val="24"/>
          <w:szCs w:val="24"/>
        </w:rPr>
      </w:pPr>
    </w:p>
    <w:p w:rsidR="00CF0C1A" w:rsidRDefault="00AD6211" w:rsidP="00AF0C01">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ab/>
        <w:t xml:space="preserve">MUZENDA J: </w:t>
      </w:r>
      <w:r w:rsidR="00AF0C01">
        <w:rPr>
          <w:rFonts w:ascii="Times New Roman" w:hAnsi="Times New Roman" w:cs="Times New Roman"/>
          <w:sz w:val="24"/>
          <w:szCs w:val="24"/>
        </w:rPr>
        <w:t>T</w:t>
      </w:r>
      <w:r w:rsidR="00E76D40">
        <w:rPr>
          <w:rFonts w:ascii="Times New Roman" w:hAnsi="Times New Roman" w:cs="Times New Roman"/>
          <w:sz w:val="24"/>
          <w:szCs w:val="24"/>
        </w:rPr>
        <w:t>his is an appeal</w:t>
      </w:r>
      <w:r w:rsidR="00385C46">
        <w:rPr>
          <w:rFonts w:ascii="Times New Roman" w:hAnsi="Times New Roman" w:cs="Times New Roman"/>
          <w:sz w:val="24"/>
          <w:szCs w:val="24"/>
        </w:rPr>
        <w:t xml:space="preserve"> against the whole judgment of the Magistrate </w:t>
      </w:r>
      <w:r w:rsidR="00AF0C01">
        <w:rPr>
          <w:rFonts w:ascii="Times New Roman" w:hAnsi="Times New Roman" w:cs="Times New Roman"/>
          <w:sz w:val="24"/>
          <w:szCs w:val="24"/>
        </w:rPr>
        <w:t xml:space="preserve">court </w:t>
      </w:r>
      <w:r w:rsidR="00385C46">
        <w:rPr>
          <w:rFonts w:ascii="Times New Roman" w:hAnsi="Times New Roman" w:cs="Times New Roman"/>
          <w:sz w:val="24"/>
          <w:szCs w:val="24"/>
        </w:rPr>
        <w:t xml:space="preserve">sitting at </w:t>
      </w:r>
      <w:r w:rsidR="00AF0C01">
        <w:rPr>
          <w:rFonts w:ascii="Times New Roman" w:hAnsi="Times New Roman" w:cs="Times New Roman"/>
          <w:sz w:val="24"/>
          <w:szCs w:val="24"/>
        </w:rPr>
        <w:t xml:space="preserve">Mutare where the court granted an order </w:t>
      </w:r>
      <w:r w:rsidR="00AC4FD9">
        <w:rPr>
          <w:rFonts w:ascii="Times New Roman" w:hAnsi="Times New Roman" w:cs="Times New Roman"/>
          <w:sz w:val="24"/>
          <w:szCs w:val="24"/>
        </w:rPr>
        <w:t xml:space="preserve">in </w:t>
      </w:r>
      <w:r w:rsidR="005E621D">
        <w:rPr>
          <w:rFonts w:ascii="Times New Roman" w:hAnsi="Times New Roman" w:cs="Times New Roman"/>
          <w:sz w:val="24"/>
          <w:szCs w:val="24"/>
        </w:rPr>
        <w:t>favour of the respondent for</w:t>
      </w:r>
      <w:r w:rsidR="00AF0C01">
        <w:rPr>
          <w:rFonts w:ascii="Times New Roman" w:hAnsi="Times New Roman" w:cs="Times New Roman"/>
          <w:sz w:val="24"/>
          <w:szCs w:val="24"/>
        </w:rPr>
        <w:t xml:space="preserve"> a peace Order and interdict against the appellant.</w:t>
      </w:r>
    </w:p>
    <w:p w:rsidR="00AF0C01" w:rsidRDefault="00AF0C01" w:rsidP="00AF0C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is opposed.</w:t>
      </w:r>
    </w:p>
    <w:p w:rsidR="00AF0C01" w:rsidRDefault="00AF0C01" w:rsidP="00AF0C01">
      <w:pPr>
        <w:spacing w:after="0" w:line="360" w:lineRule="auto"/>
        <w:jc w:val="both"/>
        <w:rPr>
          <w:rFonts w:ascii="Times New Roman" w:hAnsi="Times New Roman" w:cs="Times New Roman"/>
          <w:sz w:val="24"/>
          <w:szCs w:val="24"/>
        </w:rPr>
      </w:pPr>
    </w:p>
    <w:p w:rsidR="00AF0C01" w:rsidRPr="003E3427" w:rsidRDefault="00AF0C01" w:rsidP="00AF0C01">
      <w:pPr>
        <w:spacing w:after="0" w:line="360" w:lineRule="auto"/>
        <w:jc w:val="both"/>
        <w:rPr>
          <w:rFonts w:ascii="Times New Roman" w:hAnsi="Times New Roman" w:cs="Times New Roman"/>
          <w:sz w:val="24"/>
          <w:szCs w:val="24"/>
          <w:u w:val="single"/>
        </w:rPr>
      </w:pPr>
      <w:r w:rsidRPr="003E3427">
        <w:rPr>
          <w:rFonts w:ascii="Times New Roman" w:hAnsi="Times New Roman" w:cs="Times New Roman"/>
          <w:sz w:val="24"/>
          <w:szCs w:val="24"/>
          <w:u w:val="single"/>
        </w:rPr>
        <w:t xml:space="preserve">Facts </w:t>
      </w:r>
    </w:p>
    <w:p w:rsidR="00AF0C01" w:rsidRDefault="00AF0C01" w:rsidP="00AF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25 March 2020 respondent approached the Magistrate court with an </w:t>
      </w:r>
      <w:r w:rsidRPr="005E621D">
        <w:rPr>
          <w:rFonts w:ascii="Times New Roman" w:hAnsi="Times New Roman" w:cs="Times New Roman"/>
          <w:i/>
          <w:sz w:val="24"/>
          <w:szCs w:val="24"/>
        </w:rPr>
        <w:t>ex parte</w:t>
      </w:r>
      <w:r>
        <w:rPr>
          <w:rFonts w:ascii="Times New Roman" w:hAnsi="Times New Roman" w:cs="Times New Roman"/>
          <w:sz w:val="24"/>
          <w:szCs w:val="24"/>
        </w:rPr>
        <w:t xml:space="preserve"> application for a peace order and </w:t>
      </w:r>
      <w:r w:rsidR="005E621D">
        <w:rPr>
          <w:rFonts w:ascii="Times New Roman" w:hAnsi="Times New Roman" w:cs="Times New Roman"/>
          <w:sz w:val="24"/>
          <w:szCs w:val="24"/>
        </w:rPr>
        <w:t>interdict. I</w:t>
      </w:r>
      <w:r>
        <w:rPr>
          <w:rFonts w:ascii="Times New Roman" w:hAnsi="Times New Roman" w:cs="Times New Roman"/>
          <w:sz w:val="24"/>
          <w:szCs w:val="24"/>
        </w:rPr>
        <w:t>n hi</w:t>
      </w:r>
      <w:r w:rsidR="005E621D">
        <w:rPr>
          <w:rFonts w:ascii="Times New Roman" w:hAnsi="Times New Roman" w:cs="Times New Roman"/>
          <w:sz w:val="24"/>
          <w:szCs w:val="24"/>
        </w:rPr>
        <w:t>s founding affidavit applicant</w:t>
      </w:r>
      <w:r>
        <w:rPr>
          <w:rFonts w:ascii="Times New Roman" w:hAnsi="Times New Roman" w:cs="Times New Roman"/>
          <w:sz w:val="24"/>
          <w:szCs w:val="24"/>
        </w:rPr>
        <w:t xml:space="preserve"> contended that he was authorised to stay at Fairhelme Farm known as Sendekera Farm by the then Resident Minister for Manicaland Mandi</w:t>
      </w:r>
      <w:r w:rsidR="005E621D">
        <w:rPr>
          <w:rFonts w:ascii="Times New Roman" w:hAnsi="Times New Roman" w:cs="Times New Roman"/>
          <w:sz w:val="24"/>
          <w:szCs w:val="24"/>
        </w:rPr>
        <w:t>itawepi</w:t>
      </w:r>
      <w:r>
        <w:rPr>
          <w:rFonts w:ascii="Times New Roman" w:hAnsi="Times New Roman" w:cs="Times New Roman"/>
          <w:sz w:val="24"/>
          <w:szCs w:val="24"/>
        </w:rPr>
        <w:t xml:space="preserve"> Chimene after payin</w:t>
      </w:r>
      <w:r w:rsidR="005E621D">
        <w:rPr>
          <w:rFonts w:ascii="Times New Roman" w:hAnsi="Times New Roman" w:cs="Times New Roman"/>
          <w:sz w:val="24"/>
          <w:szCs w:val="24"/>
        </w:rPr>
        <w:t>g US$25 000. The respondent had been trying to forcefully evict him. In 2017 appellant</w:t>
      </w:r>
      <w:r>
        <w:rPr>
          <w:rFonts w:ascii="Times New Roman" w:hAnsi="Times New Roman" w:cs="Times New Roman"/>
          <w:sz w:val="24"/>
          <w:szCs w:val="24"/>
        </w:rPr>
        <w:t xml:space="preserve"> instituted proceedings under case No. 2225/17 as well as HC 691/18 and HC 164/18 but later on withdrew the summons. The government had indicated that both Mandiitawepi Chimene and a company </w:t>
      </w:r>
      <w:r w:rsidR="005E621D">
        <w:rPr>
          <w:rFonts w:ascii="Times New Roman" w:hAnsi="Times New Roman" w:cs="Times New Roman"/>
          <w:sz w:val="24"/>
          <w:szCs w:val="24"/>
        </w:rPr>
        <w:t xml:space="preserve">formed </w:t>
      </w:r>
      <w:r>
        <w:rPr>
          <w:rFonts w:ascii="Times New Roman" w:hAnsi="Times New Roman" w:cs="Times New Roman"/>
          <w:sz w:val="24"/>
          <w:szCs w:val="24"/>
        </w:rPr>
        <w:t xml:space="preserve">by her had no right over the piece of land. The subject company is called Simple Ventures (Private) Limited. The offer </w:t>
      </w:r>
      <w:r w:rsidR="005E621D">
        <w:rPr>
          <w:rFonts w:ascii="Times New Roman" w:hAnsi="Times New Roman" w:cs="Times New Roman"/>
          <w:sz w:val="24"/>
          <w:szCs w:val="24"/>
        </w:rPr>
        <w:t xml:space="preserve">letter </w:t>
      </w:r>
      <w:r>
        <w:rPr>
          <w:rFonts w:ascii="Times New Roman" w:hAnsi="Times New Roman" w:cs="Times New Roman"/>
          <w:sz w:val="24"/>
          <w:szCs w:val="24"/>
        </w:rPr>
        <w:t>in favour of Mandiitawepi Chimene w</w:t>
      </w:r>
      <w:r w:rsidR="00D5602F">
        <w:rPr>
          <w:rFonts w:ascii="Times New Roman" w:hAnsi="Times New Roman" w:cs="Times New Roman"/>
          <w:sz w:val="24"/>
          <w:szCs w:val="24"/>
        </w:rPr>
        <w:t>a</w:t>
      </w:r>
      <w:r>
        <w:rPr>
          <w:rFonts w:ascii="Times New Roman" w:hAnsi="Times New Roman" w:cs="Times New Roman"/>
          <w:sz w:val="24"/>
          <w:szCs w:val="24"/>
        </w:rPr>
        <w:t>s also withdrawn.</w:t>
      </w:r>
    </w:p>
    <w:p w:rsidR="00AF0C01" w:rsidRDefault="00AF0C01" w:rsidP="00AF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Respondent further averred that he has been in </w:t>
      </w:r>
      <w:r w:rsidR="00D5602F">
        <w:rPr>
          <w:rFonts w:ascii="Times New Roman" w:hAnsi="Times New Roman" w:cs="Times New Roman"/>
          <w:sz w:val="24"/>
          <w:szCs w:val="24"/>
        </w:rPr>
        <w:t>peaceful</w:t>
      </w:r>
      <w:r>
        <w:rPr>
          <w:rFonts w:ascii="Times New Roman" w:hAnsi="Times New Roman" w:cs="Times New Roman"/>
          <w:sz w:val="24"/>
          <w:szCs w:val="24"/>
        </w:rPr>
        <w:t xml:space="preserve"> occupation, but of late appellant had resorted to self-help. The </w:t>
      </w:r>
      <w:r w:rsidR="00D5602F">
        <w:rPr>
          <w:rFonts w:ascii="Times New Roman" w:hAnsi="Times New Roman" w:cs="Times New Roman"/>
          <w:sz w:val="24"/>
          <w:szCs w:val="24"/>
        </w:rPr>
        <w:t>respondent</w:t>
      </w:r>
      <w:r>
        <w:rPr>
          <w:rFonts w:ascii="Times New Roman" w:hAnsi="Times New Roman" w:cs="Times New Roman"/>
          <w:sz w:val="24"/>
          <w:szCs w:val="24"/>
        </w:rPr>
        <w:t xml:space="preserve"> </w:t>
      </w:r>
      <w:r w:rsidR="00A375D8">
        <w:rPr>
          <w:rFonts w:ascii="Times New Roman" w:hAnsi="Times New Roman" w:cs="Times New Roman"/>
          <w:sz w:val="24"/>
          <w:szCs w:val="24"/>
        </w:rPr>
        <w:t xml:space="preserve">in that application </w:t>
      </w:r>
      <w:r w:rsidR="005E621D">
        <w:rPr>
          <w:rFonts w:ascii="Times New Roman" w:hAnsi="Times New Roman" w:cs="Times New Roman"/>
          <w:sz w:val="24"/>
          <w:szCs w:val="24"/>
        </w:rPr>
        <w:t>has forcefully grabbed the piece</w:t>
      </w:r>
      <w:r w:rsidR="00A375D8">
        <w:rPr>
          <w:rFonts w:ascii="Times New Roman" w:hAnsi="Times New Roman" w:cs="Times New Roman"/>
          <w:sz w:val="24"/>
          <w:szCs w:val="24"/>
        </w:rPr>
        <w:t xml:space="preserve"> of land. The respondent is using </w:t>
      </w:r>
      <w:r w:rsidR="00AC4FD9">
        <w:rPr>
          <w:rFonts w:ascii="Times New Roman" w:hAnsi="Times New Roman" w:cs="Times New Roman"/>
          <w:sz w:val="24"/>
          <w:szCs w:val="24"/>
        </w:rPr>
        <w:t>self-help</w:t>
      </w:r>
      <w:r w:rsidR="005E621D">
        <w:rPr>
          <w:rFonts w:ascii="Times New Roman" w:hAnsi="Times New Roman" w:cs="Times New Roman"/>
          <w:sz w:val="24"/>
          <w:szCs w:val="24"/>
        </w:rPr>
        <w:t xml:space="preserve"> </w:t>
      </w:r>
      <w:r w:rsidR="00A375D8">
        <w:rPr>
          <w:rFonts w:ascii="Times New Roman" w:hAnsi="Times New Roman" w:cs="Times New Roman"/>
          <w:sz w:val="24"/>
          <w:szCs w:val="24"/>
        </w:rPr>
        <w:t xml:space="preserve">without observing due process of the law. On 20 March 2019 respondent alleged in his affidavit that appellant and other people demolished all buildings occupied by the respondent and his employees. The appellant was denying the </w:t>
      </w:r>
      <w:r w:rsidR="00A375D8">
        <w:rPr>
          <w:rFonts w:ascii="Times New Roman" w:hAnsi="Times New Roman" w:cs="Times New Roman"/>
          <w:sz w:val="24"/>
          <w:szCs w:val="24"/>
        </w:rPr>
        <w:lastRenderedPageBreak/>
        <w:t>respondent the right to utilise the farm. It is the respondent’s further averments th</w:t>
      </w:r>
      <w:r w:rsidR="00D5602F">
        <w:rPr>
          <w:rFonts w:ascii="Times New Roman" w:hAnsi="Times New Roman" w:cs="Times New Roman"/>
          <w:sz w:val="24"/>
          <w:szCs w:val="24"/>
        </w:rPr>
        <w:t>a</w:t>
      </w:r>
      <w:r w:rsidR="00A375D8">
        <w:rPr>
          <w:rFonts w:ascii="Times New Roman" w:hAnsi="Times New Roman" w:cs="Times New Roman"/>
          <w:sz w:val="24"/>
          <w:szCs w:val="24"/>
        </w:rPr>
        <w:t xml:space="preserve">t he had since reported the problem at </w:t>
      </w:r>
      <w:r w:rsidR="005E621D">
        <w:rPr>
          <w:rFonts w:ascii="Times New Roman" w:hAnsi="Times New Roman" w:cs="Times New Roman"/>
          <w:sz w:val="24"/>
          <w:szCs w:val="24"/>
        </w:rPr>
        <w:t>the farm to the L</w:t>
      </w:r>
      <w:r w:rsidR="00E61E4C">
        <w:rPr>
          <w:rFonts w:ascii="Times New Roman" w:hAnsi="Times New Roman" w:cs="Times New Roman"/>
          <w:sz w:val="24"/>
          <w:szCs w:val="24"/>
        </w:rPr>
        <w:t>and Commission. Hence respondent was praying for an order interdicting the appellant fro</w:t>
      </w:r>
      <w:r w:rsidR="0013231E">
        <w:rPr>
          <w:rFonts w:ascii="Times New Roman" w:hAnsi="Times New Roman" w:cs="Times New Roman"/>
          <w:sz w:val="24"/>
          <w:szCs w:val="24"/>
        </w:rPr>
        <w:t>m</w:t>
      </w:r>
      <w:r w:rsidR="00E61E4C">
        <w:rPr>
          <w:rFonts w:ascii="Times New Roman" w:hAnsi="Times New Roman" w:cs="Times New Roman"/>
          <w:sz w:val="24"/>
          <w:szCs w:val="24"/>
        </w:rPr>
        <w:t xml:space="preserve"> coming to the farm, stop demolishing his structures and keep peace.</w:t>
      </w:r>
    </w:p>
    <w:p w:rsidR="00C66C23" w:rsidRDefault="00E61E4C" w:rsidP="003269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28 July th</w:t>
      </w:r>
      <w:r w:rsidR="0013231E">
        <w:rPr>
          <w:rFonts w:ascii="Times New Roman" w:hAnsi="Times New Roman" w:cs="Times New Roman"/>
          <w:sz w:val="24"/>
          <w:szCs w:val="24"/>
        </w:rPr>
        <w:t>e</w:t>
      </w:r>
      <w:r w:rsidR="005E621D">
        <w:rPr>
          <w:rFonts w:ascii="Times New Roman" w:hAnsi="Times New Roman" w:cs="Times New Roman"/>
          <w:sz w:val="24"/>
          <w:szCs w:val="24"/>
        </w:rPr>
        <w:t xml:space="preserve"> respondent filed her notice of</w:t>
      </w:r>
      <w:r>
        <w:rPr>
          <w:rFonts w:ascii="Times New Roman" w:hAnsi="Times New Roman" w:cs="Times New Roman"/>
          <w:sz w:val="24"/>
          <w:szCs w:val="24"/>
        </w:rPr>
        <w:t xml:space="preserve"> opposition and supporting documents. Appellant disputed payment</w:t>
      </w:r>
      <w:r w:rsidR="005E621D">
        <w:rPr>
          <w:rFonts w:ascii="Times New Roman" w:hAnsi="Times New Roman" w:cs="Times New Roman"/>
          <w:sz w:val="24"/>
          <w:szCs w:val="24"/>
        </w:rPr>
        <w:t xml:space="preserve"> of US25 000 by the respondent. She disputed </w:t>
      </w:r>
      <w:r w:rsidR="0013231E">
        <w:rPr>
          <w:rFonts w:ascii="Times New Roman" w:hAnsi="Times New Roman" w:cs="Times New Roman"/>
          <w:sz w:val="24"/>
          <w:szCs w:val="24"/>
        </w:rPr>
        <w:t xml:space="preserve">the existence of any agreement of sale between respondent and Mandi Chimene. She </w:t>
      </w:r>
      <w:r w:rsidR="002D6A10">
        <w:rPr>
          <w:rFonts w:ascii="Times New Roman" w:hAnsi="Times New Roman" w:cs="Times New Roman"/>
          <w:sz w:val="24"/>
          <w:szCs w:val="24"/>
        </w:rPr>
        <w:t>argued that</w:t>
      </w:r>
      <w:r w:rsidR="0013231E">
        <w:rPr>
          <w:rFonts w:ascii="Times New Roman" w:hAnsi="Times New Roman" w:cs="Times New Roman"/>
          <w:sz w:val="24"/>
          <w:szCs w:val="24"/>
        </w:rPr>
        <w:t xml:space="preserve"> if the withdrawal of the development permit was effected the land reverted to Mandi Chimene, however there was a High Court matter under case No HC 57/19 challenging </w:t>
      </w:r>
      <w:r w:rsidR="00AC4FD9">
        <w:rPr>
          <w:rFonts w:ascii="Times New Roman" w:hAnsi="Times New Roman" w:cs="Times New Roman"/>
          <w:sz w:val="24"/>
          <w:szCs w:val="24"/>
        </w:rPr>
        <w:t>the withdrawal of the permit</w:t>
      </w:r>
      <w:r w:rsidR="005E621D">
        <w:rPr>
          <w:rFonts w:ascii="Times New Roman" w:hAnsi="Times New Roman" w:cs="Times New Roman"/>
          <w:sz w:val="24"/>
          <w:szCs w:val="24"/>
        </w:rPr>
        <w:t>. S</w:t>
      </w:r>
      <w:r w:rsidR="0013231E">
        <w:rPr>
          <w:rFonts w:ascii="Times New Roman" w:hAnsi="Times New Roman" w:cs="Times New Roman"/>
          <w:sz w:val="24"/>
          <w:szCs w:val="24"/>
        </w:rPr>
        <w:t>he added that the respondent has no lawful authority</w:t>
      </w:r>
      <w:r w:rsidR="009E45AD">
        <w:rPr>
          <w:rFonts w:ascii="Times New Roman" w:hAnsi="Times New Roman" w:cs="Times New Roman"/>
          <w:sz w:val="24"/>
          <w:szCs w:val="24"/>
        </w:rPr>
        <w:t xml:space="preserve"> to remain at the property. Respondent has no employees staying at the farm. Appellant further argued that she was abiding and has been using lawful process to remove unlawful occupiers. She pointed out that the tuckshop was demolished</w:t>
      </w:r>
      <w:r w:rsidR="001F7B05">
        <w:rPr>
          <w:rFonts w:ascii="Times New Roman" w:hAnsi="Times New Roman" w:cs="Times New Roman"/>
          <w:sz w:val="24"/>
          <w:szCs w:val="24"/>
        </w:rPr>
        <w:t xml:space="preserve"> </w:t>
      </w:r>
      <w:r w:rsidR="009E45AD">
        <w:rPr>
          <w:rFonts w:ascii="Times New Roman" w:hAnsi="Times New Roman" w:cs="Times New Roman"/>
          <w:sz w:val="24"/>
          <w:szCs w:val="24"/>
        </w:rPr>
        <w:t xml:space="preserve">by police during a clean up operation </w:t>
      </w:r>
      <w:r w:rsidR="003269DE">
        <w:rPr>
          <w:rFonts w:ascii="Times New Roman" w:hAnsi="Times New Roman" w:cs="Times New Roman"/>
          <w:sz w:val="24"/>
          <w:szCs w:val="24"/>
        </w:rPr>
        <w:t>a</w:t>
      </w:r>
      <w:r w:rsidR="009E45AD">
        <w:rPr>
          <w:rFonts w:ascii="Times New Roman" w:hAnsi="Times New Roman" w:cs="Times New Roman"/>
          <w:sz w:val="24"/>
          <w:szCs w:val="24"/>
        </w:rPr>
        <w:t xml:space="preserve">mid </w:t>
      </w:r>
      <w:r w:rsidR="001F7B05">
        <w:rPr>
          <w:rFonts w:ascii="Times New Roman" w:hAnsi="Times New Roman" w:cs="Times New Roman"/>
          <w:sz w:val="24"/>
          <w:szCs w:val="24"/>
        </w:rPr>
        <w:t>c</w:t>
      </w:r>
      <w:r w:rsidR="009E45AD">
        <w:rPr>
          <w:rFonts w:ascii="Times New Roman" w:hAnsi="Times New Roman" w:cs="Times New Roman"/>
          <w:sz w:val="24"/>
          <w:szCs w:val="24"/>
        </w:rPr>
        <w:t>ovid 19 pandemic, according to the appellant respondent had no other structures at the farm. Respondent was not staying at the farm but at the Toronto Training Centre. To the appellant the respondent had failed to lay down the req</w:t>
      </w:r>
      <w:r w:rsidR="001F7B05">
        <w:rPr>
          <w:rFonts w:ascii="Times New Roman" w:hAnsi="Times New Roman" w:cs="Times New Roman"/>
          <w:sz w:val="24"/>
          <w:szCs w:val="24"/>
        </w:rPr>
        <w:t>u</w:t>
      </w:r>
      <w:r w:rsidR="009E45AD">
        <w:rPr>
          <w:rFonts w:ascii="Times New Roman" w:hAnsi="Times New Roman" w:cs="Times New Roman"/>
          <w:sz w:val="24"/>
          <w:szCs w:val="24"/>
        </w:rPr>
        <w:t>irements of an interdict, he</w:t>
      </w:r>
      <w:r w:rsidR="005E621D">
        <w:rPr>
          <w:rFonts w:ascii="Times New Roman" w:hAnsi="Times New Roman" w:cs="Times New Roman"/>
          <w:sz w:val="24"/>
          <w:szCs w:val="24"/>
        </w:rPr>
        <w:t xml:space="preserve"> had not proved infringements on</w:t>
      </w:r>
      <w:r w:rsidR="009E45AD">
        <w:rPr>
          <w:rFonts w:ascii="Times New Roman" w:hAnsi="Times New Roman" w:cs="Times New Roman"/>
          <w:sz w:val="24"/>
          <w:szCs w:val="24"/>
        </w:rPr>
        <w:t xml:space="preserve"> the part of the respondents, he had not shown absence of any other remedy to seek the relief.</w:t>
      </w:r>
    </w:p>
    <w:p w:rsidR="00A37BF6" w:rsidRDefault="003269DE" w:rsidP="003269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3 November 2020 the court </w:t>
      </w:r>
      <w:r w:rsidRPr="001F7B05">
        <w:rPr>
          <w:rFonts w:ascii="Times New Roman" w:hAnsi="Times New Roman" w:cs="Times New Roman"/>
          <w:i/>
          <w:sz w:val="24"/>
          <w:szCs w:val="24"/>
        </w:rPr>
        <w:t>a quo</w:t>
      </w:r>
      <w:r>
        <w:rPr>
          <w:rFonts w:ascii="Times New Roman" w:hAnsi="Times New Roman" w:cs="Times New Roman"/>
          <w:sz w:val="24"/>
          <w:szCs w:val="24"/>
        </w:rPr>
        <w:t xml:space="preserve"> granted the application in favour of the respondent. The trial court made a finding that Mandi Chimene was a fugitive from justice and cannot own a farm. He also concluded that in the absence of Mandi Chimene it was difficult to reject respondent’s evidence that he paid US$25 000 for the piece of land. The court alluded to a matter under case number 691/18 where evidence by the deponent of the affidavit in favour of Simple Ventures (PVT) Ltd indicated that the respondent was erecting structures at the subject piece of land. It would be absurd for appellant now to say respondent had</w:t>
      </w:r>
      <w:r w:rsidR="001F7B05">
        <w:rPr>
          <w:rFonts w:ascii="Times New Roman" w:hAnsi="Times New Roman" w:cs="Times New Roman"/>
          <w:sz w:val="24"/>
          <w:szCs w:val="24"/>
        </w:rPr>
        <w:t xml:space="preserve"> no structures at the farm. The court </w:t>
      </w:r>
      <w:r w:rsidR="001F7B05" w:rsidRPr="001F7B05">
        <w:rPr>
          <w:rFonts w:ascii="Times New Roman" w:hAnsi="Times New Roman" w:cs="Times New Roman"/>
          <w:i/>
          <w:sz w:val="24"/>
          <w:szCs w:val="24"/>
        </w:rPr>
        <w:t>a quo</w:t>
      </w:r>
      <w:r w:rsidR="001F7B05">
        <w:rPr>
          <w:rFonts w:ascii="Times New Roman" w:hAnsi="Times New Roman" w:cs="Times New Roman"/>
          <w:sz w:val="24"/>
          <w:szCs w:val="24"/>
        </w:rPr>
        <w:t xml:space="preserve"> concluded that respondent’s structures were being destroyed and that injury was being inflicted. The court </w:t>
      </w:r>
      <w:r w:rsidR="001F7B05" w:rsidRPr="001F7B05">
        <w:rPr>
          <w:rFonts w:ascii="Times New Roman" w:hAnsi="Times New Roman" w:cs="Times New Roman"/>
          <w:i/>
          <w:sz w:val="24"/>
          <w:szCs w:val="24"/>
        </w:rPr>
        <w:t>a quo</w:t>
      </w:r>
      <w:r w:rsidR="001F7B05">
        <w:rPr>
          <w:rFonts w:ascii="Times New Roman" w:hAnsi="Times New Roman" w:cs="Times New Roman"/>
          <w:sz w:val="24"/>
          <w:szCs w:val="24"/>
        </w:rPr>
        <w:t xml:space="preserve">  also made a finding to the effect that the offer letter in favour </w:t>
      </w:r>
      <w:r w:rsidR="0062146A">
        <w:rPr>
          <w:rFonts w:ascii="Times New Roman" w:hAnsi="Times New Roman" w:cs="Times New Roman"/>
          <w:sz w:val="24"/>
          <w:szCs w:val="24"/>
        </w:rPr>
        <w:t xml:space="preserve">of Mandi Chimene </w:t>
      </w:r>
      <w:r w:rsidR="007A294B">
        <w:rPr>
          <w:rFonts w:ascii="Times New Roman" w:hAnsi="Times New Roman" w:cs="Times New Roman"/>
          <w:sz w:val="24"/>
          <w:szCs w:val="24"/>
        </w:rPr>
        <w:t>was cancelled and concluded that the now appellant had no right to interfere with the respondent</w:t>
      </w:r>
      <w:r w:rsidR="00A37BF6">
        <w:rPr>
          <w:rFonts w:ascii="Times New Roman" w:hAnsi="Times New Roman" w:cs="Times New Roman"/>
          <w:sz w:val="24"/>
          <w:szCs w:val="24"/>
        </w:rPr>
        <w:t>. Only the Minister of Lands has a right to i</w:t>
      </w:r>
      <w:r w:rsidR="005E621D">
        <w:rPr>
          <w:rFonts w:ascii="Times New Roman" w:hAnsi="Times New Roman" w:cs="Times New Roman"/>
          <w:sz w:val="24"/>
          <w:szCs w:val="24"/>
        </w:rPr>
        <w:t>nterfere with the respondent. F</w:t>
      </w:r>
      <w:r w:rsidR="00A37BF6">
        <w:rPr>
          <w:rFonts w:ascii="Times New Roman" w:hAnsi="Times New Roman" w:cs="Times New Roman"/>
          <w:sz w:val="24"/>
          <w:szCs w:val="24"/>
        </w:rPr>
        <w:t xml:space="preserve">inally the court </w:t>
      </w:r>
      <w:r w:rsidR="00A37BF6" w:rsidRPr="003E3427">
        <w:rPr>
          <w:rFonts w:ascii="Times New Roman" w:hAnsi="Times New Roman" w:cs="Times New Roman"/>
          <w:i/>
          <w:sz w:val="24"/>
          <w:szCs w:val="24"/>
        </w:rPr>
        <w:t>a quo</w:t>
      </w:r>
      <w:r w:rsidR="00A37BF6">
        <w:rPr>
          <w:rFonts w:ascii="Times New Roman" w:hAnsi="Times New Roman" w:cs="Times New Roman"/>
          <w:sz w:val="24"/>
          <w:szCs w:val="24"/>
        </w:rPr>
        <w:t xml:space="preserve"> concluded further that the appellant had not shown that she had authority to be on</w:t>
      </w:r>
      <w:r w:rsidR="005E621D">
        <w:rPr>
          <w:rFonts w:ascii="Times New Roman" w:hAnsi="Times New Roman" w:cs="Times New Roman"/>
          <w:sz w:val="24"/>
          <w:szCs w:val="24"/>
        </w:rPr>
        <w:t xml:space="preserve"> the farm, respondent had</w:t>
      </w:r>
      <w:r w:rsidR="00A37BF6">
        <w:rPr>
          <w:rFonts w:ascii="Times New Roman" w:hAnsi="Times New Roman" w:cs="Times New Roman"/>
          <w:sz w:val="24"/>
          <w:szCs w:val="24"/>
        </w:rPr>
        <w:t xml:space="preserve"> no other remedy than to approach the court for relief.</w:t>
      </w:r>
    </w:p>
    <w:p w:rsidR="00A37BF6" w:rsidRDefault="00A37BF6" w:rsidP="003269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3 November 2020 appellant filed a notice of appeal and spelt out her grounds of appeal as follows:</w:t>
      </w:r>
    </w:p>
    <w:p w:rsidR="00A37BF6" w:rsidRPr="005E621D" w:rsidRDefault="00A37BF6" w:rsidP="00A37BF6">
      <w:pPr>
        <w:spacing w:after="0" w:line="360" w:lineRule="auto"/>
        <w:jc w:val="both"/>
        <w:rPr>
          <w:rFonts w:ascii="Times New Roman" w:hAnsi="Times New Roman" w:cs="Times New Roman"/>
          <w:sz w:val="24"/>
          <w:szCs w:val="24"/>
          <w:u w:val="single"/>
        </w:rPr>
      </w:pPr>
      <w:r w:rsidRPr="005E621D">
        <w:rPr>
          <w:rFonts w:ascii="Times New Roman" w:hAnsi="Times New Roman" w:cs="Times New Roman"/>
          <w:sz w:val="24"/>
          <w:szCs w:val="24"/>
          <w:u w:val="single"/>
        </w:rPr>
        <w:lastRenderedPageBreak/>
        <w:t>Grounds of Appeal</w:t>
      </w:r>
    </w:p>
    <w:p w:rsidR="003269DE" w:rsidRDefault="00A37BF6" w:rsidP="00A37BF6">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A37BF6">
        <w:rPr>
          <w:rFonts w:ascii="Times New Roman" w:hAnsi="Times New Roman" w:cs="Times New Roman"/>
          <w:i/>
          <w:sz w:val="24"/>
          <w:szCs w:val="24"/>
        </w:rPr>
        <w:t>a quo</w:t>
      </w:r>
      <w:r>
        <w:rPr>
          <w:rFonts w:ascii="Times New Roman" w:hAnsi="Times New Roman" w:cs="Times New Roman"/>
          <w:sz w:val="24"/>
          <w:szCs w:val="24"/>
        </w:rPr>
        <w:t xml:space="preserve"> erred on a question of law in finding that the respondent had a clear right to occupy the property yet no evidence was adduced to establish such a right.</w:t>
      </w:r>
      <w:r w:rsidR="007A294B" w:rsidRPr="00A37BF6">
        <w:rPr>
          <w:rFonts w:ascii="Times New Roman" w:hAnsi="Times New Roman" w:cs="Times New Roman"/>
          <w:sz w:val="24"/>
          <w:szCs w:val="24"/>
        </w:rPr>
        <w:t xml:space="preserve"> </w:t>
      </w:r>
    </w:p>
    <w:p w:rsidR="00A37BF6" w:rsidRDefault="00A37BF6" w:rsidP="00A37BF6">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A37BF6">
        <w:rPr>
          <w:rFonts w:ascii="Times New Roman" w:hAnsi="Times New Roman" w:cs="Times New Roman"/>
          <w:i/>
          <w:sz w:val="24"/>
          <w:szCs w:val="24"/>
        </w:rPr>
        <w:t>a quo</w:t>
      </w:r>
      <w:r>
        <w:rPr>
          <w:rFonts w:ascii="Times New Roman" w:hAnsi="Times New Roman" w:cs="Times New Roman"/>
          <w:sz w:val="24"/>
          <w:szCs w:val="24"/>
        </w:rPr>
        <w:t xml:space="preserve"> erred on question of law by finding that the respondent </w:t>
      </w:r>
      <w:r w:rsidR="00A14DEE">
        <w:rPr>
          <w:rFonts w:ascii="Times New Roman" w:hAnsi="Times New Roman" w:cs="Times New Roman"/>
          <w:sz w:val="24"/>
          <w:szCs w:val="24"/>
        </w:rPr>
        <w:t>was in possession of the land, yet the respondent does not reside or farm at the land in question.</w:t>
      </w:r>
    </w:p>
    <w:p w:rsidR="00A14DEE" w:rsidRDefault="00A14DEE" w:rsidP="00A37BF6">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827933">
        <w:rPr>
          <w:rFonts w:ascii="Times New Roman" w:hAnsi="Times New Roman" w:cs="Times New Roman"/>
          <w:i/>
          <w:sz w:val="24"/>
          <w:szCs w:val="24"/>
        </w:rPr>
        <w:t>a quo</w:t>
      </w:r>
      <w:r>
        <w:rPr>
          <w:rFonts w:ascii="Times New Roman" w:hAnsi="Times New Roman" w:cs="Times New Roman"/>
          <w:sz w:val="24"/>
          <w:szCs w:val="24"/>
        </w:rPr>
        <w:t xml:space="preserve"> erred on a question of law by finding that Mandi Chimene’s  offer letter in terms of the land redistribution issued by the Ministry of Local Governme</w:t>
      </w:r>
      <w:r w:rsidR="005E621D">
        <w:rPr>
          <w:rFonts w:ascii="Times New Roman" w:hAnsi="Times New Roman" w:cs="Times New Roman"/>
          <w:sz w:val="24"/>
          <w:szCs w:val="24"/>
        </w:rPr>
        <w:t xml:space="preserve">nt Rural and Urban Development was competently withdrawn </w:t>
      </w:r>
      <w:r w:rsidR="00AC4FD9">
        <w:rPr>
          <w:rFonts w:ascii="Times New Roman" w:hAnsi="Times New Roman" w:cs="Times New Roman"/>
          <w:sz w:val="24"/>
          <w:szCs w:val="24"/>
        </w:rPr>
        <w:t>by the M</w:t>
      </w:r>
      <w:r w:rsidR="005E621D">
        <w:rPr>
          <w:rFonts w:ascii="Times New Roman" w:hAnsi="Times New Roman" w:cs="Times New Roman"/>
          <w:sz w:val="24"/>
          <w:szCs w:val="24"/>
        </w:rPr>
        <w:t xml:space="preserve">inistry’s </w:t>
      </w:r>
      <w:r>
        <w:rPr>
          <w:rFonts w:ascii="Times New Roman" w:hAnsi="Times New Roman" w:cs="Times New Roman"/>
          <w:sz w:val="24"/>
          <w:szCs w:val="24"/>
        </w:rPr>
        <w:t>withdrawal of the development permit of land.</w:t>
      </w:r>
    </w:p>
    <w:p w:rsidR="00827933" w:rsidRDefault="00A14DEE" w:rsidP="00A37BF6">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827933">
        <w:rPr>
          <w:rFonts w:ascii="Times New Roman" w:hAnsi="Times New Roman" w:cs="Times New Roman"/>
          <w:i/>
          <w:sz w:val="24"/>
          <w:szCs w:val="24"/>
        </w:rPr>
        <w:t>a quo</w:t>
      </w:r>
      <w:r>
        <w:rPr>
          <w:rFonts w:ascii="Times New Roman" w:hAnsi="Times New Roman" w:cs="Times New Roman"/>
          <w:sz w:val="24"/>
          <w:szCs w:val="24"/>
        </w:rPr>
        <w:t xml:space="preserve"> erred on a question of law by finding that the appellant has no right to interfere with the respondent</w:t>
      </w:r>
      <w:r w:rsidR="00827933">
        <w:rPr>
          <w:rFonts w:ascii="Times New Roman" w:hAnsi="Times New Roman" w:cs="Times New Roman"/>
          <w:sz w:val="24"/>
          <w:szCs w:val="24"/>
        </w:rPr>
        <w:t>,</w:t>
      </w:r>
      <w:r>
        <w:rPr>
          <w:rFonts w:ascii="Times New Roman" w:hAnsi="Times New Roman" w:cs="Times New Roman"/>
          <w:sz w:val="24"/>
          <w:szCs w:val="24"/>
        </w:rPr>
        <w:t xml:space="preserve"> </w:t>
      </w:r>
      <w:r w:rsidR="00827933">
        <w:rPr>
          <w:rFonts w:ascii="Times New Roman" w:hAnsi="Times New Roman" w:cs="Times New Roman"/>
          <w:sz w:val="24"/>
          <w:szCs w:val="24"/>
        </w:rPr>
        <w:t>yet she is an employee of the person with a legal right to possess and control the land.</w:t>
      </w:r>
    </w:p>
    <w:p w:rsidR="00827933" w:rsidRDefault="00827933" w:rsidP="00827933">
      <w:pPr>
        <w:spacing w:after="0" w:line="360" w:lineRule="auto"/>
        <w:ind w:left="60"/>
        <w:jc w:val="both"/>
        <w:rPr>
          <w:rFonts w:ascii="Times New Roman" w:hAnsi="Times New Roman" w:cs="Times New Roman"/>
          <w:sz w:val="24"/>
          <w:szCs w:val="24"/>
        </w:rPr>
      </w:pPr>
    </w:p>
    <w:p w:rsidR="00827933" w:rsidRDefault="00827933" w:rsidP="00827933">
      <w:pPr>
        <w:spacing w:after="0" w:line="360" w:lineRule="auto"/>
        <w:ind w:left="60" w:firstLine="360"/>
        <w:jc w:val="both"/>
        <w:rPr>
          <w:rFonts w:ascii="Times New Roman" w:hAnsi="Times New Roman" w:cs="Times New Roman"/>
          <w:sz w:val="24"/>
          <w:szCs w:val="24"/>
        </w:rPr>
      </w:pPr>
      <w:r w:rsidRPr="003E3427">
        <w:rPr>
          <w:rFonts w:ascii="Times New Roman" w:hAnsi="Times New Roman" w:cs="Times New Roman"/>
          <w:b/>
          <w:sz w:val="24"/>
          <w:szCs w:val="24"/>
        </w:rPr>
        <w:t>WHEREFORE</w:t>
      </w:r>
      <w:r>
        <w:rPr>
          <w:rFonts w:ascii="Times New Roman" w:hAnsi="Times New Roman" w:cs="Times New Roman"/>
          <w:sz w:val="24"/>
          <w:szCs w:val="24"/>
        </w:rPr>
        <w:t xml:space="preserve"> the appellant prays:</w:t>
      </w:r>
    </w:p>
    <w:p w:rsidR="00827933" w:rsidRDefault="00827933" w:rsidP="00827933">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appeal succeeds with costs</w:t>
      </w:r>
    </w:p>
    <w:p w:rsidR="00827933" w:rsidRDefault="00827933" w:rsidP="00827933">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order of the court a quo is set aside.</w:t>
      </w:r>
    </w:p>
    <w:p w:rsidR="00827933" w:rsidRDefault="00827933" w:rsidP="00827933">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shall bear its own costs.</w:t>
      </w:r>
    </w:p>
    <w:p w:rsidR="00827933" w:rsidRDefault="00827933" w:rsidP="00827933">
      <w:pPr>
        <w:spacing w:after="0" w:line="360" w:lineRule="auto"/>
        <w:jc w:val="both"/>
        <w:rPr>
          <w:rFonts w:ascii="Times New Roman" w:hAnsi="Times New Roman" w:cs="Times New Roman"/>
          <w:sz w:val="24"/>
          <w:szCs w:val="24"/>
        </w:rPr>
      </w:pPr>
    </w:p>
    <w:p w:rsidR="00827933" w:rsidRPr="003E3427" w:rsidRDefault="00827933" w:rsidP="00827933">
      <w:pPr>
        <w:spacing w:after="0" w:line="360" w:lineRule="auto"/>
        <w:jc w:val="both"/>
        <w:rPr>
          <w:rFonts w:ascii="Times New Roman" w:hAnsi="Times New Roman" w:cs="Times New Roman"/>
          <w:sz w:val="24"/>
          <w:szCs w:val="24"/>
          <w:u w:val="single"/>
        </w:rPr>
      </w:pPr>
      <w:r w:rsidRPr="003E3427">
        <w:rPr>
          <w:rFonts w:ascii="Times New Roman" w:hAnsi="Times New Roman" w:cs="Times New Roman"/>
          <w:sz w:val="24"/>
          <w:szCs w:val="24"/>
          <w:u w:val="single"/>
        </w:rPr>
        <w:t>Submissions by the Parties</w:t>
      </w:r>
    </w:p>
    <w:p w:rsidR="00A14DEE" w:rsidRDefault="00827933" w:rsidP="008279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00AC4FD9">
        <w:rPr>
          <w:rFonts w:ascii="Times New Roman" w:hAnsi="Times New Roman" w:cs="Times New Roman"/>
          <w:i/>
          <w:sz w:val="24"/>
          <w:szCs w:val="24"/>
        </w:rPr>
        <w:t>Cha</w:t>
      </w:r>
      <w:r w:rsidR="005E621D">
        <w:rPr>
          <w:rFonts w:ascii="Times New Roman" w:hAnsi="Times New Roman" w:cs="Times New Roman"/>
          <w:i/>
          <w:sz w:val="24"/>
          <w:szCs w:val="24"/>
        </w:rPr>
        <w:t>kawat</w:t>
      </w:r>
      <w:r>
        <w:rPr>
          <w:rFonts w:ascii="Times New Roman" w:hAnsi="Times New Roman" w:cs="Times New Roman"/>
          <w:i/>
          <w:sz w:val="24"/>
          <w:szCs w:val="24"/>
        </w:rPr>
        <w:t xml:space="preserve">a </w:t>
      </w:r>
      <w:r>
        <w:rPr>
          <w:rFonts w:ascii="Times New Roman" w:hAnsi="Times New Roman" w:cs="Times New Roman"/>
          <w:sz w:val="24"/>
          <w:szCs w:val="24"/>
        </w:rPr>
        <w:t>for the appellant submitted that the respondent failed to meet all the requirements for an interdict. The respondent failed</w:t>
      </w:r>
      <w:r w:rsidR="00976CCD">
        <w:rPr>
          <w:rFonts w:ascii="Times New Roman" w:hAnsi="Times New Roman" w:cs="Times New Roman"/>
          <w:sz w:val="24"/>
          <w:szCs w:val="24"/>
        </w:rPr>
        <w:t xml:space="preserve"> to </w:t>
      </w:r>
      <w:r w:rsidR="005E621D">
        <w:rPr>
          <w:rFonts w:ascii="Times New Roman" w:hAnsi="Times New Roman" w:cs="Times New Roman"/>
          <w:sz w:val="24"/>
          <w:szCs w:val="24"/>
        </w:rPr>
        <w:t>prove that he paid US$25 000. It was</w:t>
      </w:r>
      <w:r w:rsidR="00976CCD">
        <w:rPr>
          <w:rFonts w:ascii="Times New Roman" w:hAnsi="Times New Roman" w:cs="Times New Roman"/>
          <w:sz w:val="24"/>
          <w:szCs w:val="24"/>
        </w:rPr>
        <w:t xml:space="preserve"> submitted by appellant that respondent had no clear right in the property in dispute. More so considerin</w:t>
      </w:r>
      <w:r w:rsidR="005E621D">
        <w:rPr>
          <w:rFonts w:ascii="Times New Roman" w:hAnsi="Times New Roman" w:cs="Times New Roman"/>
          <w:sz w:val="24"/>
          <w:szCs w:val="24"/>
        </w:rPr>
        <w:t>g that the land is state land, r</w:t>
      </w:r>
      <w:r w:rsidR="00976CCD">
        <w:rPr>
          <w:rFonts w:ascii="Times New Roman" w:hAnsi="Times New Roman" w:cs="Times New Roman"/>
          <w:sz w:val="24"/>
          <w:szCs w:val="24"/>
        </w:rPr>
        <w:t>es</w:t>
      </w:r>
      <w:r w:rsidR="005E621D">
        <w:rPr>
          <w:rFonts w:ascii="Times New Roman" w:hAnsi="Times New Roman" w:cs="Times New Roman"/>
          <w:sz w:val="24"/>
          <w:szCs w:val="24"/>
        </w:rPr>
        <w:t>pondent should at least produce</w:t>
      </w:r>
      <w:r w:rsidR="00976CCD">
        <w:rPr>
          <w:rFonts w:ascii="Times New Roman" w:hAnsi="Times New Roman" w:cs="Times New Roman"/>
          <w:sz w:val="24"/>
          <w:szCs w:val="24"/>
        </w:rPr>
        <w:t xml:space="preserve"> a lease agreement, cession, offer letter or agreement of sale. Appellant’s counsel added further that there was no evidence preferred by the respondent to justify an award of the relief claimed and appellant cited the matter of </w:t>
      </w:r>
      <w:r w:rsidR="00976CCD" w:rsidRPr="00976CCD">
        <w:rPr>
          <w:rFonts w:ascii="Times New Roman" w:hAnsi="Times New Roman" w:cs="Times New Roman"/>
          <w:i/>
          <w:sz w:val="24"/>
          <w:szCs w:val="24"/>
        </w:rPr>
        <w:t>Ruturi</w:t>
      </w:r>
      <w:r w:rsidR="00976CCD">
        <w:rPr>
          <w:rFonts w:ascii="Times New Roman" w:hAnsi="Times New Roman" w:cs="Times New Roman"/>
          <w:sz w:val="24"/>
          <w:szCs w:val="24"/>
        </w:rPr>
        <w:t xml:space="preserve"> v </w:t>
      </w:r>
      <w:r w:rsidR="00976CCD" w:rsidRPr="00976CCD">
        <w:rPr>
          <w:rFonts w:ascii="Times New Roman" w:hAnsi="Times New Roman" w:cs="Times New Roman"/>
          <w:i/>
          <w:sz w:val="24"/>
          <w:szCs w:val="24"/>
        </w:rPr>
        <w:t>Heritage Clothing</w:t>
      </w:r>
      <w:r w:rsidR="00976CCD">
        <w:rPr>
          <w:rFonts w:ascii="Times New Roman" w:hAnsi="Times New Roman" w:cs="Times New Roman"/>
          <w:sz w:val="24"/>
          <w:szCs w:val="24"/>
        </w:rPr>
        <w:t xml:space="preserve"> (PVT) Ltd</w:t>
      </w:r>
      <w:r w:rsidR="00976CCD">
        <w:rPr>
          <w:rStyle w:val="FootnoteReference"/>
          <w:rFonts w:ascii="Times New Roman" w:hAnsi="Times New Roman" w:cs="Times New Roman"/>
          <w:sz w:val="24"/>
          <w:szCs w:val="24"/>
        </w:rPr>
        <w:footnoteReference w:id="1"/>
      </w:r>
      <w:r w:rsidR="00976CCD">
        <w:rPr>
          <w:rFonts w:ascii="Times New Roman" w:hAnsi="Times New Roman" w:cs="Times New Roman"/>
          <w:sz w:val="24"/>
          <w:szCs w:val="24"/>
        </w:rPr>
        <w:t>.</w:t>
      </w:r>
    </w:p>
    <w:p w:rsidR="00976CCD" w:rsidRDefault="00976CCD" w:rsidP="008279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went on to submit that where a Notice of Withdrawal of an offer letter is not followed by a notice of cancellati</w:t>
      </w:r>
      <w:r w:rsidR="005E621D">
        <w:rPr>
          <w:rFonts w:ascii="Times New Roman" w:hAnsi="Times New Roman" w:cs="Times New Roman"/>
          <w:sz w:val="24"/>
          <w:szCs w:val="24"/>
        </w:rPr>
        <w:t>on the offer letter remains exta</w:t>
      </w:r>
      <w:r>
        <w:rPr>
          <w:rFonts w:ascii="Times New Roman" w:hAnsi="Times New Roman" w:cs="Times New Roman"/>
          <w:sz w:val="24"/>
          <w:szCs w:val="24"/>
        </w:rPr>
        <w:t>nt and the rights of the holder of an offer letter remains intact.</w:t>
      </w:r>
    </w:p>
    <w:p w:rsidR="00C2612F" w:rsidRDefault="00976CCD" w:rsidP="008279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w:t>
      </w:r>
      <w:r w:rsidR="000A3656">
        <w:rPr>
          <w:rFonts w:ascii="Times New Roman" w:hAnsi="Times New Roman" w:cs="Times New Roman"/>
          <w:sz w:val="24"/>
          <w:szCs w:val="24"/>
        </w:rPr>
        <w:t>further submitted on behalf</w:t>
      </w:r>
      <w:r>
        <w:rPr>
          <w:rFonts w:ascii="Times New Roman" w:hAnsi="Times New Roman" w:cs="Times New Roman"/>
          <w:sz w:val="24"/>
          <w:szCs w:val="24"/>
        </w:rPr>
        <w:t xml:space="preserve"> of the appellant that respondent </w:t>
      </w:r>
      <w:r w:rsidR="005E621D">
        <w:rPr>
          <w:rFonts w:ascii="Times New Roman" w:hAnsi="Times New Roman" w:cs="Times New Roman"/>
          <w:sz w:val="24"/>
          <w:szCs w:val="24"/>
        </w:rPr>
        <w:t>never had</w:t>
      </w:r>
      <w:r w:rsidR="000A3656">
        <w:rPr>
          <w:rFonts w:ascii="Times New Roman" w:hAnsi="Times New Roman" w:cs="Times New Roman"/>
          <w:sz w:val="24"/>
          <w:szCs w:val="24"/>
        </w:rPr>
        <w:t xml:space="preserve"> possession of the property in dispute and respondent failed to prove the basis of his fear of harm. It was </w:t>
      </w:r>
      <w:r w:rsidR="000A3656">
        <w:rPr>
          <w:rFonts w:ascii="Times New Roman" w:hAnsi="Times New Roman" w:cs="Times New Roman"/>
          <w:sz w:val="24"/>
          <w:szCs w:val="24"/>
        </w:rPr>
        <w:lastRenderedPageBreak/>
        <w:t>argued that respondent failed to prove as to when he moved onto the farm, when he was given authority by Mandi Chimene,and whe</w:t>
      </w:r>
      <w:r w:rsidR="005E621D">
        <w:rPr>
          <w:rFonts w:ascii="Times New Roman" w:hAnsi="Times New Roman" w:cs="Times New Roman"/>
          <w:sz w:val="24"/>
          <w:szCs w:val="24"/>
        </w:rPr>
        <w:t>n he was in effective control</w:t>
      </w:r>
      <w:r w:rsidR="00AC4FD9">
        <w:rPr>
          <w:rFonts w:ascii="Times New Roman" w:hAnsi="Times New Roman" w:cs="Times New Roman"/>
          <w:sz w:val="24"/>
          <w:szCs w:val="24"/>
        </w:rPr>
        <w:t xml:space="preserve"> of the piece of land . In effe</w:t>
      </w:r>
      <w:r w:rsidR="005A56F6">
        <w:rPr>
          <w:rFonts w:ascii="Times New Roman" w:hAnsi="Times New Roman" w:cs="Times New Roman"/>
          <w:sz w:val="24"/>
          <w:szCs w:val="24"/>
        </w:rPr>
        <w:t>ct appellant concluded</w:t>
      </w:r>
      <w:r w:rsidR="000A3656">
        <w:rPr>
          <w:rFonts w:ascii="Times New Roman" w:hAnsi="Times New Roman" w:cs="Times New Roman"/>
          <w:sz w:val="24"/>
          <w:szCs w:val="24"/>
        </w:rPr>
        <w:t xml:space="preserve"> that respondent did not prove his right to be on the farm. On the other hand respondent submitted that he was in lawful occupation and also by virtue of a court order in his favour. Appellant failed to evict the respondent. It is also respondent’s contention that the he managed to lay all the requirements of an interdict and the court </w:t>
      </w:r>
      <w:r w:rsidR="000A3656" w:rsidRPr="000A3656">
        <w:rPr>
          <w:rFonts w:ascii="Times New Roman" w:hAnsi="Times New Roman" w:cs="Times New Roman"/>
          <w:i/>
          <w:sz w:val="24"/>
          <w:szCs w:val="24"/>
        </w:rPr>
        <w:t>a quo</w:t>
      </w:r>
      <w:r w:rsidR="000A3656">
        <w:rPr>
          <w:rFonts w:ascii="Times New Roman" w:hAnsi="Times New Roman" w:cs="Times New Roman"/>
          <w:sz w:val="24"/>
          <w:szCs w:val="24"/>
        </w:rPr>
        <w:t xml:space="preserve"> did not err in granting the </w:t>
      </w:r>
      <w:r w:rsidR="00333921">
        <w:rPr>
          <w:rFonts w:ascii="Times New Roman" w:hAnsi="Times New Roman" w:cs="Times New Roman"/>
          <w:sz w:val="24"/>
          <w:szCs w:val="24"/>
        </w:rPr>
        <w:t>application</w:t>
      </w:r>
      <w:r w:rsidR="000A3656">
        <w:rPr>
          <w:rStyle w:val="FootnoteReference"/>
          <w:rFonts w:ascii="Times New Roman" w:hAnsi="Times New Roman" w:cs="Times New Roman"/>
          <w:sz w:val="24"/>
          <w:szCs w:val="24"/>
        </w:rPr>
        <w:footnoteReference w:id="2"/>
      </w:r>
      <w:r w:rsidR="00333921">
        <w:rPr>
          <w:rFonts w:ascii="Times New Roman" w:hAnsi="Times New Roman" w:cs="Times New Roman"/>
          <w:sz w:val="24"/>
          <w:szCs w:val="24"/>
        </w:rPr>
        <w:t>. The appellant had resorted to self-help and the respondent approached the court for relief. He prayed for the dismissal of the appeal with costs on a higher scale.</w:t>
      </w:r>
    </w:p>
    <w:p w:rsidR="00BC7002" w:rsidRDefault="00333921" w:rsidP="00C261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four grounds of appeal dealing with a number of issues stretching from ownership, possession, right of occupation, withdrawal of offer letters and cancellation</w:t>
      </w:r>
      <w:r w:rsidR="005A56F6">
        <w:rPr>
          <w:rFonts w:ascii="Times New Roman" w:hAnsi="Times New Roman" w:cs="Times New Roman"/>
          <w:sz w:val="24"/>
          <w:szCs w:val="24"/>
        </w:rPr>
        <w:t xml:space="preserve"> to the issue of interference. S</w:t>
      </w:r>
      <w:r>
        <w:rPr>
          <w:rFonts w:ascii="Times New Roman" w:hAnsi="Times New Roman" w:cs="Times New Roman"/>
          <w:sz w:val="24"/>
          <w:szCs w:val="24"/>
        </w:rPr>
        <w:t xml:space="preserve">ome of the issues raised by the appellant are peripheral to the pivotal issue to decide. Although those issues raised could assist a court in a way in its attempt to resolve the matter, the central issue for determination is whether the court </w:t>
      </w:r>
      <w:r w:rsidRPr="00333921">
        <w:rPr>
          <w:rFonts w:ascii="Times New Roman" w:hAnsi="Times New Roman" w:cs="Times New Roman"/>
          <w:i/>
          <w:sz w:val="24"/>
          <w:szCs w:val="24"/>
        </w:rPr>
        <w:t>a quo</w:t>
      </w:r>
      <w:r>
        <w:rPr>
          <w:rFonts w:ascii="Times New Roman" w:hAnsi="Times New Roman" w:cs="Times New Roman"/>
          <w:sz w:val="24"/>
          <w:szCs w:val="24"/>
        </w:rPr>
        <w:t xml:space="preserve"> </w:t>
      </w:r>
      <w:r w:rsidR="005A56F6">
        <w:rPr>
          <w:rFonts w:ascii="Times New Roman" w:hAnsi="Times New Roman" w:cs="Times New Roman"/>
          <w:sz w:val="24"/>
          <w:szCs w:val="24"/>
        </w:rPr>
        <w:t>erred in granting an order prayed</w:t>
      </w:r>
      <w:r>
        <w:rPr>
          <w:rFonts w:ascii="Times New Roman" w:hAnsi="Times New Roman" w:cs="Times New Roman"/>
          <w:sz w:val="24"/>
          <w:szCs w:val="24"/>
        </w:rPr>
        <w:t xml:space="preserve"> for </w:t>
      </w:r>
      <w:r w:rsidR="005A56F6">
        <w:rPr>
          <w:rFonts w:ascii="Times New Roman" w:hAnsi="Times New Roman" w:cs="Times New Roman"/>
          <w:sz w:val="24"/>
          <w:szCs w:val="24"/>
        </w:rPr>
        <w:t xml:space="preserve">by </w:t>
      </w:r>
      <w:r>
        <w:rPr>
          <w:rFonts w:ascii="Times New Roman" w:hAnsi="Times New Roman" w:cs="Times New Roman"/>
          <w:sz w:val="24"/>
          <w:szCs w:val="24"/>
        </w:rPr>
        <w:t>the respondent</w:t>
      </w:r>
      <w:r w:rsidR="005A56F6">
        <w:rPr>
          <w:rFonts w:ascii="Times New Roman" w:hAnsi="Times New Roman" w:cs="Times New Roman"/>
          <w:sz w:val="24"/>
          <w:szCs w:val="24"/>
        </w:rPr>
        <w:t>. In other words whether</w:t>
      </w:r>
      <w:r>
        <w:rPr>
          <w:rFonts w:ascii="Times New Roman" w:hAnsi="Times New Roman" w:cs="Times New Roman"/>
          <w:sz w:val="24"/>
          <w:szCs w:val="24"/>
        </w:rPr>
        <w:t xml:space="preserve"> the respondent had on a balance of  probabi</w:t>
      </w:r>
      <w:r w:rsidR="00BC7002">
        <w:rPr>
          <w:rFonts w:ascii="Times New Roman" w:hAnsi="Times New Roman" w:cs="Times New Roman"/>
          <w:sz w:val="24"/>
          <w:szCs w:val="24"/>
        </w:rPr>
        <w:t>lities met the requirements of an interdict. An application for an interdict and p</w:t>
      </w:r>
      <w:r w:rsidR="005A56F6">
        <w:rPr>
          <w:rFonts w:ascii="Times New Roman" w:hAnsi="Times New Roman" w:cs="Times New Roman"/>
          <w:sz w:val="24"/>
          <w:szCs w:val="24"/>
        </w:rPr>
        <w:t>e</w:t>
      </w:r>
      <w:r w:rsidR="00BC7002">
        <w:rPr>
          <w:rFonts w:ascii="Times New Roman" w:hAnsi="Times New Roman" w:cs="Times New Roman"/>
          <w:sz w:val="24"/>
          <w:szCs w:val="24"/>
        </w:rPr>
        <w:t xml:space="preserve">ace order by an applicant must clearly outline the facts that establish grounds that must satisfy the court that such an application deserves the relief being sought. Did </w:t>
      </w:r>
      <w:r w:rsidR="005A56F6">
        <w:rPr>
          <w:rFonts w:ascii="Times New Roman" w:hAnsi="Times New Roman" w:cs="Times New Roman"/>
          <w:sz w:val="24"/>
          <w:szCs w:val="24"/>
        </w:rPr>
        <w:t>t</w:t>
      </w:r>
      <w:r w:rsidR="00BC7002">
        <w:rPr>
          <w:rFonts w:ascii="Times New Roman" w:hAnsi="Times New Roman" w:cs="Times New Roman"/>
          <w:sz w:val="24"/>
          <w:szCs w:val="24"/>
        </w:rPr>
        <w:t xml:space="preserve">he court </w:t>
      </w:r>
      <w:r w:rsidR="00BC7002" w:rsidRPr="00BC7002">
        <w:rPr>
          <w:rFonts w:ascii="Times New Roman" w:hAnsi="Times New Roman" w:cs="Times New Roman"/>
          <w:i/>
          <w:sz w:val="24"/>
          <w:szCs w:val="24"/>
        </w:rPr>
        <w:t>a quo</w:t>
      </w:r>
      <w:r w:rsidR="00BC7002">
        <w:rPr>
          <w:rFonts w:ascii="Times New Roman" w:hAnsi="Times New Roman" w:cs="Times New Roman"/>
          <w:sz w:val="24"/>
          <w:szCs w:val="24"/>
        </w:rPr>
        <w:t xml:space="preserve"> err or misdirect itself then in granting the order?</w:t>
      </w:r>
    </w:p>
    <w:p w:rsidR="00BC7002" w:rsidRDefault="00BC7002" w:rsidP="00827933">
      <w:pPr>
        <w:spacing w:after="0" w:line="360" w:lineRule="auto"/>
        <w:jc w:val="both"/>
        <w:rPr>
          <w:rFonts w:ascii="Times New Roman" w:hAnsi="Times New Roman" w:cs="Times New Roman"/>
          <w:sz w:val="24"/>
          <w:szCs w:val="24"/>
        </w:rPr>
      </w:pPr>
    </w:p>
    <w:p w:rsidR="00BC7002" w:rsidRDefault="00BC7002" w:rsidP="008279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Law </w:t>
      </w:r>
    </w:p>
    <w:p w:rsidR="00BC7002" w:rsidRDefault="00BC7002" w:rsidP="008279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The grant of an interdict or spoliation order requires the establi</w:t>
      </w:r>
      <w:r w:rsidR="005A56F6">
        <w:rPr>
          <w:rFonts w:ascii="Times New Roman" w:hAnsi="Times New Roman" w:cs="Times New Roman"/>
          <w:sz w:val="24"/>
          <w:szCs w:val="24"/>
        </w:rPr>
        <w:t xml:space="preserve">shment of a </w:t>
      </w:r>
      <w:r w:rsidR="00AC4FD9">
        <w:rPr>
          <w:rFonts w:ascii="Times New Roman" w:hAnsi="Times New Roman" w:cs="Times New Roman"/>
          <w:sz w:val="24"/>
          <w:szCs w:val="24"/>
        </w:rPr>
        <w:t>clear right entitling</w:t>
      </w:r>
      <w:r>
        <w:rPr>
          <w:rFonts w:ascii="Times New Roman" w:hAnsi="Times New Roman" w:cs="Times New Roman"/>
          <w:sz w:val="24"/>
          <w:szCs w:val="24"/>
        </w:rPr>
        <w:t xml:space="preserve"> the applicant to the interdictory </w:t>
      </w:r>
      <w:r w:rsidR="005A56F6">
        <w:rPr>
          <w:rFonts w:ascii="Times New Roman" w:hAnsi="Times New Roman" w:cs="Times New Roman"/>
          <w:sz w:val="24"/>
          <w:szCs w:val="24"/>
        </w:rPr>
        <w:t>and spoliation relief granted by</w:t>
      </w:r>
      <w:r>
        <w:rPr>
          <w:rFonts w:ascii="Times New Roman" w:hAnsi="Times New Roman" w:cs="Times New Roman"/>
          <w:sz w:val="24"/>
          <w:szCs w:val="24"/>
        </w:rPr>
        <w:t xml:space="preserve"> the court.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p>
    <w:p w:rsidR="00511504" w:rsidRDefault="00BC7002" w:rsidP="008279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matter of </w:t>
      </w:r>
      <w:r w:rsidRPr="00511504">
        <w:rPr>
          <w:rFonts w:ascii="Times New Roman" w:hAnsi="Times New Roman" w:cs="Times New Roman"/>
          <w:i/>
          <w:sz w:val="24"/>
          <w:szCs w:val="24"/>
        </w:rPr>
        <w:t>Genzel Mining (Private) Limited</w:t>
      </w:r>
      <w:r>
        <w:rPr>
          <w:rFonts w:ascii="Times New Roman" w:hAnsi="Times New Roman" w:cs="Times New Roman"/>
          <w:sz w:val="24"/>
          <w:szCs w:val="24"/>
        </w:rPr>
        <w:t xml:space="preserve"> v </w:t>
      </w:r>
      <w:r w:rsidRPr="00511504">
        <w:rPr>
          <w:rFonts w:ascii="Times New Roman" w:hAnsi="Times New Roman" w:cs="Times New Roman"/>
          <w:i/>
          <w:sz w:val="24"/>
          <w:szCs w:val="24"/>
        </w:rPr>
        <w:t>Mr J Mpofu and 2 others</w:t>
      </w:r>
      <w:r w:rsidR="00511504">
        <w:rPr>
          <w:rStyle w:val="FootnoteReference"/>
          <w:rFonts w:ascii="Times New Roman" w:hAnsi="Times New Roman" w:cs="Times New Roman"/>
          <w:i/>
          <w:sz w:val="24"/>
          <w:szCs w:val="24"/>
        </w:rPr>
        <w:footnoteReference w:id="4"/>
      </w:r>
      <w:r w:rsidR="00333921">
        <w:rPr>
          <w:rFonts w:ascii="Times New Roman" w:hAnsi="Times New Roman" w:cs="Times New Roman"/>
          <w:sz w:val="24"/>
          <w:szCs w:val="24"/>
        </w:rPr>
        <w:t xml:space="preserve"> </w:t>
      </w:r>
      <w:r w:rsidR="00511504">
        <w:rPr>
          <w:rFonts w:ascii="Times New Roman" w:hAnsi="Times New Roman" w:cs="Times New Roman"/>
          <w:sz w:val="24"/>
          <w:szCs w:val="24"/>
        </w:rPr>
        <w:t>this court reiterated the pre-requisites of an i</w:t>
      </w:r>
      <w:r w:rsidR="005A56F6">
        <w:rPr>
          <w:rFonts w:ascii="Times New Roman" w:hAnsi="Times New Roman" w:cs="Times New Roman"/>
          <w:sz w:val="24"/>
          <w:szCs w:val="24"/>
        </w:rPr>
        <w:t>nterdict which are now worldly</w:t>
      </w:r>
      <w:r w:rsidR="00511504">
        <w:rPr>
          <w:rFonts w:ascii="Times New Roman" w:hAnsi="Times New Roman" w:cs="Times New Roman"/>
          <w:sz w:val="24"/>
          <w:szCs w:val="24"/>
        </w:rPr>
        <w:t xml:space="preserve"> accepted by all courts.</w:t>
      </w:r>
    </w:p>
    <w:p w:rsidR="00511504" w:rsidRDefault="00511504" w:rsidP="00511504">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494649">
        <w:rPr>
          <w:rFonts w:ascii="Times New Roman" w:hAnsi="Times New Roman" w:cs="Times New Roman"/>
          <w:i/>
          <w:sz w:val="24"/>
          <w:szCs w:val="24"/>
        </w:rPr>
        <w:t>prima facie</w:t>
      </w:r>
      <w:r>
        <w:rPr>
          <w:rFonts w:ascii="Times New Roman" w:hAnsi="Times New Roman" w:cs="Times New Roman"/>
          <w:sz w:val="24"/>
          <w:szCs w:val="24"/>
        </w:rPr>
        <w:t xml:space="preserve"> right though open to doubt</w:t>
      </w:r>
    </w:p>
    <w:p w:rsidR="00511504" w:rsidRDefault="00511504" w:rsidP="00511504">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well-grounded apprehension of irreparable harm if the interim relief is not granted and an ultimate relief is eventually granted.</w:t>
      </w:r>
      <w:r w:rsidR="00333921" w:rsidRPr="00511504">
        <w:rPr>
          <w:rFonts w:ascii="Times New Roman" w:hAnsi="Times New Roman" w:cs="Times New Roman"/>
          <w:sz w:val="24"/>
          <w:szCs w:val="24"/>
        </w:rPr>
        <w:t xml:space="preserve"> </w:t>
      </w:r>
    </w:p>
    <w:p w:rsidR="00511504" w:rsidRDefault="00511504" w:rsidP="00511504">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balance of convenience in favour of the granting of the interim relief, and </w:t>
      </w:r>
    </w:p>
    <w:p w:rsidR="00511504" w:rsidRDefault="00511504" w:rsidP="00511504">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absence of any other satisfactory remedy.</w:t>
      </w:r>
      <w:r w:rsidR="00494649">
        <w:rPr>
          <w:rStyle w:val="FootnoteReference"/>
          <w:rFonts w:ascii="Times New Roman" w:hAnsi="Times New Roman" w:cs="Times New Roman"/>
          <w:sz w:val="24"/>
          <w:szCs w:val="24"/>
        </w:rPr>
        <w:footnoteReference w:id="5"/>
      </w:r>
    </w:p>
    <w:p w:rsidR="00511504" w:rsidRDefault="00511504" w:rsidP="00511504">
      <w:pPr>
        <w:spacing w:after="0" w:line="360" w:lineRule="auto"/>
        <w:ind w:left="360"/>
        <w:jc w:val="both"/>
        <w:rPr>
          <w:rFonts w:ascii="Times New Roman" w:hAnsi="Times New Roman" w:cs="Times New Roman"/>
          <w:sz w:val="24"/>
          <w:szCs w:val="24"/>
        </w:rPr>
      </w:pPr>
    </w:p>
    <w:p w:rsidR="00494649" w:rsidRDefault="00511504" w:rsidP="004946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effects of a temporary interdict is to maintain the </w:t>
      </w:r>
      <w:r w:rsidRPr="00494649">
        <w:rPr>
          <w:rFonts w:ascii="Times New Roman" w:hAnsi="Times New Roman" w:cs="Times New Roman"/>
          <w:i/>
          <w:sz w:val="24"/>
          <w:szCs w:val="24"/>
        </w:rPr>
        <w:t>status quo</w:t>
      </w:r>
      <w:r>
        <w:rPr>
          <w:rFonts w:ascii="Times New Roman" w:hAnsi="Times New Roman" w:cs="Times New Roman"/>
          <w:sz w:val="24"/>
          <w:szCs w:val="24"/>
        </w:rPr>
        <w:t xml:space="preserve"> </w:t>
      </w:r>
      <w:r w:rsidRPr="00494649">
        <w:rPr>
          <w:rFonts w:ascii="Times New Roman" w:hAnsi="Times New Roman" w:cs="Times New Roman"/>
          <w:i/>
          <w:sz w:val="24"/>
          <w:szCs w:val="24"/>
        </w:rPr>
        <w:t>ante</w:t>
      </w:r>
      <w:r>
        <w:rPr>
          <w:rFonts w:ascii="Times New Roman" w:hAnsi="Times New Roman" w:cs="Times New Roman"/>
          <w:sz w:val="24"/>
          <w:szCs w:val="24"/>
        </w:rPr>
        <w:t xml:space="preserve"> by freezing the position until the court </w:t>
      </w:r>
      <w:r w:rsidR="00494649">
        <w:rPr>
          <w:rFonts w:ascii="Times New Roman" w:hAnsi="Times New Roman" w:cs="Times New Roman"/>
          <w:sz w:val="24"/>
          <w:szCs w:val="24"/>
        </w:rPr>
        <w:t>decides</w:t>
      </w:r>
      <w:r>
        <w:rPr>
          <w:rFonts w:ascii="Times New Roman" w:hAnsi="Times New Roman" w:cs="Times New Roman"/>
          <w:sz w:val="24"/>
          <w:szCs w:val="24"/>
        </w:rPr>
        <w:t xml:space="preserve"> where the right lies. Such right mu</w:t>
      </w:r>
      <w:r w:rsidR="00C2612F">
        <w:rPr>
          <w:rFonts w:ascii="Times New Roman" w:hAnsi="Times New Roman" w:cs="Times New Roman"/>
          <w:sz w:val="24"/>
          <w:szCs w:val="24"/>
        </w:rPr>
        <w:t>st be sufficient to sustain a cau</w:t>
      </w:r>
      <w:r>
        <w:rPr>
          <w:rFonts w:ascii="Times New Roman" w:hAnsi="Times New Roman" w:cs="Times New Roman"/>
          <w:sz w:val="24"/>
          <w:szCs w:val="24"/>
        </w:rPr>
        <w:t xml:space="preserve">se of action. Such a right may arise out of contract or a delict. It maybe founded in the common </w:t>
      </w:r>
      <w:r w:rsidR="005A56F6">
        <w:rPr>
          <w:rFonts w:ascii="Times New Roman" w:hAnsi="Times New Roman" w:cs="Times New Roman"/>
          <w:sz w:val="24"/>
          <w:szCs w:val="24"/>
        </w:rPr>
        <w:t xml:space="preserve">law or on some or other statute, </w:t>
      </w:r>
      <w:r>
        <w:rPr>
          <w:rFonts w:ascii="Times New Roman" w:hAnsi="Times New Roman" w:cs="Times New Roman"/>
          <w:sz w:val="24"/>
          <w:szCs w:val="24"/>
        </w:rPr>
        <w:t>it may be a real right or a personal right.</w:t>
      </w:r>
      <w:r>
        <w:rPr>
          <w:rStyle w:val="FootnoteReference"/>
          <w:rFonts w:ascii="Times New Roman" w:hAnsi="Times New Roman" w:cs="Times New Roman"/>
          <w:sz w:val="24"/>
          <w:szCs w:val="24"/>
        </w:rPr>
        <w:footnoteReference w:id="6"/>
      </w:r>
      <w:r w:rsidR="00494649">
        <w:rPr>
          <w:rFonts w:ascii="Times New Roman" w:hAnsi="Times New Roman" w:cs="Times New Roman"/>
          <w:sz w:val="24"/>
          <w:szCs w:val="24"/>
        </w:rPr>
        <w:t xml:space="preserve"> </w:t>
      </w:r>
    </w:p>
    <w:p w:rsidR="00494649" w:rsidRDefault="00494649" w:rsidP="004946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also trite that an application for an interlocutory interdict must show a right which is being infringed or which he/she apprehends will be infringed. Failure to do so, the application must fa</w:t>
      </w:r>
      <w:r w:rsidR="005A56F6">
        <w:rPr>
          <w:rFonts w:ascii="Times New Roman" w:hAnsi="Times New Roman" w:cs="Times New Roman"/>
          <w:sz w:val="24"/>
          <w:szCs w:val="24"/>
        </w:rPr>
        <w:t>il. Further the right set up has to</w:t>
      </w:r>
      <w:r>
        <w:rPr>
          <w:rFonts w:ascii="Times New Roman" w:hAnsi="Times New Roman" w:cs="Times New Roman"/>
          <w:sz w:val="24"/>
          <w:szCs w:val="24"/>
        </w:rPr>
        <w:t xml:space="preserve"> be shown by a balance of probabilities. It is enough if it is </w:t>
      </w:r>
      <w:r w:rsidRPr="003E3427">
        <w:rPr>
          <w:rFonts w:ascii="Times New Roman" w:hAnsi="Times New Roman" w:cs="Times New Roman"/>
          <w:i/>
          <w:sz w:val="24"/>
          <w:szCs w:val="24"/>
        </w:rPr>
        <w:t>prima facie</w:t>
      </w:r>
      <w:r w:rsidR="005A56F6">
        <w:rPr>
          <w:rFonts w:ascii="Times New Roman" w:hAnsi="Times New Roman" w:cs="Times New Roman"/>
          <w:sz w:val="24"/>
          <w:szCs w:val="24"/>
        </w:rPr>
        <w:t xml:space="preserve"> established th</w:t>
      </w:r>
      <w:r>
        <w:rPr>
          <w:rFonts w:ascii="Times New Roman" w:hAnsi="Times New Roman" w:cs="Times New Roman"/>
          <w:sz w:val="24"/>
          <w:szCs w:val="24"/>
        </w:rPr>
        <w:t xml:space="preserve">ough open </w:t>
      </w:r>
      <w:r w:rsidR="005A56F6">
        <w:rPr>
          <w:rFonts w:ascii="Times New Roman" w:hAnsi="Times New Roman" w:cs="Times New Roman"/>
          <w:sz w:val="24"/>
          <w:szCs w:val="24"/>
        </w:rPr>
        <w:t xml:space="preserve">to </w:t>
      </w:r>
      <w:r>
        <w:rPr>
          <w:rFonts w:ascii="Times New Roman" w:hAnsi="Times New Roman" w:cs="Times New Roman"/>
          <w:sz w:val="24"/>
          <w:szCs w:val="24"/>
        </w:rPr>
        <w:t>doubt</w:t>
      </w:r>
      <w:r>
        <w:rPr>
          <w:rStyle w:val="FootnoteReference"/>
          <w:rFonts w:ascii="Times New Roman" w:hAnsi="Times New Roman" w:cs="Times New Roman"/>
          <w:sz w:val="24"/>
          <w:szCs w:val="24"/>
        </w:rPr>
        <w:footnoteReference w:id="7"/>
      </w:r>
    </w:p>
    <w:p w:rsidR="00494649" w:rsidRDefault="00494649" w:rsidP="004946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has to decide in its discretion, whether or not to grant a temporary interdict. In its exercise of this discretion it must be satisfied that the applicant has proved an actual or </w:t>
      </w:r>
      <w:r w:rsidR="003E3427">
        <w:rPr>
          <w:rFonts w:ascii="Times New Roman" w:hAnsi="Times New Roman" w:cs="Times New Roman"/>
          <w:sz w:val="24"/>
          <w:szCs w:val="24"/>
        </w:rPr>
        <w:t>well-grounded</w:t>
      </w:r>
      <w:r>
        <w:rPr>
          <w:rFonts w:ascii="Times New Roman" w:hAnsi="Times New Roman" w:cs="Times New Roman"/>
          <w:sz w:val="24"/>
          <w:szCs w:val="24"/>
        </w:rPr>
        <w:t xml:space="preserve"> apprehension of irreparable loss if no interdict is granted and it must have regard to the balance of </w:t>
      </w:r>
      <w:r w:rsidR="003E3427">
        <w:rPr>
          <w:rFonts w:ascii="Times New Roman" w:hAnsi="Times New Roman" w:cs="Times New Roman"/>
          <w:sz w:val="24"/>
          <w:szCs w:val="24"/>
        </w:rPr>
        <w:t>convenience</w:t>
      </w:r>
      <w:r>
        <w:rPr>
          <w:rFonts w:ascii="Times New Roman" w:hAnsi="Times New Roman" w:cs="Times New Roman"/>
          <w:sz w:val="24"/>
          <w:szCs w:val="24"/>
        </w:rPr>
        <w:t>. The balance of convenience however becomes relevant only when a prima facie ground for an interdict has been established. This is the thresh-hold that it must be crossed and failure so to</w:t>
      </w:r>
      <w:r w:rsidR="003E3427">
        <w:rPr>
          <w:rFonts w:ascii="Times New Roman" w:hAnsi="Times New Roman" w:cs="Times New Roman"/>
          <w:sz w:val="24"/>
          <w:szCs w:val="24"/>
        </w:rPr>
        <w:t xml:space="preserve"> do means that an application can</w:t>
      </w:r>
      <w:r>
        <w:rPr>
          <w:rFonts w:ascii="Times New Roman" w:hAnsi="Times New Roman" w:cs="Times New Roman"/>
          <w:sz w:val="24"/>
          <w:szCs w:val="24"/>
        </w:rPr>
        <w:t>not succeed. The</w:t>
      </w:r>
      <w:r w:rsidR="003E3427">
        <w:rPr>
          <w:rFonts w:ascii="Times New Roman" w:hAnsi="Times New Roman" w:cs="Times New Roman"/>
          <w:sz w:val="24"/>
          <w:szCs w:val="24"/>
        </w:rPr>
        <w:t xml:space="preserve"> onus to</w:t>
      </w:r>
      <w:r>
        <w:rPr>
          <w:rFonts w:ascii="Times New Roman" w:hAnsi="Times New Roman" w:cs="Times New Roman"/>
          <w:sz w:val="24"/>
          <w:szCs w:val="24"/>
        </w:rPr>
        <w:t xml:space="preserve"> establish a </w:t>
      </w:r>
      <w:r w:rsidRPr="003E3427">
        <w:rPr>
          <w:rFonts w:ascii="Times New Roman" w:hAnsi="Times New Roman" w:cs="Times New Roman"/>
          <w:i/>
          <w:sz w:val="24"/>
          <w:szCs w:val="24"/>
        </w:rPr>
        <w:t>prima facie</w:t>
      </w:r>
      <w:r>
        <w:rPr>
          <w:rFonts w:ascii="Times New Roman" w:hAnsi="Times New Roman" w:cs="Times New Roman"/>
          <w:sz w:val="24"/>
          <w:szCs w:val="24"/>
        </w:rPr>
        <w:t xml:space="preserve"> right rests on the applicant.</w:t>
      </w:r>
    </w:p>
    <w:p w:rsidR="003E3427" w:rsidRDefault="00494649" w:rsidP="004946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has been said that the essence of the balance of convenience is to try to assess which of the parties will be least seriously </w:t>
      </w:r>
      <w:r w:rsidR="005A56F6">
        <w:rPr>
          <w:rFonts w:ascii="Times New Roman" w:hAnsi="Times New Roman" w:cs="Times New Roman"/>
          <w:sz w:val="24"/>
          <w:szCs w:val="24"/>
        </w:rPr>
        <w:t>inconvenienced</w:t>
      </w:r>
      <w:r>
        <w:rPr>
          <w:rFonts w:ascii="Times New Roman" w:hAnsi="Times New Roman" w:cs="Times New Roman"/>
          <w:sz w:val="24"/>
          <w:szCs w:val="24"/>
        </w:rPr>
        <w:t xml:space="preserve"> by being compelled to endure what may prove to be a te</w:t>
      </w:r>
      <w:r w:rsidR="005A56F6">
        <w:rPr>
          <w:rFonts w:ascii="Times New Roman" w:hAnsi="Times New Roman" w:cs="Times New Roman"/>
          <w:sz w:val="24"/>
          <w:szCs w:val="24"/>
        </w:rPr>
        <w:t>mporary injustice until the right</w:t>
      </w:r>
      <w:r>
        <w:rPr>
          <w:rFonts w:ascii="Times New Roman" w:hAnsi="Times New Roman" w:cs="Times New Roman"/>
          <w:sz w:val="24"/>
          <w:szCs w:val="24"/>
        </w:rPr>
        <w:t xml:space="preserve"> answer can be found at the end of trial. The process involves weighing the respective risks that injustice may result from deciding one way </w:t>
      </w:r>
      <w:r w:rsidR="003E3427">
        <w:rPr>
          <w:rFonts w:ascii="Times New Roman" w:hAnsi="Times New Roman" w:cs="Times New Roman"/>
          <w:sz w:val="24"/>
          <w:szCs w:val="24"/>
        </w:rPr>
        <w:t>rather than the other at a stage when the evidence is complete.</w:t>
      </w:r>
    </w:p>
    <w:p w:rsidR="003E3427" w:rsidRDefault="003E3427" w:rsidP="00494649">
      <w:pPr>
        <w:spacing w:after="0" w:line="360" w:lineRule="auto"/>
        <w:jc w:val="both"/>
        <w:rPr>
          <w:rFonts w:ascii="Times New Roman" w:hAnsi="Times New Roman" w:cs="Times New Roman"/>
          <w:sz w:val="24"/>
          <w:szCs w:val="24"/>
        </w:rPr>
      </w:pPr>
    </w:p>
    <w:p w:rsidR="003E3427" w:rsidRPr="003E3427" w:rsidRDefault="003E3427" w:rsidP="00494649">
      <w:pPr>
        <w:spacing w:after="0" w:line="360" w:lineRule="auto"/>
        <w:jc w:val="both"/>
        <w:rPr>
          <w:rFonts w:ascii="Times New Roman" w:hAnsi="Times New Roman" w:cs="Times New Roman"/>
          <w:sz w:val="24"/>
          <w:szCs w:val="24"/>
          <w:u w:val="single"/>
        </w:rPr>
      </w:pPr>
      <w:r w:rsidRPr="003E3427">
        <w:rPr>
          <w:rFonts w:ascii="Times New Roman" w:hAnsi="Times New Roman" w:cs="Times New Roman"/>
          <w:sz w:val="24"/>
          <w:szCs w:val="24"/>
          <w:u w:val="single"/>
        </w:rPr>
        <w:t xml:space="preserve">Analysis </w:t>
      </w:r>
    </w:p>
    <w:p w:rsidR="000E7D37" w:rsidRDefault="003E3427" w:rsidP="004946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its judgment the court </w:t>
      </w:r>
      <w:r w:rsidRPr="003E3427">
        <w:rPr>
          <w:rFonts w:ascii="Times New Roman" w:hAnsi="Times New Roman" w:cs="Times New Roman"/>
          <w:i/>
          <w:sz w:val="24"/>
          <w:szCs w:val="24"/>
        </w:rPr>
        <w:t>a quo</w:t>
      </w:r>
      <w:r w:rsidR="0049043A">
        <w:rPr>
          <w:rFonts w:ascii="Times New Roman" w:hAnsi="Times New Roman" w:cs="Times New Roman"/>
          <w:sz w:val="24"/>
          <w:szCs w:val="24"/>
        </w:rPr>
        <w:t xml:space="preserve"> analysed</w:t>
      </w:r>
      <w:r>
        <w:rPr>
          <w:rFonts w:ascii="Times New Roman" w:hAnsi="Times New Roman" w:cs="Times New Roman"/>
          <w:sz w:val="24"/>
          <w:szCs w:val="24"/>
        </w:rPr>
        <w:t xml:space="preserve"> all the pleadings as well cross-references records involving the parties and pertaining to the same piece of land. Whilst analysing the related records involving the parties the court </w:t>
      </w:r>
      <w:r w:rsidRPr="003E3427">
        <w:rPr>
          <w:rFonts w:ascii="Times New Roman" w:hAnsi="Times New Roman" w:cs="Times New Roman"/>
          <w:i/>
          <w:sz w:val="24"/>
          <w:szCs w:val="24"/>
        </w:rPr>
        <w:t>a quo</w:t>
      </w:r>
      <w:r>
        <w:rPr>
          <w:rFonts w:ascii="Times New Roman" w:hAnsi="Times New Roman" w:cs="Times New Roman"/>
          <w:sz w:val="24"/>
          <w:szCs w:val="24"/>
        </w:rPr>
        <w:t xml:space="preserve"> noted that on one occasion </w:t>
      </w:r>
      <w:r w:rsidR="0049043A">
        <w:rPr>
          <w:rFonts w:ascii="Times New Roman" w:hAnsi="Times New Roman" w:cs="Times New Roman"/>
          <w:sz w:val="24"/>
          <w:szCs w:val="24"/>
        </w:rPr>
        <w:t>t</w:t>
      </w:r>
      <w:r>
        <w:rPr>
          <w:rFonts w:ascii="Times New Roman" w:hAnsi="Times New Roman" w:cs="Times New Roman"/>
          <w:sz w:val="24"/>
          <w:szCs w:val="24"/>
        </w:rPr>
        <w:t>he appellant or her co-respondent or the company formed by Mandiitawepi Chimene</w:t>
      </w:r>
      <w:r w:rsidR="008D04B7">
        <w:rPr>
          <w:rFonts w:ascii="Times New Roman" w:hAnsi="Times New Roman" w:cs="Times New Roman"/>
          <w:sz w:val="24"/>
          <w:szCs w:val="24"/>
        </w:rPr>
        <w:t xml:space="preserve"> had brought an application before the courts against the current respondent seeking to stop him from putting up structures. The court a quo concluded in its evaluation of evidence placed before it that those </w:t>
      </w:r>
      <w:r w:rsidR="008D04B7">
        <w:rPr>
          <w:rFonts w:ascii="Times New Roman" w:hAnsi="Times New Roman" w:cs="Times New Roman"/>
          <w:sz w:val="24"/>
          <w:szCs w:val="24"/>
        </w:rPr>
        <w:lastRenderedPageBreak/>
        <w:t>are the very structures that respondent feared w</w:t>
      </w:r>
      <w:r w:rsidR="000E7D37">
        <w:rPr>
          <w:rFonts w:ascii="Times New Roman" w:hAnsi="Times New Roman" w:cs="Times New Roman"/>
          <w:sz w:val="24"/>
          <w:szCs w:val="24"/>
        </w:rPr>
        <w:t>e</w:t>
      </w:r>
      <w:r w:rsidR="008D04B7">
        <w:rPr>
          <w:rFonts w:ascii="Times New Roman" w:hAnsi="Times New Roman" w:cs="Times New Roman"/>
          <w:sz w:val="24"/>
          <w:szCs w:val="24"/>
        </w:rPr>
        <w:t xml:space="preserve">re going to be demolished. The court was satisfied that the respondent has laid the basis of a </w:t>
      </w:r>
      <w:r w:rsidR="008D04B7" w:rsidRPr="000E7D37">
        <w:rPr>
          <w:rFonts w:ascii="Times New Roman" w:hAnsi="Times New Roman" w:cs="Times New Roman"/>
          <w:i/>
          <w:sz w:val="24"/>
          <w:szCs w:val="24"/>
        </w:rPr>
        <w:t>prima facie</w:t>
      </w:r>
      <w:r w:rsidR="008D04B7">
        <w:rPr>
          <w:rFonts w:ascii="Times New Roman" w:hAnsi="Times New Roman" w:cs="Times New Roman"/>
          <w:sz w:val="24"/>
          <w:szCs w:val="24"/>
        </w:rPr>
        <w:t xml:space="preserve"> personal right, that is he purchased the piece of land for US$25 000 from a beneficiary of the land </w:t>
      </w:r>
      <w:r w:rsidR="000E7D37">
        <w:rPr>
          <w:rFonts w:ascii="Times New Roman" w:hAnsi="Times New Roman" w:cs="Times New Roman"/>
          <w:sz w:val="24"/>
          <w:szCs w:val="24"/>
        </w:rPr>
        <w:t xml:space="preserve">reform programme. The purchase of that land led him to take occupation. That purchase can only be disproved by Ms Mandi Chimene, for the purposes of the application for an interdict the court </w:t>
      </w:r>
      <w:r w:rsidR="000E7D37" w:rsidRPr="000E7D37">
        <w:rPr>
          <w:rFonts w:ascii="Times New Roman" w:hAnsi="Times New Roman" w:cs="Times New Roman"/>
          <w:i/>
          <w:sz w:val="24"/>
          <w:szCs w:val="24"/>
        </w:rPr>
        <w:t>a quo</w:t>
      </w:r>
      <w:r w:rsidR="000E7D37">
        <w:rPr>
          <w:rFonts w:ascii="Times New Roman" w:hAnsi="Times New Roman" w:cs="Times New Roman"/>
          <w:sz w:val="24"/>
          <w:szCs w:val="24"/>
        </w:rPr>
        <w:t xml:space="preserve"> was not privy to any other contrary evidence as to the </w:t>
      </w:r>
      <w:r w:rsidR="0049043A">
        <w:rPr>
          <w:rFonts w:ascii="Times New Roman" w:hAnsi="Times New Roman" w:cs="Times New Roman"/>
          <w:sz w:val="24"/>
          <w:szCs w:val="24"/>
        </w:rPr>
        <w:t>one adduced by the respondent. Th</w:t>
      </w:r>
      <w:r w:rsidR="000E7D37">
        <w:rPr>
          <w:rFonts w:ascii="Times New Roman" w:hAnsi="Times New Roman" w:cs="Times New Roman"/>
          <w:sz w:val="24"/>
          <w:szCs w:val="24"/>
        </w:rPr>
        <w:t>e</w:t>
      </w:r>
      <w:r w:rsidR="0049043A">
        <w:rPr>
          <w:rFonts w:ascii="Times New Roman" w:hAnsi="Times New Roman" w:cs="Times New Roman"/>
          <w:sz w:val="24"/>
          <w:szCs w:val="24"/>
        </w:rPr>
        <w:t xml:space="preserve"> </w:t>
      </w:r>
      <w:r w:rsidR="000E7D37">
        <w:rPr>
          <w:rFonts w:ascii="Times New Roman" w:hAnsi="Times New Roman" w:cs="Times New Roman"/>
          <w:sz w:val="24"/>
          <w:szCs w:val="24"/>
        </w:rPr>
        <w:t xml:space="preserve">court </w:t>
      </w:r>
      <w:r w:rsidR="000E7D37" w:rsidRPr="000E7D37">
        <w:rPr>
          <w:rFonts w:ascii="Times New Roman" w:hAnsi="Times New Roman" w:cs="Times New Roman"/>
          <w:i/>
          <w:sz w:val="24"/>
          <w:szCs w:val="24"/>
        </w:rPr>
        <w:t>a quo</w:t>
      </w:r>
      <w:r w:rsidR="000E7D37">
        <w:rPr>
          <w:rFonts w:ascii="Times New Roman" w:hAnsi="Times New Roman" w:cs="Times New Roman"/>
          <w:sz w:val="24"/>
          <w:szCs w:val="24"/>
        </w:rPr>
        <w:t xml:space="preserve"> believed him on that aspect, though the </w:t>
      </w:r>
      <w:r w:rsidR="000E7D37" w:rsidRPr="0049043A">
        <w:rPr>
          <w:rFonts w:ascii="Times New Roman" w:hAnsi="Times New Roman" w:cs="Times New Roman"/>
          <w:i/>
          <w:sz w:val="24"/>
          <w:szCs w:val="24"/>
        </w:rPr>
        <w:t>prima facie</w:t>
      </w:r>
      <w:r w:rsidR="000E7D37">
        <w:rPr>
          <w:rFonts w:ascii="Times New Roman" w:hAnsi="Times New Roman" w:cs="Times New Roman"/>
          <w:sz w:val="24"/>
          <w:szCs w:val="24"/>
        </w:rPr>
        <w:t xml:space="preserve"> </w:t>
      </w:r>
      <w:r w:rsidR="0049043A">
        <w:rPr>
          <w:rFonts w:ascii="Times New Roman" w:hAnsi="Times New Roman" w:cs="Times New Roman"/>
          <w:sz w:val="24"/>
          <w:szCs w:val="24"/>
        </w:rPr>
        <w:t xml:space="preserve">right </w:t>
      </w:r>
      <w:r w:rsidR="000E7D37">
        <w:rPr>
          <w:rFonts w:ascii="Times New Roman" w:hAnsi="Times New Roman" w:cs="Times New Roman"/>
          <w:sz w:val="24"/>
          <w:szCs w:val="24"/>
        </w:rPr>
        <w:t>was open to doubt in the absence of an agreement of sale, receipt or cession agreement.</w:t>
      </w:r>
    </w:p>
    <w:p w:rsidR="00E872B9" w:rsidRDefault="000E7D37" w:rsidP="004946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piece of </w:t>
      </w:r>
      <w:r w:rsidR="0049043A">
        <w:rPr>
          <w:rFonts w:ascii="Times New Roman" w:hAnsi="Times New Roman" w:cs="Times New Roman"/>
          <w:sz w:val="24"/>
          <w:szCs w:val="24"/>
        </w:rPr>
        <w:t xml:space="preserve">land in question though being </w:t>
      </w:r>
      <w:r>
        <w:rPr>
          <w:rFonts w:ascii="Times New Roman" w:hAnsi="Times New Roman" w:cs="Times New Roman"/>
          <w:sz w:val="24"/>
          <w:szCs w:val="24"/>
        </w:rPr>
        <w:t>state land got a development permit for residential stands, it is conspicuously clear such stands do not have an offer letter, le</w:t>
      </w:r>
      <w:r w:rsidR="0049043A">
        <w:rPr>
          <w:rFonts w:ascii="Times New Roman" w:hAnsi="Times New Roman" w:cs="Times New Roman"/>
          <w:sz w:val="24"/>
          <w:szCs w:val="24"/>
        </w:rPr>
        <w:t>a</w:t>
      </w:r>
      <w:r>
        <w:rPr>
          <w:rFonts w:ascii="Times New Roman" w:hAnsi="Times New Roman" w:cs="Times New Roman"/>
          <w:sz w:val="24"/>
          <w:szCs w:val="24"/>
        </w:rPr>
        <w:t>se or permit as submitted by the appellant’s counsel. The possible proof of a contra</w:t>
      </w:r>
      <w:r w:rsidR="0049043A">
        <w:rPr>
          <w:rFonts w:ascii="Times New Roman" w:hAnsi="Times New Roman" w:cs="Times New Roman"/>
          <w:sz w:val="24"/>
          <w:szCs w:val="24"/>
        </w:rPr>
        <w:t>ct maybe an agreement of sale of</w:t>
      </w:r>
      <w:r>
        <w:rPr>
          <w:rFonts w:ascii="Times New Roman" w:hAnsi="Times New Roman" w:cs="Times New Roman"/>
          <w:sz w:val="24"/>
          <w:szCs w:val="24"/>
        </w:rPr>
        <w:t xml:space="preserve"> proof of payment, but in this particular case before us, the court </w:t>
      </w:r>
      <w:r w:rsidRPr="000E7D37">
        <w:rPr>
          <w:rFonts w:ascii="Times New Roman" w:hAnsi="Times New Roman" w:cs="Times New Roman"/>
          <w:i/>
          <w:sz w:val="24"/>
          <w:szCs w:val="24"/>
        </w:rPr>
        <w:t>a quo</w:t>
      </w:r>
      <w:r>
        <w:rPr>
          <w:rFonts w:ascii="Times New Roman" w:hAnsi="Times New Roman" w:cs="Times New Roman"/>
          <w:sz w:val="24"/>
          <w:szCs w:val="24"/>
        </w:rPr>
        <w:t xml:space="preserve"> fo</w:t>
      </w:r>
      <w:r w:rsidR="0049043A">
        <w:rPr>
          <w:rFonts w:ascii="Times New Roman" w:hAnsi="Times New Roman" w:cs="Times New Roman"/>
          <w:sz w:val="24"/>
          <w:szCs w:val="24"/>
        </w:rPr>
        <w:t>u</w:t>
      </w:r>
      <w:r>
        <w:rPr>
          <w:rFonts w:ascii="Times New Roman" w:hAnsi="Times New Roman" w:cs="Times New Roman"/>
          <w:sz w:val="24"/>
          <w:szCs w:val="24"/>
        </w:rPr>
        <w:t xml:space="preserve">nd respondent’s evidence </w:t>
      </w:r>
      <w:r w:rsidR="00E872B9">
        <w:rPr>
          <w:rFonts w:ascii="Times New Roman" w:hAnsi="Times New Roman" w:cs="Times New Roman"/>
          <w:sz w:val="24"/>
          <w:szCs w:val="24"/>
        </w:rPr>
        <w:t>adequate on the aspect of how he got the piece of land and as such</w:t>
      </w:r>
      <w:r w:rsidR="005C5DF6">
        <w:rPr>
          <w:rFonts w:ascii="Times New Roman" w:hAnsi="Times New Roman" w:cs="Times New Roman"/>
          <w:sz w:val="24"/>
          <w:szCs w:val="24"/>
        </w:rPr>
        <w:t xml:space="preserve"> </w:t>
      </w:r>
      <w:r w:rsidR="00C2612F">
        <w:rPr>
          <w:rFonts w:ascii="Times New Roman" w:hAnsi="Times New Roman" w:cs="Times New Roman"/>
          <w:sz w:val="24"/>
          <w:szCs w:val="24"/>
        </w:rPr>
        <w:t>t</w:t>
      </w:r>
      <w:r w:rsidR="005C5DF6">
        <w:rPr>
          <w:rFonts w:ascii="Times New Roman" w:hAnsi="Times New Roman" w:cs="Times New Roman"/>
          <w:sz w:val="24"/>
          <w:szCs w:val="24"/>
        </w:rPr>
        <w:t xml:space="preserve">he court </w:t>
      </w:r>
      <w:r w:rsidR="005C5DF6" w:rsidRPr="00C2612F">
        <w:rPr>
          <w:rFonts w:ascii="Times New Roman" w:hAnsi="Times New Roman" w:cs="Times New Roman"/>
          <w:i/>
          <w:sz w:val="24"/>
          <w:szCs w:val="24"/>
        </w:rPr>
        <w:t>a quo</w:t>
      </w:r>
      <w:r w:rsidR="005C5DF6">
        <w:rPr>
          <w:rFonts w:ascii="Times New Roman" w:hAnsi="Times New Roman" w:cs="Times New Roman"/>
          <w:sz w:val="24"/>
          <w:szCs w:val="24"/>
        </w:rPr>
        <w:t xml:space="preserve"> believed him and</w:t>
      </w:r>
      <w:r w:rsidR="00E872B9">
        <w:rPr>
          <w:rFonts w:ascii="Times New Roman" w:hAnsi="Times New Roman" w:cs="Times New Roman"/>
          <w:sz w:val="24"/>
          <w:szCs w:val="24"/>
        </w:rPr>
        <w:t xml:space="preserve"> accepted further that he had managed to establish on a balance of probabilities the req</w:t>
      </w:r>
      <w:r w:rsidR="005C5DF6">
        <w:rPr>
          <w:rFonts w:ascii="Times New Roman" w:hAnsi="Times New Roman" w:cs="Times New Roman"/>
          <w:sz w:val="24"/>
          <w:szCs w:val="24"/>
        </w:rPr>
        <w:t>u</w:t>
      </w:r>
      <w:r w:rsidR="00E872B9">
        <w:rPr>
          <w:rFonts w:ascii="Times New Roman" w:hAnsi="Times New Roman" w:cs="Times New Roman"/>
          <w:sz w:val="24"/>
          <w:szCs w:val="24"/>
        </w:rPr>
        <w:t xml:space="preserve">irement of a </w:t>
      </w:r>
      <w:r w:rsidR="00E872B9" w:rsidRPr="0049043A">
        <w:rPr>
          <w:rFonts w:ascii="Times New Roman" w:hAnsi="Times New Roman" w:cs="Times New Roman"/>
          <w:i/>
          <w:sz w:val="24"/>
          <w:szCs w:val="24"/>
        </w:rPr>
        <w:t>prima facie</w:t>
      </w:r>
      <w:r w:rsidR="00E872B9">
        <w:rPr>
          <w:rFonts w:ascii="Times New Roman" w:hAnsi="Times New Roman" w:cs="Times New Roman"/>
          <w:sz w:val="24"/>
          <w:szCs w:val="24"/>
        </w:rPr>
        <w:t xml:space="preserve"> right. The court </w:t>
      </w:r>
      <w:r w:rsidR="00E872B9" w:rsidRPr="005C5DF6">
        <w:rPr>
          <w:rFonts w:ascii="Times New Roman" w:hAnsi="Times New Roman" w:cs="Times New Roman"/>
          <w:i/>
          <w:sz w:val="24"/>
          <w:szCs w:val="24"/>
        </w:rPr>
        <w:t>a quo</w:t>
      </w:r>
      <w:r w:rsidR="00E872B9">
        <w:rPr>
          <w:rFonts w:ascii="Times New Roman" w:hAnsi="Times New Roman" w:cs="Times New Roman"/>
          <w:sz w:val="24"/>
          <w:szCs w:val="24"/>
        </w:rPr>
        <w:t xml:space="preserve"> </w:t>
      </w:r>
      <w:r w:rsidR="005C5DF6">
        <w:rPr>
          <w:rFonts w:ascii="Times New Roman" w:hAnsi="Times New Roman" w:cs="Times New Roman"/>
          <w:sz w:val="24"/>
          <w:szCs w:val="24"/>
        </w:rPr>
        <w:t>also</w:t>
      </w:r>
      <w:r w:rsidR="00E872B9">
        <w:rPr>
          <w:rFonts w:ascii="Times New Roman" w:hAnsi="Times New Roman" w:cs="Times New Roman"/>
          <w:sz w:val="24"/>
          <w:szCs w:val="24"/>
        </w:rPr>
        <w:t xml:space="preserve"> accepted that </w:t>
      </w:r>
      <w:r w:rsidR="005C5DF6">
        <w:rPr>
          <w:rFonts w:ascii="Times New Roman" w:hAnsi="Times New Roman" w:cs="Times New Roman"/>
          <w:sz w:val="24"/>
          <w:szCs w:val="24"/>
        </w:rPr>
        <w:t>respondent</w:t>
      </w:r>
      <w:r w:rsidR="00E872B9">
        <w:rPr>
          <w:rFonts w:ascii="Times New Roman" w:hAnsi="Times New Roman" w:cs="Times New Roman"/>
          <w:sz w:val="24"/>
          <w:szCs w:val="24"/>
        </w:rPr>
        <w:t xml:space="preserve"> has laid a </w:t>
      </w:r>
      <w:r w:rsidR="005C5DF6">
        <w:rPr>
          <w:rFonts w:ascii="Times New Roman" w:hAnsi="Times New Roman" w:cs="Times New Roman"/>
          <w:sz w:val="24"/>
          <w:szCs w:val="24"/>
        </w:rPr>
        <w:t>well-grounded</w:t>
      </w:r>
      <w:r w:rsidR="00E872B9">
        <w:rPr>
          <w:rFonts w:ascii="Times New Roman" w:hAnsi="Times New Roman" w:cs="Times New Roman"/>
          <w:sz w:val="24"/>
          <w:szCs w:val="24"/>
        </w:rPr>
        <w:t xml:space="preserve"> apprehension or irreparable harm if the order was not granted. Mandi Chimene </w:t>
      </w:r>
      <w:r w:rsidR="005C5DF6">
        <w:rPr>
          <w:rFonts w:ascii="Times New Roman" w:hAnsi="Times New Roman" w:cs="Times New Roman"/>
          <w:sz w:val="24"/>
          <w:szCs w:val="24"/>
        </w:rPr>
        <w:t>is not in the country and</w:t>
      </w:r>
      <w:r w:rsidR="00E872B9">
        <w:rPr>
          <w:rFonts w:ascii="Times New Roman" w:hAnsi="Times New Roman" w:cs="Times New Roman"/>
          <w:sz w:val="24"/>
          <w:szCs w:val="24"/>
        </w:rPr>
        <w:t xml:space="preserve"> contract of sale occurred in Zimbabwe, if the respondent is evicted from the piece of land, he has no recou</w:t>
      </w:r>
      <w:r w:rsidR="005C5DF6">
        <w:rPr>
          <w:rFonts w:ascii="Times New Roman" w:hAnsi="Times New Roman" w:cs="Times New Roman"/>
          <w:sz w:val="24"/>
          <w:szCs w:val="24"/>
        </w:rPr>
        <w:t>r</w:t>
      </w:r>
      <w:r w:rsidR="00E872B9">
        <w:rPr>
          <w:rFonts w:ascii="Times New Roman" w:hAnsi="Times New Roman" w:cs="Times New Roman"/>
          <w:sz w:val="24"/>
          <w:szCs w:val="24"/>
        </w:rPr>
        <w:t>se against Mandiitawepi Chimene. Whilst the government is looking into the matter the balance of convenience favours the granting of the interdict, to allow the respondent to utilise the p</w:t>
      </w:r>
      <w:r w:rsidR="005C5DF6">
        <w:rPr>
          <w:rFonts w:ascii="Times New Roman" w:hAnsi="Times New Roman" w:cs="Times New Roman"/>
          <w:sz w:val="24"/>
          <w:szCs w:val="24"/>
        </w:rPr>
        <w:t>i</w:t>
      </w:r>
      <w:r w:rsidR="00E872B9">
        <w:rPr>
          <w:rFonts w:ascii="Times New Roman" w:hAnsi="Times New Roman" w:cs="Times New Roman"/>
          <w:sz w:val="24"/>
          <w:szCs w:val="24"/>
        </w:rPr>
        <w:t>ece of land until removed by the allocating authority or given relevant documents to legalise the occupation.</w:t>
      </w:r>
    </w:p>
    <w:p w:rsidR="005C5DF6" w:rsidRDefault="00E872B9" w:rsidP="004946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possible available remedy open to the respondent is to claim refund of the US$25 000 paid to Mandi Chimene, but given the fact that she is </w:t>
      </w:r>
      <w:r w:rsidR="0049043A">
        <w:rPr>
          <w:rFonts w:ascii="Times New Roman" w:hAnsi="Times New Roman" w:cs="Times New Roman"/>
          <w:sz w:val="24"/>
          <w:szCs w:val="24"/>
        </w:rPr>
        <w:t xml:space="preserve">a </w:t>
      </w:r>
      <w:r>
        <w:rPr>
          <w:rFonts w:ascii="Times New Roman" w:hAnsi="Times New Roman" w:cs="Times New Roman"/>
          <w:sz w:val="24"/>
          <w:szCs w:val="24"/>
        </w:rPr>
        <w:t xml:space="preserve">fugitive </w:t>
      </w:r>
      <w:r w:rsidR="0049043A">
        <w:rPr>
          <w:rFonts w:ascii="Times New Roman" w:hAnsi="Times New Roman" w:cs="Times New Roman"/>
          <w:sz w:val="24"/>
          <w:szCs w:val="24"/>
        </w:rPr>
        <w:t>t</w:t>
      </w:r>
      <w:r>
        <w:rPr>
          <w:rFonts w:ascii="Times New Roman" w:hAnsi="Times New Roman" w:cs="Times New Roman"/>
          <w:sz w:val="24"/>
          <w:szCs w:val="24"/>
        </w:rPr>
        <w:t xml:space="preserve">he court </w:t>
      </w:r>
      <w:r w:rsidRPr="005C5DF6">
        <w:rPr>
          <w:rFonts w:ascii="Times New Roman" w:hAnsi="Times New Roman" w:cs="Times New Roman"/>
          <w:i/>
          <w:sz w:val="24"/>
          <w:szCs w:val="24"/>
        </w:rPr>
        <w:t>a quo</w:t>
      </w:r>
      <w:r>
        <w:rPr>
          <w:rFonts w:ascii="Times New Roman" w:hAnsi="Times New Roman" w:cs="Times New Roman"/>
          <w:sz w:val="24"/>
          <w:szCs w:val="24"/>
        </w:rPr>
        <w:t xml:space="preserve"> was correct in my view to find that </w:t>
      </w:r>
      <w:r w:rsidR="005C5DF6">
        <w:rPr>
          <w:rFonts w:ascii="Times New Roman" w:hAnsi="Times New Roman" w:cs="Times New Roman"/>
          <w:sz w:val="24"/>
          <w:szCs w:val="24"/>
        </w:rPr>
        <w:t>there was absence of any other alternative satisfactory remedy.</w:t>
      </w:r>
    </w:p>
    <w:p w:rsidR="005C5DF6" w:rsidRDefault="005C5DF6" w:rsidP="004946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court dealing with an application for an interdict and peace order has to decide the application in its discretion. An appeal court is reluctant to interfere with such an exercise of the discretion except in exceptional circu</w:t>
      </w:r>
      <w:r w:rsidR="0049043A">
        <w:rPr>
          <w:rFonts w:ascii="Times New Roman" w:hAnsi="Times New Roman" w:cs="Times New Roman"/>
          <w:sz w:val="24"/>
          <w:szCs w:val="24"/>
        </w:rPr>
        <w:t>mstances of irrationality or un</w:t>
      </w:r>
      <w:r>
        <w:rPr>
          <w:rFonts w:ascii="Times New Roman" w:hAnsi="Times New Roman" w:cs="Times New Roman"/>
          <w:sz w:val="24"/>
          <w:szCs w:val="24"/>
        </w:rPr>
        <w:t>reasonableness. The a</w:t>
      </w:r>
      <w:r w:rsidR="00AC4FD9">
        <w:rPr>
          <w:rFonts w:ascii="Times New Roman" w:hAnsi="Times New Roman" w:cs="Times New Roman"/>
          <w:sz w:val="24"/>
          <w:szCs w:val="24"/>
        </w:rPr>
        <w:t>ppellant failed in her appeal to</w:t>
      </w:r>
      <w:r>
        <w:rPr>
          <w:rFonts w:ascii="Times New Roman" w:hAnsi="Times New Roman" w:cs="Times New Roman"/>
          <w:sz w:val="24"/>
          <w:szCs w:val="24"/>
        </w:rPr>
        <w:t xml:space="preserve"> spell out such exceptional circumstances to justify interference. Given the circumstances of this matter I see no misdirection on the part of the trial court and </w:t>
      </w:r>
      <w:r w:rsidR="00AC4FD9">
        <w:rPr>
          <w:rFonts w:ascii="Times New Roman" w:hAnsi="Times New Roman" w:cs="Times New Roman"/>
          <w:sz w:val="24"/>
          <w:szCs w:val="24"/>
        </w:rPr>
        <w:t xml:space="preserve">its </w:t>
      </w:r>
      <w:r>
        <w:rPr>
          <w:rFonts w:ascii="Times New Roman" w:hAnsi="Times New Roman" w:cs="Times New Roman"/>
          <w:sz w:val="24"/>
          <w:szCs w:val="24"/>
        </w:rPr>
        <w:t>finding of all the requirements of an interdict. The appe</w:t>
      </w:r>
      <w:r w:rsidR="004F3808">
        <w:rPr>
          <w:rFonts w:ascii="Times New Roman" w:hAnsi="Times New Roman" w:cs="Times New Roman"/>
          <w:sz w:val="24"/>
          <w:szCs w:val="24"/>
        </w:rPr>
        <w:t>a</w:t>
      </w:r>
      <w:r>
        <w:rPr>
          <w:rFonts w:ascii="Times New Roman" w:hAnsi="Times New Roman" w:cs="Times New Roman"/>
          <w:sz w:val="24"/>
          <w:szCs w:val="24"/>
        </w:rPr>
        <w:t>l has no merit and the following order is returned</w:t>
      </w:r>
    </w:p>
    <w:p w:rsidR="005C5DF6" w:rsidRDefault="005C5DF6" w:rsidP="00494649">
      <w:pPr>
        <w:spacing w:after="0" w:line="360" w:lineRule="auto"/>
        <w:jc w:val="both"/>
        <w:rPr>
          <w:rFonts w:ascii="Times New Roman" w:hAnsi="Times New Roman" w:cs="Times New Roman"/>
          <w:sz w:val="24"/>
          <w:szCs w:val="24"/>
        </w:rPr>
      </w:pPr>
    </w:p>
    <w:p w:rsidR="005C5DF6" w:rsidRDefault="005C5DF6" w:rsidP="004946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rsidR="005C5DF6" w:rsidRDefault="005C5DF6" w:rsidP="005C5DF6">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appeal is dismissed </w:t>
      </w:r>
    </w:p>
    <w:p w:rsidR="004F3808" w:rsidRDefault="005C5DF6" w:rsidP="005C5DF6">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to pay costs of appeal.</w:t>
      </w:r>
    </w:p>
    <w:p w:rsidR="004F3808" w:rsidRDefault="004F3808" w:rsidP="004F3808">
      <w:pPr>
        <w:spacing w:after="0" w:line="360" w:lineRule="auto"/>
        <w:ind w:left="360"/>
        <w:jc w:val="both"/>
        <w:rPr>
          <w:rFonts w:ascii="Times New Roman" w:hAnsi="Times New Roman" w:cs="Times New Roman"/>
          <w:sz w:val="24"/>
          <w:szCs w:val="24"/>
        </w:rPr>
      </w:pPr>
    </w:p>
    <w:p w:rsidR="004F3808" w:rsidRDefault="004F3808" w:rsidP="004F3808">
      <w:pPr>
        <w:spacing w:after="0" w:line="360" w:lineRule="auto"/>
        <w:ind w:left="360"/>
        <w:jc w:val="both"/>
        <w:rPr>
          <w:rFonts w:ascii="Times New Roman" w:hAnsi="Times New Roman" w:cs="Times New Roman"/>
          <w:sz w:val="24"/>
          <w:szCs w:val="24"/>
        </w:rPr>
      </w:pPr>
    </w:p>
    <w:p w:rsidR="004F3808" w:rsidRDefault="004F3808" w:rsidP="004F3808">
      <w:pPr>
        <w:spacing w:after="0" w:line="360" w:lineRule="auto"/>
        <w:ind w:left="360"/>
        <w:jc w:val="both"/>
        <w:rPr>
          <w:rFonts w:ascii="Times New Roman" w:hAnsi="Times New Roman" w:cs="Times New Roman"/>
          <w:sz w:val="24"/>
          <w:szCs w:val="24"/>
        </w:rPr>
      </w:pPr>
    </w:p>
    <w:p w:rsidR="004F3808" w:rsidRDefault="004F3808" w:rsidP="004F3808">
      <w:pPr>
        <w:spacing w:after="0" w:line="360" w:lineRule="auto"/>
        <w:ind w:left="360"/>
        <w:jc w:val="both"/>
        <w:rPr>
          <w:rFonts w:ascii="Times New Roman" w:hAnsi="Times New Roman" w:cs="Times New Roman"/>
          <w:sz w:val="24"/>
          <w:szCs w:val="24"/>
        </w:rPr>
      </w:pPr>
    </w:p>
    <w:p w:rsidR="004F3808" w:rsidRDefault="004F3808" w:rsidP="004F3808">
      <w:pPr>
        <w:spacing w:after="0" w:line="360" w:lineRule="auto"/>
        <w:ind w:left="360"/>
        <w:jc w:val="both"/>
        <w:rPr>
          <w:rFonts w:ascii="Times New Roman" w:hAnsi="Times New Roman" w:cs="Times New Roman"/>
          <w:sz w:val="24"/>
          <w:szCs w:val="24"/>
        </w:rPr>
      </w:pPr>
    </w:p>
    <w:p w:rsidR="004F3808" w:rsidRDefault="004F3808" w:rsidP="004F380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MUZENDA J______________________________</w:t>
      </w:r>
    </w:p>
    <w:p w:rsidR="004F3808" w:rsidRDefault="004F3808" w:rsidP="004F3808">
      <w:pPr>
        <w:spacing w:after="0" w:line="360" w:lineRule="auto"/>
        <w:ind w:left="360"/>
        <w:jc w:val="both"/>
        <w:rPr>
          <w:rFonts w:ascii="Times New Roman" w:hAnsi="Times New Roman" w:cs="Times New Roman"/>
          <w:sz w:val="24"/>
          <w:szCs w:val="24"/>
        </w:rPr>
      </w:pPr>
    </w:p>
    <w:p w:rsidR="004F3808" w:rsidRDefault="004F3808" w:rsidP="004F3808">
      <w:pPr>
        <w:spacing w:after="0" w:line="360" w:lineRule="auto"/>
        <w:ind w:left="360"/>
        <w:jc w:val="both"/>
        <w:rPr>
          <w:rFonts w:ascii="Times New Roman" w:hAnsi="Times New Roman" w:cs="Times New Roman"/>
          <w:sz w:val="24"/>
          <w:szCs w:val="24"/>
        </w:rPr>
      </w:pPr>
    </w:p>
    <w:p w:rsidR="004F3808" w:rsidRDefault="004F3808" w:rsidP="004F3808">
      <w:pPr>
        <w:spacing w:after="0" w:line="360" w:lineRule="auto"/>
        <w:ind w:left="360"/>
        <w:jc w:val="both"/>
        <w:rPr>
          <w:rFonts w:ascii="Times New Roman" w:hAnsi="Times New Roman" w:cs="Times New Roman"/>
          <w:sz w:val="24"/>
          <w:szCs w:val="24"/>
        </w:rPr>
      </w:pPr>
    </w:p>
    <w:p w:rsidR="00494649" w:rsidRPr="004F3808" w:rsidRDefault="004F3808" w:rsidP="004F380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MWAYERA J Agrees ___________________________</w:t>
      </w:r>
      <w:r w:rsidR="00494649" w:rsidRPr="004F3808">
        <w:rPr>
          <w:rFonts w:ascii="Times New Roman" w:hAnsi="Times New Roman" w:cs="Times New Roman"/>
          <w:sz w:val="24"/>
          <w:szCs w:val="24"/>
        </w:rPr>
        <w:t xml:space="preserve">  </w:t>
      </w:r>
    </w:p>
    <w:p w:rsidR="00333921" w:rsidRPr="00511504" w:rsidRDefault="00494649" w:rsidP="005115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333921" w:rsidRPr="00511504">
        <w:rPr>
          <w:rFonts w:ascii="Times New Roman" w:hAnsi="Times New Roman" w:cs="Times New Roman"/>
          <w:sz w:val="24"/>
          <w:szCs w:val="24"/>
        </w:rPr>
        <w:t xml:space="preserve">                                                                                               </w:t>
      </w:r>
    </w:p>
    <w:p w:rsidR="00976CCD" w:rsidRPr="00827933" w:rsidRDefault="00976CCD" w:rsidP="00827933">
      <w:pPr>
        <w:spacing w:after="0" w:line="360" w:lineRule="auto"/>
        <w:jc w:val="both"/>
        <w:rPr>
          <w:rFonts w:ascii="Times New Roman" w:hAnsi="Times New Roman" w:cs="Times New Roman"/>
          <w:sz w:val="24"/>
          <w:szCs w:val="24"/>
        </w:rPr>
      </w:pPr>
    </w:p>
    <w:p w:rsidR="009E45AD" w:rsidRDefault="009E45AD" w:rsidP="00C66C23">
      <w:pPr>
        <w:tabs>
          <w:tab w:val="left" w:pos="709"/>
        </w:tabs>
        <w:spacing w:after="0" w:line="360" w:lineRule="auto"/>
        <w:jc w:val="both"/>
        <w:rPr>
          <w:rFonts w:ascii="Times New Roman" w:hAnsi="Times New Roman" w:cs="Times New Roman"/>
          <w:sz w:val="24"/>
          <w:szCs w:val="24"/>
        </w:rPr>
      </w:pPr>
    </w:p>
    <w:p w:rsidR="003A689C" w:rsidRDefault="003A689C" w:rsidP="00C66C23">
      <w:pPr>
        <w:tabs>
          <w:tab w:val="left" w:pos="709"/>
        </w:tabs>
        <w:spacing w:after="0" w:line="360" w:lineRule="auto"/>
        <w:jc w:val="both"/>
        <w:rPr>
          <w:rFonts w:ascii="Times New Roman" w:hAnsi="Times New Roman" w:cs="Times New Roman"/>
          <w:sz w:val="24"/>
          <w:szCs w:val="24"/>
        </w:rPr>
      </w:pPr>
    </w:p>
    <w:p w:rsidR="003A689C" w:rsidRDefault="003A689C" w:rsidP="00C66C23">
      <w:pPr>
        <w:tabs>
          <w:tab w:val="left" w:pos="709"/>
        </w:tabs>
        <w:spacing w:after="0" w:line="360" w:lineRule="auto"/>
        <w:jc w:val="both"/>
        <w:rPr>
          <w:rFonts w:ascii="Times New Roman" w:hAnsi="Times New Roman" w:cs="Times New Roman"/>
          <w:sz w:val="24"/>
          <w:szCs w:val="24"/>
        </w:rPr>
      </w:pPr>
    </w:p>
    <w:p w:rsidR="00CF0C1A" w:rsidRDefault="004F3808" w:rsidP="003A689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Coghlan Welsh &amp; Guest</w:t>
      </w:r>
      <w:r w:rsidR="00CF0C1A">
        <w:rPr>
          <w:rFonts w:ascii="Times New Roman" w:hAnsi="Times New Roman" w:cs="Times New Roman"/>
          <w:sz w:val="24"/>
          <w:szCs w:val="24"/>
        </w:rPr>
        <w:t xml:space="preserve">, </w:t>
      </w:r>
      <w:r w:rsidR="0049043A">
        <w:rPr>
          <w:rFonts w:ascii="Times New Roman" w:hAnsi="Times New Roman" w:cs="Times New Roman"/>
          <w:sz w:val="24"/>
          <w:szCs w:val="24"/>
        </w:rPr>
        <w:t>appellant</w:t>
      </w:r>
      <w:r w:rsidR="003A689C">
        <w:rPr>
          <w:rFonts w:ascii="Times New Roman" w:hAnsi="Times New Roman" w:cs="Times New Roman"/>
          <w:sz w:val="24"/>
          <w:szCs w:val="24"/>
        </w:rPr>
        <w:t>’s legal practitioners</w:t>
      </w:r>
    </w:p>
    <w:sectPr w:rsidR="00CF0C1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9E6" w:rsidRDefault="000D79E6" w:rsidP="003E5395">
      <w:pPr>
        <w:spacing w:after="0" w:line="240" w:lineRule="auto"/>
      </w:pPr>
      <w:r>
        <w:separator/>
      </w:r>
    </w:p>
  </w:endnote>
  <w:endnote w:type="continuationSeparator" w:id="0">
    <w:p w:rsidR="000D79E6" w:rsidRDefault="000D79E6" w:rsidP="003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9E6" w:rsidRDefault="000D79E6" w:rsidP="003E5395">
      <w:pPr>
        <w:spacing w:after="0" w:line="240" w:lineRule="auto"/>
      </w:pPr>
      <w:r>
        <w:separator/>
      </w:r>
    </w:p>
  </w:footnote>
  <w:footnote w:type="continuationSeparator" w:id="0">
    <w:p w:rsidR="000D79E6" w:rsidRDefault="000D79E6" w:rsidP="003E5395">
      <w:pPr>
        <w:spacing w:after="0" w:line="240" w:lineRule="auto"/>
      </w:pPr>
      <w:r>
        <w:continuationSeparator/>
      </w:r>
    </w:p>
  </w:footnote>
  <w:footnote w:id="1">
    <w:p w:rsidR="00494649" w:rsidRDefault="00494649">
      <w:pPr>
        <w:pStyle w:val="FootnoteText"/>
      </w:pPr>
      <w:r>
        <w:rPr>
          <w:rStyle w:val="FootnoteReference"/>
        </w:rPr>
        <w:footnoteRef/>
      </w:r>
      <w:r>
        <w:t xml:space="preserve"> 1994 (2) ZLR 374 (s)</w:t>
      </w:r>
    </w:p>
  </w:footnote>
  <w:footnote w:id="2">
    <w:p w:rsidR="00494649" w:rsidRDefault="00494649">
      <w:pPr>
        <w:pStyle w:val="FootnoteText"/>
      </w:pPr>
      <w:r>
        <w:rPr>
          <w:rStyle w:val="FootnoteReference"/>
        </w:rPr>
        <w:footnoteRef/>
      </w:r>
      <w:r>
        <w:t xml:space="preserve"> He cited the matter of </w:t>
      </w:r>
      <w:r w:rsidRPr="00333921">
        <w:rPr>
          <w:i/>
        </w:rPr>
        <w:t>Penya</w:t>
      </w:r>
      <w:r>
        <w:t xml:space="preserve">i v </w:t>
      </w:r>
      <w:r w:rsidRPr="00333921">
        <w:rPr>
          <w:i/>
        </w:rPr>
        <w:t>Penyai and Another</w:t>
      </w:r>
      <w:r>
        <w:t xml:space="preserve"> HC 826/15</w:t>
      </w:r>
    </w:p>
  </w:footnote>
  <w:footnote w:id="3">
    <w:p w:rsidR="00494649" w:rsidRDefault="00494649">
      <w:pPr>
        <w:pStyle w:val="FootnoteText"/>
      </w:pPr>
      <w:r>
        <w:rPr>
          <w:rStyle w:val="FootnoteReference"/>
        </w:rPr>
        <w:footnoteRef/>
      </w:r>
      <w:r>
        <w:t xml:space="preserve"> Per </w:t>
      </w:r>
      <w:r w:rsidRPr="00BC7002">
        <w:rPr>
          <w:smallCaps/>
        </w:rPr>
        <w:t>Patel</w:t>
      </w:r>
      <w:r>
        <w:t xml:space="preserve"> JA (As he then was) in City of Harare v Farai Mushoriwa SC 54/2018 at p16 of the cyclostyled judgment. </w:t>
      </w:r>
    </w:p>
  </w:footnote>
  <w:footnote w:id="4">
    <w:p w:rsidR="00494649" w:rsidRDefault="00494649">
      <w:pPr>
        <w:pStyle w:val="FootnoteText"/>
      </w:pPr>
      <w:r>
        <w:rPr>
          <w:rStyle w:val="FootnoteReference"/>
        </w:rPr>
        <w:footnoteRef/>
      </w:r>
      <w:r>
        <w:t xml:space="preserve"> HB 239/18</w:t>
      </w:r>
    </w:p>
  </w:footnote>
  <w:footnote w:id="5">
    <w:p w:rsidR="00494649" w:rsidRDefault="00494649">
      <w:pPr>
        <w:pStyle w:val="FootnoteText"/>
      </w:pPr>
      <w:r>
        <w:rPr>
          <w:rStyle w:val="FootnoteReference"/>
        </w:rPr>
        <w:footnoteRef/>
      </w:r>
      <w:r>
        <w:t xml:space="preserve"> See also Airfied Investments (Private) Limted v Minister of Lands and others 2004 (i)ZLR 571(s) at 517 F-H</w:t>
      </w:r>
    </w:p>
  </w:footnote>
  <w:footnote w:id="6">
    <w:p w:rsidR="00494649" w:rsidRDefault="00494649">
      <w:pPr>
        <w:pStyle w:val="FootnoteText"/>
      </w:pPr>
      <w:r>
        <w:rPr>
          <w:rStyle w:val="FootnoteReference"/>
        </w:rPr>
        <w:footnoteRef/>
      </w:r>
      <w:r>
        <w:t xml:space="preserve"> CB Prest ! The Law and Practice of interdicts, Juta Law, 1993 at p52</w:t>
      </w:r>
    </w:p>
  </w:footnote>
  <w:footnote w:id="7">
    <w:p w:rsidR="00494649" w:rsidRDefault="00494649">
      <w:pPr>
        <w:pStyle w:val="FootnoteText"/>
      </w:pPr>
      <w:r>
        <w:rPr>
          <w:rStyle w:val="FootnoteReference"/>
        </w:rPr>
        <w:footnoteRef/>
      </w:r>
      <w:r>
        <w:t xml:space="preserve"> Prest </w:t>
      </w:r>
      <w:r w:rsidRPr="00494649">
        <w:rPr>
          <w:i/>
        </w:rPr>
        <w:t>, Supra</w:t>
      </w:r>
      <w:r>
        <w:t xml:space="preserve"> on p57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60895"/>
      <w:docPartObj>
        <w:docPartGallery w:val="Page Numbers (Top of Page)"/>
        <w:docPartUnique/>
      </w:docPartObj>
    </w:sdtPr>
    <w:sdtEndPr>
      <w:rPr>
        <w:noProof/>
      </w:rPr>
    </w:sdtEndPr>
    <w:sdtContent>
      <w:p w:rsidR="00494649" w:rsidRDefault="00494649" w:rsidP="00C2612F">
        <w:pPr>
          <w:pStyle w:val="Header"/>
          <w:jc w:val="right"/>
          <w:rPr>
            <w:noProof/>
          </w:rPr>
        </w:pPr>
        <w:r>
          <w:fldChar w:fldCharType="begin"/>
        </w:r>
        <w:r>
          <w:instrText xml:space="preserve"> PAGE   \* MERGEFORMAT </w:instrText>
        </w:r>
        <w:r>
          <w:fldChar w:fldCharType="separate"/>
        </w:r>
        <w:r w:rsidR="00095BC3">
          <w:rPr>
            <w:noProof/>
          </w:rPr>
          <w:t>1</w:t>
        </w:r>
        <w:r>
          <w:rPr>
            <w:noProof/>
          </w:rPr>
          <w:fldChar w:fldCharType="end"/>
        </w:r>
      </w:p>
      <w:p w:rsidR="00494649" w:rsidRDefault="00494649" w:rsidP="00C2612F">
        <w:pPr>
          <w:pStyle w:val="Header"/>
          <w:jc w:val="right"/>
          <w:rPr>
            <w:noProof/>
          </w:rPr>
        </w:pPr>
        <w:r>
          <w:rPr>
            <w:noProof/>
          </w:rPr>
          <w:tab/>
          <w:t xml:space="preserve">                                                                                                                                                                HMT</w:t>
        </w:r>
        <w:r w:rsidR="00C2612F">
          <w:rPr>
            <w:noProof/>
          </w:rPr>
          <w:t xml:space="preserve"> 33</w:t>
        </w:r>
        <w:r>
          <w:rPr>
            <w:noProof/>
          </w:rPr>
          <w:t xml:space="preserve"> -21</w:t>
        </w:r>
      </w:p>
      <w:p w:rsidR="00494649" w:rsidRDefault="00494649" w:rsidP="00C2612F">
        <w:pPr>
          <w:pStyle w:val="Header"/>
          <w:jc w:val="right"/>
        </w:pPr>
        <w:r>
          <w:rPr>
            <w:noProof/>
          </w:rPr>
          <w:t>CIV ‘A’ 34/20</w:t>
        </w:r>
      </w:p>
    </w:sdtContent>
  </w:sdt>
  <w:p w:rsidR="00494649" w:rsidRDefault="00494649" w:rsidP="00C2612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64CB"/>
    <w:multiLevelType w:val="hybridMultilevel"/>
    <w:tmpl w:val="858E1E5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2093F7F"/>
    <w:multiLevelType w:val="hybridMultilevel"/>
    <w:tmpl w:val="9DFE8A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9773F9F"/>
    <w:multiLevelType w:val="hybridMultilevel"/>
    <w:tmpl w:val="8E62AF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C5C45A0"/>
    <w:multiLevelType w:val="hybridMultilevel"/>
    <w:tmpl w:val="4CBADE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DB70C07"/>
    <w:multiLevelType w:val="hybridMultilevel"/>
    <w:tmpl w:val="7952C34E"/>
    <w:lvl w:ilvl="0" w:tplc="18FE1AC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1AE0B25"/>
    <w:multiLevelType w:val="hybridMultilevel"/>
    <w:tmpl w:val="E10AC152"/>
    <w:lvl w:ilvl="0" w:tplc="C52EFC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62616262"/>
    <w:multiLevelType w:val="hybridMultilevel"/>
    <w:tmpl w:val="C0E0C1AE"/>
    <w:lvl w:ilvl="0" w:tplc="11BA525A">
      <w:start w:val="1"/>
      <w:numFmt w:val="lowerLetter"/>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7" w15:restartNumberingAfterBreak="0">
    <w:nsid w:val="6D7166BB"/>
    <w:multiLevelType w:val="hybridMultilevel"/>
    <w:tmpl w:val="772AE22A"/>
    <w:lvl w:ilvl="0" w:tplc="99F03304">
      <w:start w:val="1"/>
      <w:numFmt w:val="lowerRoman"/>
      <w:lvlText w:val="(%1)"/>
      <w:lvlJc w:val="left"/>
      <w:pPr>
        <w:ind w:left="1140" w:hanging="720"/>
      </w:pPr>
      <w:rPr>
        <w:rFonts w:hint="default"/>
      </w:r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8" w15:restartNumberingAfterBreak="0">
    <w:nsid w:val="6E6B3CD9"/>
    <w:multiLevelType w:val="hybridMultilevel"/>
    <w:tmpl w:val="85FEF35A"/>
    <w:lvl w:ilvl="0" w:tplc="6B68E63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0861086"/>
    <w:multiLevelType w:val="hybridMultilevel"/>
    <w:tmpl w:val="179E52D0"/>
    <w:lvl w:ilvl="0" w:tplc="BCE063E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59515CE"/>
    <w:multiLevelType w:val="hybridMultilevel"/>
    <w:tmpl w:val="A3709A44"/>
    <w:lvl w:ilvl="0" w:tplc="2E1404C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793537FE"/>
    <w:multiLevelType w:val="hybridMultilevel"/>
    <w:tmpl w:val="FA567BFA"/>
    <w:lvl w:ilvl="0" w:tplc="943C2C9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DBB32F5"/>
    <w:multiLevelType w:val="hybridMultilevel"/>
    <w:tmpl w:val="49ACB23C"/>
    <w:lvl w:ilvl="0" w:tplc="948AF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FC154A7"/>
    <w:multiLevelType w:val="hybridMultilevel"/>
    <w:tmpl w:val="2F24C5B0"/>
    <w:lvl w:ilvl="0" w:tplc="B2C22D4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2"/>
  </w:num>
  <w:num w:numId="2">
    <w:abstractNumId w:val="9"/>
  </w:num>
  <w:num w:numId="3">
    <w:abstractNumId w:val="5"/>
  </w:num>
  <w:num w:numId="4">
    <w:abstractNumId w:val="13"/>
  </w:num>
  <w:num w:numId="5">
    <w:abstractNumId w:val="0"/>
  </w:num>
  <w:num w:numId="6">
    <w:abstractNumId w:val="1"/>
  </w:num>
  <w:num w:numId="7">
    <w:abstractNumId w:val="2"/>
  </w:num>
  <w:num w:numId="8">
    <w:abstractNumId w:val="3"/>
  </w:num>
  <w:num w:numId="9">
    <w:abstractNumId w:val="11"/>
  </w:num>
  <w:num w:numId="10">
    <w:abstractNumId w:val="10"/>
  </w:num>
  <w:num w:numId="11">
    <w:abstractNumId w:val="6"/>
  </w:num>
  <w:num w:numId="12">
    <w:abstractNumId w:val="7"/>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64"/>
    <w:rsid w:val="00015B3F"/>
    <w:rsid w:val="0001654B"/>
    <w:rsid w:val="00070E72"/>
    <w:rsid w:val="00075172"/>
    <w:rsid w:val="00087474"/>
    <w:rsid w:val="00095BC3"/>
    <w:rsid w:val="000A3656"/>
    <w:rsid w:val="000B6666"/>
    <w:rsid w:val="000C0432"/>
    <w:rsid w:val="000C6489"/>
    <w:rsid w:val="000D79E6"/>
    <w:rsid w:val="000E19AD"/>
    <w:rsid w:val="000E4BD2"/>
    <w:rsid w:val="000E7D37"/>
    <w:rsid w:val="000F4D02"/>
    <w:rsid w:val="000F552B"/>
    <w:rsid w:val="000F7DC3"/>
    <w:rsid w:val="00104802"/>
    <w:rsid w:val="0010488F"/>
    <w:rsid w:val="00114297"/>
    <w:rsid w:val="00115148"/>
    <w:rsid w:val="0012359E"/>
    <w:rsid w:val="0013231E"/>
    <w:rsid w:val="0013250A"/>
    <w:rsid w:val="001346D4"/>
    <w:rsid w:val="00142AE6"/>
    <w:rsid w:val="00144471"/>
    <w:rsid w:val="00146D70"/>
    <w:rsid w:val="00154188"/>
    <w:rsid w:val="00157298"/>
    <w:rsid w:val="001869FA"/>
    <w:rsid w:val="0018710C"/>
    <w:rsid w:val="001905B9"/>
    <w:rsid w:val="001D4EA3"/>
    <w:rsid w:val="001D6B8A"/>
    <w:rsid w:val="001F0D4B"/>
    <w:rsid w:val="001F7B05"/>
    <w:rsid w:val="00210185"/>
    <w:rsid w:val="00212CE8"/>
    <w:rsid w:val="0021639B"/>
    <w:rsid w:val="00216ACB"/>
    <w:rsid w:val="00232F04"/>
    <w:rsid w:val="00251BE1"/>
    <w:rsid w:val="00263CC0"/>
    <w:rsid w:val="002651F1"/>
    <w:rsid w:val="0026554D"/>
    <w:rsid w:val="00293DDA"/>
    <w:rsid w:val="00296743"/>
    <w:rsid w:val="002D0861"/>
    <w:rsid w:val="002D6A10"/>
    <w:rsid w:val="00321A76"/>
    <w:rsid w:val="003269DE"/>
    <w:rsid w:val="00326FB2"/>
    <w:rsid w:val="00330E73"/>
    <w:rsid w:val="00331A0F"/>
    <w:rsid w:val="00333921"/>
    <w:rsid w:val="00346764"/>
    <w:rsid w:val="003501AA"/>
    <w:rsid w:val="00364128"/>
    <w:rsid w:val="003646BB"/>
    <w:rsid w:val="0037425C"/>
    <w:rsid w:val="003744AE"/>
    <w:rsid w:val="00385C46"/>
    <w:rsid w:val="00385FBF"/>
    <w:rsid w:val="00390475"/>
    <w:rsid w:val="003A03EE"/>
    <w:rsid w:val="003A689C"/>
    <w:rsid w:val="003A7E8F"/>
    <w:rsid w:val="003E3427"/>
    <w:rsid w:val="003E4B54"/>
    <w:rsid w:val="003E5395"/>
    <w:rsid w:val="00412DB0"/>
    <w:rsid w:val="004317B4"/>
    <w:rsid w:val="00433E81"/>
    <w:rsid w:val="00437482"/>
    <w:rsid w:val="004410A9"/>
    <w:rsid w:val="00453E5C"/>
    <w:rsid w:val="004657C4"/>
    <w:rsid w:val="00482DDB"/>
    <w:rsid w:val="0049043A"/>
    <w:rsid w:val="00494649"/>
    <w:rsid w:val="004C20E4"/>
    <w:rsid w:val="004C7797"/>
    <w:rsid w:val="004E379D"/>
    <w:rsid w:val="004E5E8F"/>
    <w:rsid w:val="004F3808"/>
    <w:rsid w:val="00507AC3"/>
    <w:rsid w:val="00511504"/>
    <w:rsid w:val="0051683D"/>
    <w:rsid w:val="0052397F"/>
    <w:rsid w:val="005322CE"/>
    <w:rsid w:val="00542EE0"/>
    <w:rsid w:val="0058164A"/>
    <w:rsid w:val="005A56F6"/>
    <w:rsid w:val="005A7E4B"/>
    <w:rsid w:val="005B25C7"/>
    <w:rsid w:val="005B7780"/>
    <w:rsid w:val="005C5DF6"/>
    <w:rsid w:val="005C78D9"/>
    <w:rsid w:val="005E621D"/>
    <w:rsid w:val="005F4B9F"/>
    <w:rsid w:val="005F58C1"/>
    <w:rsid w:val="005F593A"/>
    <w:rsid w:val="0062146A"/>
    <w:rsid w:val="00630461"/>
    <w:rsid w:val="00641E2D"/>
    <w:rsid w:val="00657959"/>
    <w:rsid w:val="00673EA2"/>
    <w:rsid w:val="006919BD"/>
    <w:rsid w:val="00692CDE"/>
    <w:rsid w:val="006B3EB8"/>
    <w:rsid w:val="006C0175"/>
    <w:rsid w:val="006C1A1B"/>
    <w:rsid w:val="006D02F0"/>
    <w:rsid w:val="006D1676"/>
    <w:rsid w:val="006E2BA9"/>
    <w:rsid w:val="006F0C8B"/>
    <w:rsid w:val="00707AF7"/>
    <w:rsid w:val="007132CF"/>
    <w:rsid w:val="00741DEC"/>
    <w:rsid w:val="00750A6D"/>
    <w:rsid w:val="0075634C"/>
    <w:rsid w:val="00757054"/>
    <w:rsid w:val="00761CA3"/>
    <w:rsid w:val="00764B32"/>
    <w:rsid w:val="007909D0"/>
    <w:rsid w:val="00791502"/>
    <w:rsid w:val="007A0DFC"/>
    <w:rsid w:val="007A294B"/>
    <w:rsid w:val="007E4C33"/>
    <w:rsid w:val="008060D2"/>
    <w:rsid w:val="0081189A"/>
    <w:rsid w:val="00816002"/>
    <w:rsid w:val="00827933"/>
    <w:rsid w:val="00830B4E"/>
    <w:rsid w:val="00837D2B"/>
    <w:rsid w:val="00840687"/>
    <w:rsid w:val="00843203"/>
    <w:rsid w:val="00855787"/>
    <w:rsid w:val="00867A47"/>
    <w:rsid w:val="0089426E"/>
    <w:rsid w:val="008A1AA0"/>
    <w:rsid w:val="008D04B7"/>
    <w:rsid w:val="008D53D8"/>
    <w:rsid w:val="008E4C7C"/>
    <w:rsid w:val="008F5CA2"/>
    <w:rsid w:val="00930673"/>
    <w:rsid w:val="009567BC"/>
    <w:rsid w:val="0096091F"/>
    <w:rsid w:val="009649B0"/>
    <w:rsid w:val="00966FB7"/>
    <w:rsid w:val="00973D9E"/>
    <w:rsid w:val="00975813"/>
    <w:rsid w:val="00976CCD"/>
    <w:rsid w:val="00982D2A"/>
    <w:rsid w:val="009846C9"/>
    <w:rsid w:val="009A4A95"/>
    <w:rsid w:val="009B473A"/>
    <w:rsid w:val="009C25C3"/>
    <w:rsid w:val="009C4425"/>
    <w:rsid w:val="009D4440"/>
    <w:rsid w:val="009E0F4F"/>
    <w:rsid w:val="009E3A63"/>
    <w:rsid w:val="009E45AD"/>
    <w:rsid w:val="009E5892"/>
    <w:rsid w:val="009F33A9"/>
    <w:rsid w:val="00A14DEE"/>
    <w:rsid w:val="00A203AA"/>
    <w:rsid w:val="00A246EA"/>
    <w:rsid w:val="00A25E88"/>
    <w:rsid w:val="00A26DE8"/>
    <w:rsid w:val="00A26EE4"/>
    <w:rsid w:val="00A375D8"/>
    <w:rsid w:val="00A37BF6"/>
    <w:rsid w:val="00A4284B"/>
    <w:rsid w:val="00A6501D"/>
    <w:rsid w:val="00A777C6"/>
    <w:rsid w:val="00A77FD6"/>
    <w:rsid w:val="00A92C4F"/>
    <w:rsid w:val="00AB1FC1"/>
    <w:rsid w:val="00AC4FD9"/>
    <w:rsid w:val="00AD214D"/>
    <w:rsid w:val="00AD6211"/>
    <w:rsid w:val="00AD7F6D"/>
    <w:rsid w:val="00AE0B32"/>
    <w:rsid w:val="00AF0C01"/>
    <w:rsid w:val="00AF5344"/>
    <w:rsid w:val="00B017EC"/>
    <w:rsid w:val="00B03D14"/>
    <w:rsid w:val="00B13338"/>
    <w:rsid w:val="00B53B5C"/>
    <w:rsid w:val="00B556FE"/>
    <w:rsid w:val="00B57151"/>
    <w:rsid w:val="00B61079"/>
    <w:rsid w:val="00B75F82"/>
    <w:rsid w:val="00BA167A"/>
    <w:rsid w:val="00BC3CF7"/>
    <w:rsid w:val="00BC7002"/>
    <w:rsid w:val="00BE3F52"/>
    <w:rsid w:val="00C0408D"/>
    <w:rsid w:val="00C2159D"/>
    <w:rsid w:val="00C2612F"/>
    <w:rsid w:val="00C26757"/>
    <w:rsid w:val="00C37FDA"/>
    <w:rsid w:val="00C40160"/>
    <w:rsid w:val="00C452B1"/>
    <w:rsid w:val="00C45A43"/>
    <w:rsid w:val="00C66C23"/>
    <w:rsid w:val="00C836E2"/>
    <w:rsid w:val="00CA2375"/>
    <w:rsid w:val="00CA307F"/>
    <w:rsid w:val="00CB17FE"/>
    <w:rsid w:val="00CB4795"/>
    <w:rsid w:val="00CB5917"/>
    <w:rsid w:val="00CC3C3C"/>
    <w:rsid w:val="00CD0187"/>
    <w:rsid w:val="00CD0AE3"/>
    <w:rsid w:val="00CD474E"/>
    <w:rsid w:val="00CF0C1A"/>
    <w:rsid w:val="00CF7133"/>
    <w:rsid w:val="00D045DA"/>
    <w:rsid w:val="00D13C32"/>
    <w:rsid w:val="00D36A3C"/>
    <w:rsid w:val="00D420AA"/>
    <w:rsid w:val="00D47BF5"/>
    <w:rsid w:val="00D5301E"/>
    <w:rsid w:val="00D5602F"/>
    <w:rsid w:val="00D64A97"/>
    <w:rsid w:val="00D74042"/>
    <w:rsid w:val="00D75E50"/>
    <w:rsid w:val="00D76C2E"/>
    <w:rsid w:val="00DA45E5"/>
    <w:rsid w:val="00DC2361"/>
    <w:rsid w:val="00DD4D1C"/>
    <w:rsid w:val="00DE436F"/>
    <w:rsid w:val="00DE4DDC"/>
    <w:rsid w:val="00DF173C"/>
    <w:rsid w:val="00E10353"/>
    <w:rsid w:val="00E15381"/>
    <w:rsid w:val="00E23D1C"/>
    <w:rsid w:val="00E52DE5"/>
    <w:rsid w:val="00E549E3"/>
    <w:rsid w:val="00E572B9"/>
    <w:rsid w:val="00E61E4C"/>
    <w:rsid w:val="00E623EF"/>
    <w:rsid w:val="00E6790A"/>
    <w:rsid w:val="00E76D40"/>
    <w:rsid w:val="00E83CCE"/>
    <w:rsid w:val="00E872B9"/>
    <w:rsid w:val="00E873C4"/>
    <w:rsid w:val="00E87F63"/>
    <w:rsid w:val="00E970A9"/>
    <w:rsid w:val="00EA1EF1"/>
    <w:rsid w:val="00EA4024"/>
    <w:rsid w:val="00EA6A1E"/>
    <w:rsid w:val="00EC486F"/>
    <w:rsid w:val="00ED62DC"/>
    <w:rsid w:val="00EE60B7"/>
    <w:rsid w:val="00EE76F4"/>
    <w:rsid w:val="00EE78D1"/>
    <w:rsid w:val="00EF03A1"/>
    <w:rsid w:val="00EF05BC"/>
    <w:rsid w:val="00EF1166"/>
    <w:rsid w:val="00F12ECC"/>
    <w:rsid w:val="00F20763"/>
    <w:rsid w:val="00F22EC1"/>
    <w:rsid w:val="00F518F7"/>
    <w:rsid w:val="00F57624"/>
    <w:rsid w:val="00F65722"/>
    <w:rsid w:val="00F76C89"/>
    <w:rsid w:val="00F9038C"/>
    <w:rsid w:val="00F96775"/>
    <w:rsid w:val="00FD04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1DA677-DA1C-4D99-A94D-D919C965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395"/>
  </w:style>
  <w:style w:type="paragraph" w:styleId="Footer">
    <w:name w:val="footer"/>
    <w:basedOn w:val="Normal"/>
    <w:link w:val="FooterChar"/>
    <w:uiPriority w:val="99"/>
    <w:unhideWhenUsed/>
    <w:rsid w:val="003E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395"/>
  </w:style>
  <w:style w:type="paragraph" w:styleId="ListParagraph">
    <w:name w:val="List Paragraph"/>
    <w:basedOn w:val="Normal"/>
    <w:uiPriority w:val="34"/>
    <w:qFormat/>
    <w:rsid w:val="00837D2B"/>
    <w:pPr>
      <w:ind w:left="720"/>
      <w:contextualSpacing/>
    </w:pPr>
  </w:style>
  <w:style w:type="paragraph" w:styleId="FootnoteText">
    <w:name w:val="footnote text"/>
    <w:basedOn w:val="Normal"/>
    <w:link w:val="FootnoteTextChar"/>
    <w:uiPriority w:val="99"/>
    <w:semiHidden/>
    <w:unhideWhenUsed/>
    <w:rsid w:val="0083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2B"/>
    <w:rPr>
      <w:sz w:val="20"/>
      <w:szCs w:val="20"/>
    </w:rPr>
  </w:style>
  <w:style w:type="character" w:styleId="FootnoteReference">
    <w:name w:val="footnote reference"/>
    <w:basedOn w:val="DefaultParagraphFont"/>
    <w:uiPriority w:val="99"/>
    <w:semiHidden/>
    <w:unhideWhenUsed/>
    <w:rsid w:val="00837D2B"/>
    <w:rPr>
      <w:vertAlign w:val="superscript"/>
    </w:rPr>
  </w:style>
  <w:style w:type="paragraph" w:styleId="BalloonText">
    <w:name w:val="Balloon Text"/>
    <w:basedOn w:val="Normal"/>
    <w:link w:val="BalloonTextChar"/>
    <w:uiPriority w:val="99"/>
    <w:semiHidden/>
    <w:unhideWhenUsed/>
    <w:rsid w:val="0012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B065C-946E-4DC5-BB19-B30DB39E5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2128</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cp:revision>
  <cp:lastPrinted>2021-06-04T09:28:00Z</cp:lastPrinted>
  <dcterms:created xsi:type="dcterms:W3CDTF">2021-06-11T13:44:00Z</dcterms:created>
  <dcterms:modified xsi:type="dcterms:W3CDTF">2021-06-11T13:44:00Z</dcterms:modified>
</cp:coreProperties>
</file>