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21" w:rsidRDefault="00EE1F35">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94642A">
        <w:rPr>
          <w:b/>
          <w:sz w:val="24"/>
          <w:szCs w:val="24"/>
        </w:rPr>
        <w:t>536</w:t>
      </w:r>
      <w:r>
        <w:rPr>
          <w:b/>
          <w:sz w:val="24"/>
          <w:szCs w:val="24"/>
        </w:rPr>
        <w:t>/16</w:t>
      </w:r>
    </w:p>
    <w:p w:rsidR="00EE1F35" w:rsidRDefault="00EE1F35">
      <w:pPr>
        <w:rPr>
          <w:b/>
          <w:sz w:val="24"/>
          <w:szCs w:val="24"/>
        </w:rPr>
      </w:pPr>
      <w:r>
        <w:rPr>
          <w:b/>
          <w:sz w:val="24"/>
          <w:szCs w:val="24"/>
        </w:rPr>
        <w:t xml:space="preserve">HELD AT HARARE </w:t>
      </w:r>
      <w:r w:rsidR="00817264">
        <w:rPr>
          <w:b/>
          <w:sz w:val="24"/>
          <w:szCs w:val="24"/>
        </w:rPr>
        <w:t>31 MAY 2016</w:t>
      </w:r>
      <w:r w:rsidR="00817264">
        <w:rPr>
          <w:b/>
          <w:sz w:val="24"/>
          <w:szCs w:val="24"/>
        </w:rPr>
        <w:tab/>
      </w:r>
      <w:r w:rsidR="00817264">
        <w:rPr>
          <w:b/>
          <w:sz w:val="24"/>
          <w:szCs w:val="24"/>
        </w:rPr>
        <w:tab/>
      </w:r>
      <w:r w:rsidR="00817264">
        <w:rPr>
          <w:b/>
          <w:sz w:val="24"/>
          <w:szCs w:val="24"/>
        </w:rPr>
        <w:tab/>
      </w:r>
      <w:r w:rsidR="00817264">
        <w:rPr>
          <w:b/>
          <w:sz w:val="24"/>
          <w:szCs w:val="24"/>
        </w:rPr>
        <w:tab/>
        <w:t>CASE NO LC/H/516/</w:t>
      </w:r>
      <w:proofErr w:type="gramStart"/>
      <w:r>
        <w:rPr>
          <w:b/>
          <w:sz w:val="24"/>
          <w:szCs w:val="24"/>
        </w:rPr>
        <w:t>15</w:t>
      </w:r>
      <w:proofErr w:type="gramEnd"/>
    </w:p>
    <w:p w:rsidR="00EE1F35" w:rsidRDefault="00F63BEC">
      <w:pPr>
        <w:rPr>
          <w:b/>
          <w:sz w:val="24"/>
          <w:szCs w:val="24"/>
        </w:rPr>
      </w:pPr>
      <w:r>
        <w:rPr>
          <w:b/>
          <w:sz w:val="24"/>
          <w:szCs w:val="24"/>
        </w:rPr>
        <w:t xml:space="preserve">&amp; </w:t>
      </w:r>
      <w:r w:rsidR="00311211">
        <w:rPr>
          <w:b/>
          <w:sz w:val="24"/>
          <w:szCs w:val="24"/>
        </w:rPr>
        <w:t>9 SEPTEMBER</w:t>
      </w:r>
      <w:r>
        <w:rPr>
          <w:b/>
          <w:sz w:val="24"/>
          <w:szCs w:val="24"/>
        </w:rPr>
        <w:t xml:space="preserve"> 2016</w:t>
      </w:r>
    </w:p>
    <w:p w:rsidR="00EE1F35" w:rsidRDefault="00EE1F35">
      <w:pPr>
        <w:rPr>
          <w:sz w:val="24"/>
          <w:szCs w:val="24"/>
        </w:rPr>
      </w:pPr>
      <w:r>
        <w:rPr>
          <w:sz w:val="24"/>
          <w:szCs w:val="24"/>
        </w:rPr>
        <w:t>In the matter between:</w:t>
      </w:r>
    </w:p>
    <w:p w:rsidR="00EE1F35" w:rsidRDefault="00EE1F35" w:rsidP="00817264">
      <w:pPr>
        <w:spacing w:line="360" w:lineRule="auto"/>
        <w:jc w:val="both"/>
        <w:rPr>
          <w:b/>
          <w:sz w:val="24"/>
          <w:szCs w:val="24"/>
        </w:rPr>
      </w:pPr>
      <w:r>
        <w:rPr>
          <w:b/>
          <w:sz w:val="24"/>
          <w:szCs w:val="24"/>
        </w:rPr>
        <w:t>RONALD MAKAZHE</w:t>
      </w:r>
      <w:r>
        <w:rPr>
          <w:b/>
          <w:sz w:val="24"/>
          <w:szCs w:val="24"/>
        </w:rPr>
        <w:tab/>
      </w:r>
      <w:r>
        <w:rPr>
          <w:b/>
          <w:sz w:val="24"/>
          <w:szCs w:val="24"/>
        </w:rPr>
        <w:tab/>
      </w:r>
      <w:r>
        <w:rPr>
          <w:b/>
          <w:sz w:val="24"/>
          <w:szCs w:val="24"/>
        </w:rPr>
        <w:tab/>
      </w:r>
      <w:r>
        <w:rPr>
          <w:b/>
          <w:sz w:val="24"/>
          <w:szCs w:val="24"/>
        </w:rPr>
        <w:tab/>
      </w:r>
      <w:r>
        <w:rPr>
          <w:b/>
          <w:sz w:val="24"/>
          <w:szCs w:val="24"/>
        </w:rPr>
        <w:tab/>
        <w:t>Appellant</w:t>
      </w:r>
    </w:p>
    <w:p w:rsidR="00EE1F35" w:rsidRDefault="00EE1F35" w:rsidP="00817264">
      <w:pPr>
        <w:spacing w:line="360" w:lineRule="auto"/>
        <w:jc w:val="both"/>
        <w:rPr>
          <w:b/>
          <w:sz w:val="24"/>
          <w:szCs w:val="24"/>
        </w:rPr>
      </w:pPr>
      <w:r>
        <w:rPr>
          <w:b/>
          <w:sz w:val="24"/>
          <w:szCs w:val="24"/>
        </w:rPr>
        <w:t>And</w:t>
      </w:r>
    </w:p>
    <w:p w:rsidR="00EE1F35" w:rsidRDefault="00EE1F35" w:rsidP="00817264">
      <w:pPr>
        <w:spacing w:line="360" w:lineRule="auto"/>
        <w:jc w:val="both"/>
        <w:rPr>
          <w:b/>
          <w:sz w:val="24"/>
          <w:szCs w:val="24"/>
        </w:rPr>
      </w:pPr>
      <w:r>
        <w:rPr>
          <w:b/>
          <w:sz w:val="24"/>
          <w:szCs w:val="24"/>
        </w:rPr>
        <w:t>UNIFREIGHT AFRICA LTD</w:t>
      </w:r>
      <w:r>
        <w:rPr>
          <w:b/>
          <w:sz w:val="24"/>
          <w:szCs w:val="24"/>
        </w:rPr>
        <w:tab/>
      </w:r>
      <w:r>
        <w:rPr>
          <w:b/>
          <w:sz w:val="24"/>
          <w:szCs w:val="24"/>
        </w:rPr>
        <w:tab/>
      </w:r>
      <w:r>
        <w:rPr>
          <w:b/>
          <w:sz w:val="24"/>
          <w:szCs w:val="24"/>
        </w:rPr>
        <w:tab/>
      </w:r>
      <w:r>
        <w:rPr>
          <w:b/>
          <w:sz w:val="24"/>
          <w:szCs w:val="24"/>
        </w:rPr>
        <w:tab/>
        <w:t xml:space="preserve">Respondent </w:t>
      </w:r>
    </w:p>
    <w:p w:rsidR="00EE1F35" w:rsidRDefault="00EE1F35" w:rsidP="00817264">
      <w:pPr>
        <w:spacing w:line="360" w:lineRule="auto"/>
        <w:jc w:val="both"/>
        <w:rPr>
          <w:sz w:val="24"/>
          <w:szCs w:val="24"/>
        </w:rPr>
      </w:pPr>
      <w:r>
        <w:rPr>
          <w:sz w:val="24"/>
          <w:szCs w:val="24"/>
        </w:rPr>
        <w:t>Before The Honourable Hove, J</w:t>
      </w:r>
    </w:p>
    <w:p w:rsidR="00EE1F35" w:rsidRDefault="00EE1F35" w:rsidP="00817264">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E F </w:t>
      </w:r>
      <w:proofErr w:type="spellStart"/>
      <w:r>
        <w:rPr>
          <w:b/>
          <w:sz w:val="24"/>
          <w:szCs w:val="24"/>
        </w:rPr>
        <w:t>Maposa</w:t>
      </w:r>
      <w:proofErr w:type="spellEnd"/>
      <w:r>
        <w:rPr>
          <w:b/>
          <w:sz w:val="24"/>
          <w:szCs w:val="24"/>
        </w:rPr>
        <w:t xml:space="preserve"> (Legal Practitioner)</w:t>
      </w:r>
    </w:p>
    <w:p w:rsidR="00EE1F35" w:rsidRDefault="00EE1F35" w:rsidP="00817264">
      <w:pPr>
        <w:spacing w:line="360" w:lineRule="auto"/>
        <w:jc w:val="both"/>
        <w:rPr>
          <w:b/>
          <w:sz w:val="24"/>
          <w:szCs w:val="24"/>
        </w:rPr>
      </w:pPr>
      <w:r>
        <w:rPr>
          <w:b/>
          <w:sz w:val="24"/>
          <w:szCs w:val="24"/>
        </w:rPr>
        <w:t>For Respondent</w:t>
      </w:r>
      <w:r>
        <w:rPr>
          <w:b/>
          <w:sz w:val="24"/>
          <w:szCs w:val="24"/>
        </w:rPr>
        <w:tab/>
      </w:r>
      <w:r>
        <w:rPr>
          <w:b/>
          <w:sz w:val="24"/>
          <w:szCs w:val="24"/>
        </w:rPr>
        <w:tab/>
        <w:t xml:space="preserve">Miss S </w:t>
      </w:r>
      <w:proofErr w:type="spellStart"/>
      <w:r>
        <w:rPr>
          <w:b/>
          <w:sz w:val="24"/>
          <w:szCs w:val="24"/>
        </w:rPr>
        <w:t>Nyagura</w:t>
      </w:r>
      <w:proofErr w:type="spellEnd"/>
      <w:r>
        <w:rPr>
          <w:b/>
          <w:sz w:val="24"/>
          <w:szCs w:val="24"/>
        </w:rPr>
        <w:t xml:space="preserve"> (Legal Practitioner)</w:t>
      </w:r>
    </w:p>
    <w:p w:rsidR="00EE1F35" w:rsidRDefault="00EE1F35" w:rsidP="00817264">
      <w:pPr>
        <w:spacing w:line="360" w:lineRule="auto"/>
        <w:jc w:val="both"/>
        <w:rPr>
          <w:b/>
          <w:sz w:val="24"/>
          <w:szCs w:val="24"/>
        </w:rPr>
      </w:pPr>
    </w:p>
    <w:p w:rsidR="00EE1F35" w:rsidRDefault="00EE1F35" w:rsidP="00817264">
      <w:pPr>
        <w:spacing w:line="360" w:lineRule="auto"/>
        <w:jc w:val="both"/>
        <w:rPr>
          <w:b/>
          <w:sz w:val="24"/>
          <w:szCs w:val="24"/>
        </w:rPr>
      </w:pPr>
      <w:r>
        <w:rPr>
          <w:b/>
          <w:sz w:val="24"/>
          <w:szCs w:val="24"/>
        </w:rPr>
        <w:t>HOVE J:</w:t>
      </w:r>
    </w:p>
    <w:p w:rsidR="00EE1F35" w:rsidRDefault="00EE1F35" w:rsidP="006C617C">
      <w:pPr>
        <w:spacing w:after="0" w:line="360" w:lineRule="auto"/>
        <w:jc w:val="both"/>
        <w:rPr>
          <w:sz w:val="24"/>
          <w:szCs w:val="24"/>
        </w:rPr>
      </w:pPr>
      <w:r>
        <w:rPr>
          <w:b/>
          <w:sz w:val="24"/>
          <w:szCs w:val="24"/>
        </w:rPr>
        <w:tab/>
      </w:r>
      <w:r>
        <w:rPr>
          <w:sz w:val="24"/>
          <w:szCs w:val="24"/>
        </w:rPr>
        <w:t>The appellant was employed as an accountant by the respondent’s engineering division.</w:t>
      </w:r>
    </w:p>
    <w:p w:rsidR="00EE1F35" w:rsidRDefault="00EE1F35" w:rsidP="006C617C">
      <w:pPr>
        <w:spacing w:after="0" w:line="360" w:lineRule="auto"/>
        <w:jc w:val="both"/>
        <w:rPr>
          <w:sz w:val="24"/>
          <w:szCs w:val="24"/>
        </w:rPr>
      </w:pPr>
      <w:r>
        <w:rPr>
          <w:sz w:val="24"/>
          <w:szCs w:val="24"/>
        </w:rPr>
        <w:tab/>
        <w:t>He was arraigned before a disciplinary committee for acts of misconduct.  He was found guilty of unsatisfactory work performance.  He was dismissed.</w:t>
      </w:r>
    </w:p>
    <w:p w:rsidR="00EE1F35" w:rsidRDefault="00EE1F35" w:rsidP="006C617C">
      <w:pPr>
        <w:spacing w:after="0" w:line="360" w:lineRule="auto"/>
        <w:jc w:val="both"/>
        <w:rPr>
          <w:sz w:val="24"/>
          <w:szCs w:val="24"/>
        </w:rPr>
      </w:pPr>
      <w:r>
        <w:rPr>
          <w:sz w:val="24"/>
          <w:szCs w:val="24"/>
        </w:rPr>
        <w:tab/>
        <w:t>This appeal is against the decision to find him guilty and to dismiss him.  But in heads of argument filed in</w:t>
      </w:r>
      <w:r w:rsidR="006C617C">
        <w:rPr>
          <w:sz w:val="24"/>
          <w:szCs w:val="24"/>
        </w:rPr>
        <w:t xml:space="preserve"> appellant’s behalf, the issue </w:t>
      </w:r>
      <w:r>
        <w:rPr>
          <w:sz w:val="24"/>
          <w:szCs w:val="24"/>
        </w:rPr>
        <w:t>of conviction is not argued it may be that the appellant had decided to abandon it and merely base his appeal on challenging the penalty imposed.</w:t>
      </w:r>
    </w:p>
    <w:p w:rsidR="00EE1F35" w:rsidRDefault="00EE1F35" w:rsidP="006C617C">
      <w:pPr>
        <w:spacing w:after="0" w:line="360" w:lineRule="auto"/>
        <w:jc w:val="both"/>
        <w:rPr>
          <w:sz w:val="24"/>
          <w:szCs w:val="24"/>
        </w:rPr>
      </w:pPr>
      <w:r>
        <w:rPr>
          <w:sz w:val="24"/>
          <w:szCs w:val="24"/>
        </w:rPr>
        <w:tab/>
        <w:t>But even if he has not abandoned his challenge to the conviction, nothing has been placed before the court to enable it to vary the decision to convict the appellant.  The conviction will accordingly stand.</w:t>
      </w:r>
    </w:p>
    <w:p w:rsidR="00EE1F35" w:rsidRDefault="00EE1F35" w:rsidP="006C617C">
      <w:pPr>
        <w:spacing w:after="0" w:line="360" w:lineRule="auto"/>
        <w:jc w:val="both"/>
        <w:rPr>
          <w:sz w:val="24"/>
          <w:szCs w:val="24"/>
        </w:rPr>
      </w:pPr>
      <w:r>
        <w:rPr>
          <w:sz w:val="24"/>
          <w:szCs w:val="24"/>
        </w:rPr>
        <w:tab/>
      </w:r>
      <w:r w:rsidRPr="00EE1F35">
        <w:rPr>
          <w:i/>
          <w:sz w:val="24"/>
          <w:szCs w:val="24"/>
        </w:rPr>
        <w:t xml:space="preserve">Vis </w:t>
      </w:r>
      <w:r>
        <w:rPr>
          <w:i/>
          <w:sz w:val="24"/>
          <w:szCs w:val="24"/>
        </w:rPr>
        <w:t xml:space="preserve">a </w:t>
      </w:r>
      <w:proofErr w:type="spellStart"/>
      <w:proofErr w:type="gramStart"/>
      <w:r>
        <w:rPr>
          <w:i/>
          <w:sz w:val="24"/>
          <w:szCs w:val="24"/>
        </w:rPr>
        <w:t>vis</w:t>
      </w:r>
      <w:proofErr w:type="spellEnd"/>
      <w:proofErr w:type="gramEnd"/>
      <w:r w:rsidRPr="00EE1F35">
        <w:rPr>
          <w:i/>
          <w:sz w:val="24"/>
          <w:szCs w:val="24"/>
        </w:rPr>
        <w:t>,</w:t>
      </w:r>
      <w:r>
        <w:rPr>
          <w:sz w:val="24"/>
          <w:szCs w:val="24"/>
        </w:rPr>
        <w:t xml:space="preserve"> the issue of penalty, the appellant denies that the offence that he was convicted of was of a serious nature.  He argued that the initial hearing committee did not make that submission.  It did not aver that the appellant will be dismissed because we have formed the decision that the offence is of a serious nature, going to the root of the contract.</w:t>
      </w:r>
    </w:p>
    <w:p w:rsidR="00EE1F35" w:rsidRDefault="00EE1F35" w:rsidP="006C617C">
      <w:pPr>
        <w:spacing w:after="0" w:line="360" w:lineRule="auto"/>
        <w:jc w:val="both"/>
        <w:rPr>
          <w:sz w:val="24"/>
          <w:szCs w:val="24"/>
        </w:rPr>
      </w:pPr>
      <w:r>
        <w:rPr>
          <w:sz w:val="24"/>
          <w:szCs w:val="24"/>
        </w:rPr>
        <w:lastRenderedPageBreak/>
        <w:tab/>
        <w:t>Further, it was argued that clause 3.3.5 of the code of conduct which the Human Resource Director relied on to justify his decision to confirm the decision to dismiss was not the one applicable to the appellant</w:t>
      </w:r>
      <w:r w:rsidR="00817264">
        <w:rPr>
          <w:sz w:val="24"/>
          <w:szCs w:val="24"/>
        </w:rPr>
        <w:t>’s case but clause 3.3.2 and in terms of the code, the agreed penalty was a written warning or a severe written warning.  It is argued that the employer failed to exercise its discretion in terms of law.  This was argued to be so, because, the code of conduct created a hierarchy of penalties which the employer was in law enjoined to comply with.</w:t>
      </w:r>
    </w:p>
    <w:p w:rsidR="00817264" w:rsidRDefault="00817264" w:rsidP="006C617C">
      <w:pPr>
        <w:spacing w:after="0" w:line="360" w:lineRule="auto"/>
        <w:jc w:val="both"/>
        <w:rPr>
          <w:sz w:val="24"/>
          <w:szCs w:val="24"/>
        </w:rPr>
      </w:pPr>
      <w:r>
        <w:rPr>
          <w:sz w:val="24"/>
          <w:szCs w:val="24"/>
        </w:rPr>
        <w:tab/>
        <w:t xml:space="preserve">Further it was argued that the employer exercised injudiciously its common law powers as the offence </w:t>
      </w:r>
      <w:r w:rsidR="00311211">
        <w:rPr>
          <w:sz w:val="24"/>
          <w:szCs w:val="24"/>
        </w:rPr>
        <w:t>c</w:t>
      </w:r>
      <w:r>
        <w:rPr>
          <w:sz w:val="24"/>
          <w:szCs w:val="24"/>
        </w:rPr>
        <w:t>om</w:t>
      </w:r>
      <w:r w:rsidR="00434F80">
        <w:rPr>
          <w:sz w:val="24"/>
          <w:szCs w:val="24"/>
        </w:rPr>
        <w:t>m</w:t>
      </w:r>
      <w:r>
        <w:rPr>
          <w:sz w:val="24"/>
          <w:szCs w:val="24"/>
        </w:rPr>
        <w:t>itted did not go to the root of the contract of employment and the conditions of employment agreed to between the parties did not make that type of offence a serious one.</w:t>
      </w:r>
    </w:p>
    <w:p w:rsidR="00817264" w:rsidRDefault="00817264" w:rsidP="006C617C">
      <w:pPr>
        <w:spacing w:after="0" w:line="360" w:lineRule="auto"/>
        <w:jc w:val="both"/>
        <w:rPr>
          <w:sz w:val="24"/>
          <w:szCs w:val="24"/>
        </w:rPr>
      </w:pPr>
      <w:r>
        <w:rPr>
          <w:sz w:val="24"/>
          <w:szCs w:val="24"/>
        </w:rPr>
        <w:tab/>
        <w:t>It was further submitted on behalf of the appellant that in any event, the common law position allowing an employer to dismiss when it is of the view that the Act of misconduct goes to the root of the contract has been altered by statute.  The Labour Act [Chapter 28:01] provides in section 12 B as follows;</w:t>
      </w:r>
    </w:p>
    <w:p w:rsidR="00817264" w:rsidRDefault="00817264" w:rsidP="00817264">
      <w:pPr>
        <w:pStyle w:val="ListParagraph"/>
        <w:numPr>
          <w:ilvl w:val="0"/>
          <w:numId w:val="1"/>
        </w:numPr>
        <w:spacing w:after="0" w:line="240" w:lineRule="auto"/>
        <w:jc w:val="both"/>
      </w:pPr>
      <w:proofErr w:type="gramStart"/>
      <w:r>
        <w:t>every</w:t>
      </w:r>
      <w:proofErr w:type="gramEnd"/>
      <w:r>
        <w:t xml:space="preserve"> employee has the right not to be unfairly dismissed.</w:t>
      </w:r>
    </w:p>
    <w:p w:rsidR="00817264" w:rsidRDefault="00817264" w:rsidP="00817264">
      <w:pPr>
        <w:pStyle w:val="ListParagraph"/>
        <w:numPr>
          <w:ilvl w:val="0"/>
          <w:numId w:val="1"/>
        </w:numPr>
        <w:spacing w:after="0" w:line="240" w:lineRule="auto"/>
        <w:jc w:val="both"/>
      </w:pPr>
      <w:r>
        <w:t>an employee is unfairly dismissed</w:t>
      </w:r>
    </w:p>
    <w:p w:rsidR="00817264" w:rsidRDefault="00B75BA0" w:rsidP="00817264">
      <w:pPr>
        <w:pStyle w:val="ListParagraph"/>
        <w:numPr>
          <w:ilvl w:val="0"/>
          <w:numId w:val="2"/>
        </w:numPr>
        <w:spacing w:after="0" w:line="240" w:lineRule="auto"/>
        <w:jc w:val="both"/>
      </w:pPr>
      <w:r>
        <w:t>if, subject to, subsection (3)</w:t>
      </w:r>
      <w:r w:rsidR="00817264">
        <w:t>, the employer fails to show that he dismiss the employee in terms of an employment code, or</w:t>
      </w:r>
    </w:p>
    <w:p w:rsidR="00817264" w:rsidRDefault="00817264" w:rsidP="00817264">
      <w:pPr>
        <w:pStyle w:val="ListParagraph"/>
        <w:numPr>
          <w:ilvl w:val="0"/>
          <w:numId w:val="2"/>
        </w:numPr>
        <w:spacing w:after="0" w:line="240" w:lineRule="auto"/>
        <w:jc w:val="both"/>
      </w:pPr>
      <w:proofErr w:type="gramStart"/>
      <w:r>
        <w:t>in</w:t>
      </w:r>
      <w:proofErr w:type="gramEnd"/>
      <w:r>
        <w:t xml:space="preserve"> the absence of an employment code, the employer shall comply with the model code made in terms of section 101 (9).</w:t>
      </w:r>
    </w:p>
    <w:p w:rsidR="00817264" w:rsidRDefault="00817264" w:rsidP="00817264">
      <w:pPr>
        <w:pStyle w:val="ListParagraph"/>
        <w:spacing w:after="0" w:line="240" w:lineRule="auto"/>
        <w:ind w:left="1440"/>
        <w:jc w:val="both"/>
      </w:pPr>
    </w:p>
    <w:p w:rsidR="00817264" w:rsidRDefault="00817264" w:rsidP="00817264">
      <w:pPr>
        <w:spacing w:after="0" w:line="360" w:lineRule="auto"/>
        <w:ind w:left="720"/>
        <w:jc w:val="both"/>
        <w:rPr>
          <w:sz w:val="24"/>
          <w:szCs w:val="24"/>
        </w:rPr>
      </w:pPr>
      <w:r>
        <w:rPr>
          <w:sz w:val="24"/>
          <w:szCs w:val="24"/>
        </w:rPr>
        <w:t xml:space="preserve">It was argued that the legislature had expressly altered the common law powers of </w:t>
      </w:r>
    </w:p>
    <w:p w:rsidR="00817264" w:rsidRDefault="00B75BA0" w:rsidP="00817264">
      <w:pPr>
        <w:spacing w:after="0" w:line="360" w:lineRule="auto"/>
        <w:jc w:val="both"/>
        <w:rPr>
          <w:sz w:val="24"/>
          <w:szCs w:val="24"/>
        </w:rPr>
      </w:pPr>
      <w:proofErr w:type="gramStart"/>
      <w:r>
        <w:rPr>
          <w:sz w:val="24"/>
          <w:szCs w:val="24"/>
        </w:rPr>
        <w:t>an</w:t>
      </w:r>
      <w:proofErr w:type="gramEnd"/>
      <w:r>
        <w:rPr>
          <w:sz w:val="24"/>
          <w:szCs w:val="24"/>
        </w:rPr>
        <w:t xml:space="preserve"> </w:t>
      </w:r>
      <w:r w:rsidR="00817264">
        <w:rPr>
          <w:sz w:val="24"/>
          <w:szCs w:val="24"/>
        </w:rPr>
        <w:t>employer to dismiss, where he could dismiss once he formed the opinion that the offence committed was a serious one going to the root of the contract of employment.  The employer was now required to show that the dismissal was in terms of the code before dismissing.</w:t>
      </w:r>
    </w:p>
    <w:p w:rsidR="00817264" w:rsidRDefault="00817264" w:rsidP="00817264">
      <w:pPr>
        <w:spacing w:after="0" w:line="360" w:lineRule="auto"/>
        <w:jc w:val="both"/>
        <w:rPr>
          <w:sz w:val="24"/>
          <w:szCs w:val="24"/>
        </w:rPr>
      </w:pPr>
      <w:r>
        <w:rPr>
          <w:sz w:val="24"/>
          <w:szCs w:val="24"/>
        </w:rPr>
        <w:tab/>
        <w:t>It was further argued that the code of conduct’s purpose is to cr</w:t>
      </w:r>
      <w:r w:rsidR="00311211">
        <w:rPr>
          <w:sz w:val="24"/>
          <w:szCs w:val="24"/>
        </w:rPr>
        <w:t>eate certainty by spelling out w</w:t>
      </w:r>
      <w:r>
        <w:rPr>
          <w:sz w:val="24"/>
          <w:szCs w:val="24"/>
        </w:rPr>
        <w:t>hat constitutes on offence in a given</w:t>
      </w:r>
      <w:r w:rsidR="00F1701E">
        <w:rPr>
          <w:sz w:val="24"/>
          <w:szCs w:val="24"/>
        </w:rPr>
        <w:t xml:space="preserve"> work place and the penalty to be imposed for the commission of such offence.  See the case of </w:t>
      </w:r>
      <w:r w:rsidR="00F1701E">
        <w:rPr>
          <w:i/>
          <w:sz w:val="24"/>
          <w:szCs w:val="24"/>
        </w:rPr>
        <w:t xml:space="preserve">OK Bazaars (Pvt) Ltd </w:t>
      </w:r>
      <w:r w:rsidR="00F1701E">
        <w:rPr>
          <w:sz w:val="24"/>
          <w:szCs w:val="24"/>
        </w:rPr>
        <w:t xml:space="preserve">v </w:t>
      </w:r>
      <w:proofErr w:type="spellStart"/>
      <w:r w:rsidR="00F1701E">
        <w:rPr>
          <w:i/>
          <w:sz w:val="24"/>
          <w:szCs w:val="24"/>
        </w:rPr>
        <w:t>Gwashu</w:t>
      </w:r>
      <w:proofErr w:type="spellEnd"/>
      <w:r w:rsidR="00F1701E">
        <w:rPr>
          <w:i/>
          <w:sz w:val="24"/>
          <w:szCs w:val="24"/>
        </w:rPr>
        <w:t xml:space="preserve"> </w:t>
      </w:r>
      <w:r w:rsidR="00F1701E">
        <w:rPr>
          <w:sz w:val="24"/>
          <w:szCs w:val="24"/>
        </w:rPr>
        <w:t>SC 96/00.</w:t>
      </w:r>
    </w:p>
    <w:p w:rsidR="00F1701E" w:rsidRDefault="00F1701E" w:rsidP="00817264">
      <w:pPr>
        <w:spacing w:after="0" w:line="360" w:lineRule="auto"/>
        <w:jc w:val="both"/>
        <w:rPr>
          <w:sz w:val="24"/>
          <w:szCs w:val="24"/>
        </w:rPr>
      </w:pPr>
      <w:r>
        <w:rPr>
          <w:sz w:val="24"/>
          <w:szCs w:val="24"/>
        </w:rPr>
        <w:tab/>
        <w:t xml:space="preserve">The appellant further argues that in </w:t>
      </w:r>
      <w:r>
        <w:rPr>
          <w:i/>
          <w:sz w:val="24"/>
          <w:szCs w:val="24"/>
        </w:rPr>
        <w:t>Tobac</w:t>
      </w:r>
      <w:r w:rsidR="00B75BA0">
        <w:rPr>
          <w:i/>
          <w:sz w:val="24"/>
          <w:szCs w:val="24"/>
        </w:rPr>
        <w:t>c</w:t>
      </w:r>
      <w:r>
        <w:rPr>
          <w:i/>
          <w:sz w:val="24"/>
          <w:szCs w:val="24"/>
        </w:rPr>
        <w:t xml:space="preserve">o Sales Floors Ltd </w:t>
      </w:r>
      <w:r>
        <w:rPr>
          <w:sz w:val="24"/>
          <w:szCs w:val="24"/>
        </w:rPr>
        <w:t xml:space="preserve">v </w:t>
      </w:r>
      <w:proofErr w:type="spellStart"/>
      <w:r>
        <w:rPr>
          <w:i/>
          <w:sz w:val="24"/>
          <w:szCs w:val="24"/>
        </w:rPr>
        <w:t>Chimwala</w:t>
      </w:r>
      <w:proofErr w:type="spellEnd"/>
      <w:r>
        <w:rPr>
          <w:i/>
          <w:sz w:val="24"/>
          <w:szCs w:val="24"/>
        </w:rPr>
        <w:t xml:space="preserve"> </w:t>
      </w:r>
      <w:r>
        <w:rPr>
          <w:sz w:val="24"/>
          <w:szCs w:val="24"/>
        </w:rPr>
        <w:t>1987 (2) ZLR 210 (S) the court established the principle</w:t>
      </w:r>
      <w:r w:rsidR="00B75BA0">
        <w:rPr>
          <w:sz w:val="24"/>
          <w:szCs w:val="24"/>
        </w:rPr>
        <w:t xml:space="preserve"> that summary dismissal is not always the correct decision even when the employer holds the view that the offence in question is </w:t>
      </w:r>
      <w:r w:rsidR="00B75BA0">
        <w:rPr>
          <w:sz w:val="24"/>
          <w:szCs w:val="24"/>
        </w:rPr>
        <w:lastRenderedPageBreak/>
        <w:t>contrary to the conditions of employment.  The employer still has to make a decision on whether the misconduct warrants dismissal or it is trivial or excusable.  The court stated that</w:t>
      </w:r>
    </w:p>
    <w:p w:rsidR="00B75BA0" w:rsidRDefault="00B75BA0" w:rsidP="00D17526">
      <w:pPr>
        <w:spacing w:after="0" w:line="240" w:lineRule="auto"/>
        <w:ind w:left="1440"/>
        <w:jc w:val="both"/>
      </w:pPr>
      <w:r>
        <w:t xml:space="preserve">“The seriousness of the misconduct is to be measured by whether it is inconsistent with the fulfilment of the express or implied terms of his contract.  If it is then it is serious enough </w:t>
      </w:r>
      <w:r w:rsidRPr="00B75BA0">
        <w:rPr>
          <w:i/>
        </w:rPr>
        <w:t>prima facie</w:t>
      </w:r>
      <w:r>
        <w:rPr>
          <w:i/>
        </w:rPr>
        <w:t xml:space="preserve"> </w:t>
      </w:r>
      <w:r w:rsidRPr="00B75BA0">
        <w:t>to warrant summary dismissal</w:t>
      </w:r>
      <w:r w:rsidR="00D17526">
        <w:t>.  Then it is up to the employee to show that his misconduct with the fulfilment of the conditions of his contract was so trivial so inadvertent, so abhorrent or otherwise excusable, that the remedy of summary dismissal was not warranted.”</w:t>
      </w:r>
    </w:p>
    <w:p w:rsidR="006C617C" w:rsidRDefault="006C617C" w:rsidP="00D17526">
      <w:pPr>
        <w:spacing w:after="0" w:line="240" w:lineRule="auto"/>
        <w:ind w:left="1440"/>
        <w:jc w:val="both"/>
      </w:pPr>
    </w:p>
    <w:p w:rsidR="00D17526" w:rsidRDefault="00D17526" w:rsidP="00D17526">
      <w:pPr>
        <w:spacing w:after="0" w:line="360" w:lineRule="auto"/>
        <w:jc w:val="both"/>
        <w:rPr>
          <w:sz w:val="24"/>
          <w:szCs w:val="24"/>
        </w:rPr>
      </w:pPr>
      <w:r>
        <w:tab/>
      </w:r>
      <w:r>
        <w:rPr>
          <w:sz w:val="24"/>
          <w:szCs w:val="24"/>
        </w:rPr>
        <w:t xml:space="preserve">The appellant explains that his offence was such that dismissal was not warranted.  In paragraph 21 of his heads of arguments he lists the circumstances and reasons why he is of the view that his offence ought not to have been visited with the penalty of dismissal.  He argues that </w:t>
      </w:r>
      <w:r w:rsidR="00311211">
        <w:rPr>
          <w:sz w:val="24"/>
          <w:szCs w:val="24"/>
        </w:rPr>
        <w:t>the negligence was not of a serious nature</w:t>
      </w:r>
      <w:r>
        <w:rPr>
          <w:sz w:val="24"/>
          <w:szCs w:val="24"/>
        </w:rPr>
        <w:t>.</w:t>
      </w:r>
    </w:p>
    <w:p w:rsidR="00D17526" w:rsidRDefault="00D17526" w:rsidP="00D17526">
      <w:pPr>
        <w:spacing w:after="0" w:line="360" w:lineRule="auto"/>
        <w:jc w:val="both"/>
        <w:rPr>
          <w:sz w:val="24"/>
          <w:szCs w:val="24"/>
        </w:rPr>
      </w:pPr>
      <w:r>
        <w:rPr>
          <w:sz w:val="24"/>
          <w:szCs w:val="24"/>
        </w:rPr>
        <w:tab/>
        <w:t xml:space="preserve">He argued further that the law in relation to the establishment of </w:t>
      </w:r>
      <w:r w:rsidR="00434F80">
        <w:rPr>
          <w:sz w:val="24"/>
          <w:szCs w:val="24"/>
        </w:rPr>
        <w:t xml:space="preserve">the </w:t>
      </w:r>
      <w:r w:rsidR="006C617C">
        <w:rPr>
          <w:sz w:val="24"/>
          <w:szCs w:val="24"/>
        </w:rPr>
        <w:t xml:space="preserve"> </w:t>
      </w:r>
      <w:r>
        <w:rPr>
          <w:sz w:val="24"/>
          <w:szCs w:val="24"/>
        </w:rPr>
        <w:t>employment</w:t>
      </w:r>
      <w:r w:rsidR="00311211">
        <w:rPr>
          <w:sz w:val="24"/>
          <w:szCs w:val="24"/>
        </w:rPr>
        <w:t xml:space="preserve"> code</w:t>
      </w:r>
      <w:r>
        <w:rPr>
          <w:sz w:val="24"/>
          <w:szCs w:val="24"/>
        </w:rPr>
        <w:t xml:space="preserve"> provides for the fact that an employment code shall provide for the penalties for any breach of the employment code</w:t>
      </w:r>
      <w:r w:rsidR="00665F66">
        <w:rPr>
          <w:sz w:val="24"/>
          <w:szCs w:val="24"/>
        </w:rPr>
        <w:t xml:space="preserve"> in  terms of section 101 (3) (c) of the Labour Act.  The provisions of the code of conduct are thus clothed with legal status and are binding on the parties involved.</w:t>
      </w:r>
    </w:p>
    <w:p w:rsidR="00665F66" w:rsidRDefault="00665F66" w:rsidP="00D17526">
      <w:pPr>
        <w:spacing w:after="0" w:line="360" w:lineRule="auto"/>
        <w:jc w:val="both"/>
        <w:rPr>
          <w:sz w:val="24"/>
          <w:szCs w:val="24"/>
        </w:rPr>
      </w:pPr>
      <w:r>
        <w:rPr>
          <w:sz w:val="24"/>
          <w:szCs w:val="24"/>
        </w:rPr>
        <w:tab/>
        <w:t>Further it was submitted that section 65 (1) and (4) of the Constitution of Zimbabwe guarantees an employee’s right to fair labour standards and to just equitable and satisfactory conditions of work.  Thus when faced with a common law position which is unfair, the constitution should prevail.</w:t>
      </w:r>
    </w:p>
    <w:p w:rsidR="00665F66" w:rsidRDefault="00665F66" w:rsidP="00D17526">
      <w:pPr>
        <w:spacing w:after="0" w:line="360" w:lineRule="auto"/>
        <w:jc w:val="both"/>
        <w:rPr>
          <w:sz w:val="24"/>
          <w:szCs w:val="24"/>
        </w:rPr>
      </w:pPr>
      <w:r>
        <w:rPr>
          <w:sz w:val="24"/>
          <w:szCs w:val="24"/>
        </w:rPr>
        <w:tab/>
        <w:t>The respondent argued that the employer has a right to dismiss in terms of its common law right to dismiss for a serious offence going to the roots of the contract.</w:t>
      </w:r>
    </w:p>
    <w:p w:rsidR="00665F66" w:rsidRDefault="00665F66" w:rsidP="00D17526">
      <w:pPr>
        <w:spacing w:after="0" w:line="360" w:lineRule="auto"/>
        <w:jc w:val="both"/>
        <w:rPr>
          <w:sz w:val="24"/>
          <w:szCs w:val="24"/>
        </w:rPr>
      </w:pPr>
      <w:r>
        <w:rPr>
          <w:sz w:val="24"/>
          <w:szCs w:val="24"/>
        </w:rPr>
        <w:tab/>
        <w:t>Reliance was placed on the cases of;</w:t>
      </w:r>
    </w:p>
    <w:p w:rsidR="00665F66" w:rsidRDefault="00665F66" w:rsidP="00665F66">
      <w:pPr>
        <w:pStyle w:val="ListParagraph"/>
        <w:numPr>
          <w:ilvl w:val="0"/>
          <w:numId w:val="3"/>
        </w:numPr>
        <w:spacing w:after="0" w:line="360" w:lineRule="auto"/>
        <w:jc w:val="both"/>
        <w:rPr>
          <w:sz w:val="24"/>
          <w:szCs w:val="24"/>
        </w:rPr>
      </w:pPr>
      <w:r>
        <w:rPr>
          <w:i/>
          <w:sz w:val="24"/>
          <w:szCs w:val="24"/>
        </w:rPr>
        <w:t xml:space="preserve">Toyota Zimbabwe </w:t>
      </w:r>
      <w:r>
        <w:rPr>
          <w:sz w:val="24"/>
          <w:szCs w:val="24"/>
        </w:rPr>
        <w:t xml:space="preserve">v </w:t>
      </w:r>
      <w:proofErr w:type="spellStart"/>
      <w:r>
        <w:rPr>
          <w:i/>
          <w:sz w:val="24"/>
          <w:szCs w:val="24"/>
        </w:rPr>
        <w:t>Posi</w:t>
      </w:r>
      <w:proofErr w:type="spellEnd"/>
      <w:r>
        <w:rPr>
          <w:i/>
          <w:sz w:val="24"/>
          <w:szCs w:val="24"/>
        </w:rPr>
        <w:t xml:space="preserve"> </w:t>
      </w:r>
      <w:r>
        <w:rPr>
          <w:sz w:val="24"/>
          <w:szCs w:val="24"/>
        </w:rPr>
        <w:t>SC 55/07</w:t>
      </w:r>
    </w:p>
    <w:p w:rsidR="00665F66" w:rsidRDefault="00665F66" w:rsidP="00665F66">
      <w:pPr>
        <w:pStyle w:val="ListParagraph"/>
        <w:numPr>
          <w:ilvl w:val="0"/>
          <w:numId w:val="3"/>
        </w:numPr>
        <w:spacing w:after="0" w:line="360" w:lineRule="auto"/>
        <w:jc w:val="both"/>
        <w:rPr>
          <w:sz w:val="24"/>
          <w:szCs w:val="24"/>
        </w:rPr>
      </w:pPr>
      <w:r>
        <w:rPr>
          <w:i/>
          <w:sz w:val="24"/>
          <w:szCs w:val="24"/>
        </w:rPr>
        <w:t xml:space="preserve">DHL International </w:t>
      </w:r>
      <w:r>
        <w:rPr>
          <w:sz w:val="24"/>
          <w:szCs w:val="24"/>
        </w:rPr>
        <w:t xml:space="preserve">v </w:t>
      </w:r>
      <w:proofErr w:type="spellStart"/>
      <w:r>
        <w:rPr>
          <w:i/>
          <w:sz w:val="24"/>
          <w:szCs w:val="24"/>
        </w:rPr>
        <w:t>Tinofireyi</w:t>
      </w:r>
      <w:proofErr w:type="spellEnd"/>
      <w:r>
        <w:rPr>
          <w:i/>
          <w:sz w:val="24"/>
          <w:szCs w:val="24"/>
        </w:rPr>
        <w:t xml:space="preserve"> </w:t>
      </w:r>
      <w:r>
        <w:rPr>
          <w:sz w:val="24"/>
          <w:szCs w:val="24"/>
        </w:rPr>
        <w:t>SC 80/14</w:t>
      </w:r>
    </w:p>
    <w:p w:rsidR="00665F66" w:rsidRDefault="00665F66" w:rsidP="00665F66">
      <w:pPr>
        <w:pStyle w:val="ListParagraph"/>
        <w:numPr>
          <w:ilvl w:val="0"/>
          <w:numId w:val="3"/>
        </w:numPr>
        <w:spacing w:after="0" w:line="360" w:lineRule="auto"/>
        <w:jc w:val="both"/>
        <w:rPr>
          <w:sz w:val="24"/>
          <w:szCs w:val="24"/>
        </w:rPr>
      </w:pPr>
      <w:proofErr w:type="spellStart"/>
      <w:r w:rsidRPr="00380B17">
        <w:rPr>
          <w:i/>
          <w:sz w:val="24"/>
          <w:szCs w:val="24"/>
        </w:rPr>
        <w:t>Mvere</w:t>
      </w:r>
      <w:proofErr w:type="spellEnd"/>
      <w:r w:rsidRPr="00380B17">
        <w:rPr>
          <w:i/>
          <w:sz w:val="24"/>
          <w:szCs w:val="24"/>
        </w:rPr>
        <w:t xml:space="preserve"> </w:t>
      </w:r>
      <w:r w:rsidRPr="00380B17">
        <w:rPr>
          <w:sz w:val="24"/>
          <w:szCs w:val="24"/>
        </w:rPr>
        <w:t xml:space="preserve">v </w:t>
      </w:r>
      <w:proofErr w:type="spellStart"/>
      <w:r w:rsidRPr="00380B17">
        <w:rPr>
          <w:i/>
          <w:sz w:val="24"/>
          <w:szCs w:val="24"/>
        </w:rPr>
        <w:t>Tanganda</w:t>
      </w:r>
      <w:proofErr w:type="spellEnd"/>
      <w:r w:rsidR="00380B17" w:rsidRPr="00380B17">
        <w:rPr>
          <w:i/>
          <w:sz w:val="24"/>
          <w:szCs w:val="24"/>
        </w:rPr>
        <w:t xml:space="preserve"> Tea Ltd</w:t>
      </w:r>
      <w:r w:rsidR="00380B17">
        <w:rPr>
          <w:sz w:val="24"/>
          <w:szCs w:val="24"/>
        </w:rPr>
        <w:t xml:space="preserve"> SC 130/04</w:t>
      </w:r>
    </w:p>
    <w:p w:rsidR="00380B17" w:rsidRPr="00277957" w:rsidRDefault="00380B17" w:rsidP="00277957">
      <w:pPr>
        <w:pStyle w:val="ListParagraph"/>
        <w:numPr>
          <w:ilvl w:val="0"/>
          <w:numId w:val="3"/>
        </w:numPr>
        <w:spacing w:after="0" w:line="360" w:lineRule="auto"/>
        <w:jc w:val="both"/>
        <w:rPr>
          <w:sz w:val="24"/>
          <w:szCs w:val="24"/>
        </w:rPr>
      </w:pPr>
      <w:r>
        <w:rPr>
          <w:i/>
          <w:sz w:val="24"/>
          <w:szCs w:val="24"/>
        </w:rPr>
        <w:t xml:space="preserve">Standard Chartered </w:t>
      </w:r>
      <w:r w:rsidRPr="00380B17">
        <w:rPr>
          <w:sz w:val="24"/>
          <w:szCs w:val="24"/>
        </w:rPr>
        <w:t>v</w:t>
      </w:r>
      <w:r>
        <w:rPr>
          <w:i/>
          <w:sz w:val="24"/>
          <w:szCs w:val="24"/>
        </w:rPr>
        <w:t xml:space="preserve"> </w:t>
      </w:r>
      <w:proofErr w:type="spellStart"/>
      <w:r>
        <w:rPr>
          <w:i/>
          <w:sz w:val="24"/>
          <w:szCs w:val="24"/>
        </w:rPr>
        <w:t>Chapuka</w:t>
      </w:r>
      <w:proofErr w:type="spellEnd"/>
      <w:r>
        <w:rPr>
          <w:i/>
          <w:sz w:val="24"/>
          <w:szCs w:val="24"/>
        </w:rPr>
        <w:t xml:space="preserve"> </w:t>
      </w:r>
      <w:r w:rsidRPr="00380B17">
        <w:rPr>
          <w:sz w:val="24"/>
          <w:szCs w:val="24"/>
        </w:rPr>
        <w:t>SC 125/04</w:t>
      </w:r>
    </w:p>
    <w:p w:rsidR="00665F66" w:rsidRDefault="00380B17" w:rsidP="00380B17">
      <w:pPr>
        <w:pStyle w:val="ListParagraph"/>
        <w:spacing w:after="0" w:line="360" w:lineRule="auto"/>
        <w:jc w:val="both"/>
        <w:rPr>
          <w:sz w:val="24"/>
          <w:szCs w:val="24"/>
        </w:rPr>
      </w:pPr>
      <w:r>
        <w:rPr>
          <w:sz w:val="24"/>
          <w:szCs w:val="24"/>
        </w:rPr>
        <w:t xml:space="preserve">It argued that an appellate court cannot interfere with a lower court or </w:t>
      </w:r>
      <w:proofErr w:type="gramStart"/>
      <w:r>
        <w:rPr>
          <w:sz w:val="24"/>
          <w:szCs w:val="24"/>
        </w:rPr>
        <w:t>tribunal’s</w:t>
      </w:r>
      <w:proofErr w:type="gramEnd"/>
      <w:r>
        <w:rPr>
          <w:sz w:val="24"/>
          <w:szCs w:val="24"/>
        </w:rPr>
        <w:t xml:space="preserve"> </w:t>
      </w:r>
    </w:p>
    <w:p w:rsidR="00380B17" w:rsidRDefault="00380B17" w:rsidP="00380B17">
      <w:pPr>
        <w:spacing w:after="0" w:line="360" w:lineRule="auto"/>
        <w:jc w:val="both"/>
        <w:rPr>
          <w:sz w:val="24"/>
          <w:szCs w:val="24"/>
        </w:rPr>
      </w:pPr>
      <w:proofErr w:type="gramStart"/>
      <w:r w:rsidRPr="00380B17">
        <w:rPr>
          <w:sz w:val="24"/>
          <w:szCs w:val="24"/>
        </w:rPr>
        <w:t>discretion</w:t>
      </w:r>
      <w:proofErr w:type="gramEnd"/>
      <w:r w:rsidRPr="00380B17">
        <w:rPr>
          <w:sz w:val="24"/>
          <w:szCs w:val="24"/>
        </w:rPr>
        <w:t xml:space="preserve"> if the exercise of discretion has been exercised on judicial grounds and for sound reasons as was the case </w:t>
      </w:r>
      <w:r w:rsidRPr="00380B17">
        <w:rPr>
          <w:i/>
          <w:sz w:val="24"/>
          <w:szCs w:val="24"/>
        </w:rPr>
        <w:t xml:space="preserve">in </w:t>
      </w:r>
      <w:proofErr w:type="spellStart"/>
      <w:r w:rsidRPr="00380B17">
        <w:rPr>
          <w:i/>
          <w:sz w:val="24"/>
          <w:szCs w:val="24"/>
        </w:rPr>
        <w:t>casu</w:t>
      </w:r>
      <w:proofErr w:type="spellEnd"/>
      <w:r w:rsidRPr="00380B17">
        <w:rPr>
          <w:sz w:val="24"/>
          <w:szCs w:val="24"/>
        </w:rPr>
        <w:t>.</w:t>
      </w:r>
    </w:p>
    <w:p w:rsidR="00380B17" w:rsidRDefault="00380B17" w:rsidP="00380B17">
      <w:pPr>
        <w:spacing w:after="0" w:line="360" w:lineRule="auto"/>
        <w:jc w:val="both"/>
        <w:rPr>
          <w:sz w:val="24"/>
          <w:szCs w:val="24"/>
        </w:rPr>
      </w:pPr>
      <w:r>
        <w:rPr>
          <w:sz w:val="24"/>
          <w:szCs w:val="24"/>
        </w:rPr>
        <w:tab/>
      </w:r>
      <w:r w:rsidR="00311211">
        <w:rPr>
          <w:sz w:val="24"/>
          <w:szCs w:val="24"/>
        </w:rPr>
        <w:t xml:space="preserve">It </w:t>
      </w:r>
      <w:r>
        <w:rPr>
          <w:sz w:val="24"/>
          <w:szCs w:val="24"/>
        </w:rPr>
        <w:t>was argued</w:t>
      </w:r>
      <w:r w:rsidR="00311211">
        <w:rPr>
          <w:sz w:val="24"/>
          <w:szCs w:val="24"/>
        </w:rPr>
        <w:t xml:space="preserve"> that the Supreme Court</w:t>
      </w:r>
      <w:r>
        <w:rPr>
          <w:sz w:val="24"/>
          <w:szCs w:val="24"/>
        </w:rPr>
        <w:t xml:space="preserve">, held in the </w:t>
      </w:r>
      <w:r>
        <w:rPr>
          <w:i/>
          <w:sz w:val="24"/>
          <w:szCs w:val="24"/>
        </w:rPr>
        <w:t xml:space="preserve">Toyota Zimbabwe </w:t>
      </w:r>
      <w:r>
        <w:rPr>
          <w:sz w:val="24"/>
          <w:szCs w:val="24"/>
        </w:rPr>
        <w:t xml:space="preserve">case </w:t>
      </w:r>
      <w:r>
        <w:rPr>
          <w:i/>
          <w:sz w:val="24"/>
          <w:szCs w:val="24"/>
        </w:rPr>
        <w:t>(supra)</w:t>
      </w:r>
      <w:r>
        <w:rPr>
          <w:sz w:val="24"/>
          <w:szCs w:val="24"/>
        </w:rPr>
        <w:t xml:space="preserve"> that</w:t>
      </w:r>
    </w:p>
    <w:p w:rsidR="00380B17" w:rsidRDefault="00380B17" w:rsidP="00380B17">
      <w:pPr>
        <w:spacing w:after="0" w:line="240" w:lineRule="auto"/>
        <w:ind w:left="1440"/>
        <w:jc w:val="both"/>
      </w:pPr>
      <w:r>
        <w:lastRenderedPageBreak/>
        <w:t xml:space="preserve">“We are bound by the rule of construction to the effect that we must presume that there is no intention to alter the common law.  As Mr Zhou put it, the Labour </w:t>
      </w:r>
      <w:proofErr w:type="gramStart"/>
      <w:r>
        <w:t>Act  contains</w:t>
      </w:r>
      <w:proofErr w:type="gramEnd"/>
      <w:r>
        <w:t xml:space="preserve"> no provisions which either expressly or by implication purports to alter the common law principle that an employer has a right to dismiss an employee following conviction for a misconduct of a material nature going to the root of the employer/employee relationship.  A code of conduct cannot alter or abrogate a principle of the common law.  Code of conduct is a product of an agreement.”</w:t>
      </w:r>
    </w:p>
    <w:p w:rsidR="00380B17" w:rsidRPr="00380B17" w:rsidRDefault="00380B17" w:rsidP="00380B17">
      <w:pPr>
        <w:spacing w:after="0" w:line="240" w:lineRule="auto"/>
        <w:ind w:left="1440"/>
        <w:jc w:val="both"/>
      </w:pPr>
    </w:p>
    <w:p w:rsidR="00380B17" w:rsidRDefault="00380B17" w:rsidP="00380B17">
      <w:pPr>
        <w:spacing w:after="0" w:line="360" w:lineRule="auto"/>
        <w:jc w:val="both"/>
        <w:rPr>
          <w:sz w:val="24"/>
          <w:szCs w:val="24"/>
        </w:rPr>
      </w:pPr>
      <w:r>
        <w:rPr>
          <w:sz w:val="24"/>
          <w:szCs w:val="24"/>
        </w:rPr>
        <w:tab/>
        <w:t xml:space="preserve">Again in the case of </w:t>
      </w:r>
      <w:r>
        <w:rPr>
          <w:i/>
          <w:sz w:val="24"/>
          <w:szCs w:val="24"/>
        </w:rPr>
        <w:t xml:space="preserve">DHL International (Pvt) Ltd </w:t>
      </w:r>
      <w:r>
        <w:rPr>
          <w:sz w:val="24"/>
          <w:szCs w:val="24"/>
        </w:rPr>
        <w:t xml:space="preserve">v </w:t>
      </w:r>
      <w:r>
        <w:rPr>
          <w:i/>
          <w:sz w:val="24"/>
          <w:szCs w:val="24"/>
        </w:rPr>
        <w:t xml:space="preserve">Kevin </w:t>
      </w:r>
      <w:proofErr w:type="spellStart"/>
      <w:r>
        <w:rPr>
          <w:i/>
          <w:sz w:val="24"/>
          <w:szCs w:val="24"/>
        </w:rPr>
        <w:t>Tofireyi</w:t>
      </w:r>
      <w:proofErr w:type="spellEnd"/>
      <w:r>
        <w:rPr>
          <w:i/>
          <w:sz w:val="24"/>
          <w:szCs w:val="24"/>
        </w:rPr>
        <w:t xml:space="preserve"> </w:t>
      </w:r>
      <w:r>
        <w:rPr>
          <w:sz w:val="24"/>
          <w:szCs w:val="24"/>
        </w:rPr>
        <w:t xml:space="preserve">SC 80/14 the court reaffirmed its position in the </w:t>
      </w:r>
      <w:r>
        <w:rPr>
          <w:i/>
          <w:sz w:val="24"/>
          <w:szCs w:val="24"/>
        </w:rPr>
        <w:t>Toyota (</w:t>
      </w:r>
      <w:r w:rsidRPr="00380B17">
        <w:rPr>
          <w:sz w:val="24"/>
          <w:szCs w:val="24"/>
        </w:rPr>
        <w:t>case)</w:t>
      </w:r>
      <w:r>
        <w:rPr>
          <w:sz w:val="24"/>
          <w:szCs w:val="24"/>
        </w:rPr>
        <w:t xml:space="preserve"> and stated that</w:t>
      </w:r>
    </w:p>
    <w:p w:rsidR="00380B17" w:rsidRPr="00AD0E2F" w:rsidRDefault="00380B17" w:rsidP="00380B17">
      <w:pPr>
        <w:spacing w:after="0" w:line="240" w:lineRule="auto"/>
        <w:ind w:left="1440"/>
        <w:jc w:val="both"/>
      </w:pPr>
      <w:r w:rsidRPr="00AD0E2F">
        <w:t>“The crisp issue for determination is therefore</w:t>
      </w:r>
      <w:r w:rsidRPr="00AD0E2F">
        <w:tab/>
        <w:t xml:space="preserve"> whether the provision of a code of conduct can override, the therefore alter, the common law principles governing an employer’s right to dismiss and employee for misconduct that goes to the r</w:t>
      </w:r>
      <w:r w:rsidR="00AD0E2F">
        <w:t>oot of the employment contract.</w:t>
      </w:r>
    </w:p>
    <w:p w:rsidR="00380B17" w:rsidRPr="00AD0E2F" w:rsidRDefault="00AD0E2F" w:rsidP="00AD0E2F">
      <w:pPr>
        <w:spacing w:after="0" w:line="240" w:lineRule="auto"/>
        <w:ind w:left="1440"/>
        <w:jc w:val="both"/>
      </w:pPr>
      <w:r w:rsidRPr="00AD0E2F">
        <w:t xml:space="preserve">--- it is </w:t>
      </w:r>
      <w:r w:rsidR="00311211">
        <w:t xml:space="preserve">a </w:t>
      </w:r>
      <w:r w:rsidRPr="00AD0E2F">
        <w:t>common law position that commission by an employee of conduct inconsistent with the fulfilment of express or implied conditions of the contract of employment entitles the employer to dismiss him if the circumstances of the commission of the offence shows that the continuance of the normal employer employee relationship has in effect been terminated.”</w:t>
      </w:r>
    </w:p>
    <w:p w:rsidR="00AD0E2F" w:rsidRPr="00AD0E2F" w:rsidRDefault="00AD0E2F" w:rsidP="00AD0E2F">
      <w:pPr>
        <w:spacing w:after="0" w:line="240" w:lineRule="auto"/>
        <w:jc w:val="both"/>
      </w:pPr>
      <w:r w:rsidRPr="00AD0E2F">
        <w:tab/>
      </w:r>
    </w:p>
    <w:p w:rsidR="00380B17" w:rsidRDefault="00380B17" w:rsidP="00380B17">
      <w:pPr>
        <w:spacing w:after="0" w:line="360" w:lineRule="auto"/>
        <w:jc w:val="both"/>
        <w:rPr>
          <w:sz w:val="24"/>
          <w:szCs w:val="24"/>
        </w:rPr>
      </w:pPr>
      <w:r>
        <w:rPr>
          <w:sz w:val="24"/>
          <w:szCs w:val="24"/>
        </w:rPr>
        <w:tab/>
      </w:r>
      <w:r w:rsidR="00AD0E2F">
        <w:rPr>
          <w:sz w:val="24"/>
          <w:szCs w:val="24"/>
        </w:rPr>
        <w:t>I think the Supreme Court has made its position on the applicability of codes of conduct quiet clear in the cases cited.  I do not think it is now open to this court to hold that the provisions of a code of conduct have the effect of nullifying the employer/employees common law rights.</w:t>
      </w:r>
    </w:p>
    <w:p w:rsidR="00AD0E2F" w:rsidRDefault="00AD0E2F" w:rsidP="00380B17">
      <w:pPr>
        <w:spacing w:after="0" w:line="360" w:lineRule="auto"/>
        <w:jc w:val="both"/>
        <w:rPr>
          <w:sz w:val="24"/>
          <w:szCs w:val="24"/>
        </w:rPr>
      </w:pPr>
      <w:r>
        <w:rPr>
          <w:sz w:val="24"/>
          <w:szCs w:val="24"/>
        </w:rPr>
        <w:tab/>
      </w:r>
      <w:bookmarkStart w:id="0" w:name="_GoBack"/>
      <w:bookmarkEnd w:id="0"/>
      <w:r>
        <w:rPr>
          <w:sz w:val="24"/>
          <w:szCs w:val="24"/>
        </w:rPr>
        <w:tab/>
        <w:t>In the result, the court finds in line with the decisions of the Supreme Court that the employer had the right to dismiss the appellant for the acts of misconduct that it believes are serious and going to the root of the contract.</w:t>
      </w:r>
    </w:p>
    <w:p w:rsidR="00AD0E2F" w:rsidRDefault="00AD0E2F" w:rsidP="00380B17">
      <w:pPr>
        <w:spacing w:after="0" w:line="360" w:lineRule="auto"/>
        <w:jc w:val="both"/>
        <w:rPr>
          <w:sz w:val="24"/>
          <w:szCs w:val="24"/>
        </w:rPr>
      </w:pPr>
      <w:r>
        <w:rPr>
          <w:sz w:val="24"/>
          <w:szCs w:val="24"/>
        </w:rPr>
        <w:tab/>
        <w:t>In the premises, the appeal is dismissed.</w:t>
      </w:r>
    </w:p>
    <w:p w:rsidR="00AD0E2F" w:rsidRDefault="00AD0E2F" w:rsidP="00AD0E2F">
      <w:pPr>
        <w:spacing w:after="0" w:line="360" w:lineRule="auto"/>
        <w:ind w:firstLine="720"/>
        <w:jc w:val="both"/>
        <w:rPr>
          <w:sz w:val="24"/>
          <w:szCs w:val="24"/>
        </w:rPr>
      </w:pPr>
      <w:r>
        <w:rPr>
          <w:sz w:val="24"/>
          <w:szCs w:val="24"/>
        </w:rPr>
        <w:t>Each party will bear its own costs.</w:t>
      </w:r>
    </w:p>
    <w:p w:rsidR="00AD0E2F" w:rsidRDefault="00AD0E2F" w:rsidP="00AD0E2F">
      <w:pPr>
        <w:spacing w:after="0" w:line="360" w:lineRule="auto"/>
        <w:jc w:val="both"/>
        <w:rPr>
          <w:sz w:val="24"/>
          <w:szCs w:val="24"/>
        </w:rPr>
      </w:pPr>
    </w:p>
    <w:p w:rsidR="00AD0E2F" w:rsidRDefault="00AD0E2F" w:rsidP="00AD0E2F">
      <w:pPr>
        <w:spacing w:after="0" w:line="360" w:lineRule="auto"/>
        <w:jc w:val="both"/>
        <w:rPr>
          <w:sz w:val="24"/>
          <w:szCs w:val="24"/>
        </w:rPr>
      </w:pPr>
    </w:p>
    <w:p w:rsidR="00AD0E2F" w:rsidRDefault="00AD0E2F" w:rsidP="00AD0E2F">
      <w:pPr>
        <w:spacing w:after="0" w:line="360" w:lineRule="auto"/>
        <w:jc w:val="both"/>
      </w:pPr>
      <w:proofErr w:type="spellStart"/>
      <w:r>
        <w:rPr>
          <w:i/>
        </w:rPr>
        <w:t>Chierenje</w:t>
      </w:r>
      <w:proofErr w:type="spellEnd"/>
      <w:r>
        <w:rPr>
          <w:i/>
        </w:rPr>
        <w:t xml:space="preserve"> Legal Practitioners, </w:t>
      </w:r>
      <w:r>
        <w:t>appellant’s legal practitioners</w:t>
      </w:r>
    </w:p>
    <w:p w:rsidR="00817264" w:rsidRPr="00817264" w:rsidRDefault="00AD0E2F" w:rsidP="00AD0E2F">
      <w:pPr>
        <w:spacing w:after="0" w:line="360" w:lineRule="auto"/>
        <w:jc w:val="both"/>
        <w:rPr>
          <w:sz w:val="24"/>
          <w:szCs w:val="24"/>
        </w:rPr>
      </w:pPr>
      <w:proofErr w:type="spellStart"/>
      <w:r w:rsidRPr="00AD0E2F">
        <w:rPr>
          <w:i/>
        </w:rPr>
        <w:t>Matsikidze</w:t>
      </w:r>
      <w:proofErr w:type="spellEnd"/>
      <w:r w:rsidRPr="00AD0E2F">
        <w:rPr>
          <w:i/>
        </w:rPr>
        <w:t xml:space="preserve"> &amp; </w:t>
      </w:r>
      <w:proofErr w:type="spellStart"/>
      <w:r w:rsidRPr="00AD0E2F">
        <w:rPr>
          <w:i/>
        </w:rPr>
        <w:t>Mucheche</w:t>
      </w:r>
      <w:proofErr w:type="spellEnd"/>
      <w:r>
        <w:t xml:space="preserve">, </w:t>
      </w:r>
      <w:r w:rsidRPr="00AD0E2F">
        <w:t>respondent’s legal practitioners</w:t>
      </w:r>
    </w:p>
    <w:sectPr w:rsidR="00817264" w:rsidRPr="00817264" w:rsidSect="0081726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75" w:rsidRDefault="00A46B75" w:rsidP="00817264">
      <w:pPr>
        <w:spacing w:after="0" w:line="240" w:lineRule="auto"/>
      </w:pPr>
      <w:r>
        <w:separator/>
      </w:r>
    </w:p>
  </w:endnote>
  <w:endnote w:type="continuationSeparator" w:id="0">
    <w:p w:rsidR="00A46B75" w:rsidRDefault="00A46B75" w:rsidP="0081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812646"/>
      <w:docPartObj>
        <w:docPartGallery w:val="Page Numbers (Bottom of Page)"/>
        <w:docPartUnique/>
      </w:docPartObj>
    </w:sdtPr>
    <w:sdtEndPr>
      <w:rPr>
        <w:noProof/>
      </w:rPr>
    </w:sdtEndPr>
    <w:sdtContent>
      <w:p w:rsidR="00380B17" w:rsidRDefault="00380B17">
        <w:pPr>
          <w:pStyle w:val="Footer"/>
          <w:jc w:val="right"/>
        </w:pPr>
        <w:r>
          <w:fldChar w:fldCharType="begin"/>
        </w:r>
        <w:r>
          <w:instrText xml:space="preserve"> PAGE   \* MERGEFORMAT </w:instrText>
        </w:r>
        <w:r>
          <w:fldChar w:fldCharType="separate"/>
        </w:r>
        <w:r w:rsidR="00A44928">
          <w:rPr>
            <w:noProof/>
          </w:rPr>
          <w:t>4</w:t>
        </w:r>
        <w:r>
          <w:rPr>
            <w:noProof/>
          </w:rPr>
          <w:fldChar w:fldCharType="end"/>
        </w:r>
      </w:p>
    </w:sdtContent>
  </w:sdt>
  <w:p w:rsidR="00380B17" w:rsidRDefault="00380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75" w:rsidRDefault="00A46B75" w:rsidP="00817264">
      <w:pPr>
        <w:spacing w:after="0" w:line="240" w:lineRule="auto"/>
      </w:pPr>
      <w:r>
        <w:separator/>
      </w:r>
    </w:p>
  </w:footnote>
  <w:footnote w:type="continuationSeparator" w:id="0">
    <w:p w:rsidR="00A46B75" w:rsidRDefault="00A46B75" w:rsidP="00817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17" w:rsidRDefault="00380B17" w:rsidP="0094642A">
    <w:pPr>
      <w:ind w:left="5760"/>
      <w:rPr>
        <w:b/>
        <w:sz w:val="24"/>
        <w:szCs w:val="24"/>
      </w:rPr>
    </w:pPr>
    <w:r>
      <w:rPr>
        <w:b/>
        <w:sz w:val="24"/>
        <w:szCs w:val="24"/>
      </w:rPr>
      <w:t>JUDGMENT NO LC/H/</w:t>
    </w:r>
    <w:r w:rsidR="0094642A">
      <w:rPr>
        <w:b/>
        <w:sz w:val="24"/>
        <w:szCs w:val="24"/>
      </w:rPr>
      <w:t>536</w:t>
    </w:r>
    <w:r>
      <w:rPr>
        <w:b/>
        <w:sz w:val="24"/>
        <w:szCs w:val="24"/>
      </w:rPr>
      <w:t>/16</w:t>
    </w:r>
  </w:p>
  <w:p w:rsidR="00380B17" w:rsidRDefault="00380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1E2B"/>
    <w:multiLevelType w:val="hybridMultilevel"/>
    <w:tmpl w:val="0C009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CD372BB"/>
    <w:multiLevelType w:val="hybridMultilevel"/>
    <w:tmpl w:val="3C70E1BC"/>
    <w:lvl w:ilvl="0" w:tplc="741A9A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CFE717E"/>
    <w:multiLevelType w:val="hybridMultilevel"/>
    <w:tmpl w:val="F04C4EBE"/>
    <w:lvl w:ilvl="0" w:tplc="5F26D31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35"/>
    <w:rsid w:val="000515C4"/>
    <w:rsid w:val="00136821"/>
    <w:rsid w:val="00270088"/>
    <w:rsid w:val="00277957"/>
    <w:rsid w:val="00311211"/>
    <w:rsid w:val="00380B17"/>
    <w:rsid w:val="00434F80"/>
    <w:rsid w:val="004B7351"/>
    <w:rsid w:val="00665F66"/>
    <w:rsid w:val="006C617C"/>
    <w:rsid w:val="00817264"/>
    <w:rsid w:val="008C4FA7"/>
    <w:rsid w:val="0094642A"/>
    <w:rsid w:val="00A44928"/>
    <w:rsid w:val="00A46B75"/>
    <w:rsid w:val="00AD0E2F"/>
    <w:rsid w:val="00B75BA0"/>
    <w:rsid w:val="00D17526"/>
    <w:rsid w:val="00EE1F35"/>
    <w:rsid w:val="00F1701E"/>
    <w:rsid w:val="00F4141F"/>
    <w:rsid w:val="00F63B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264"/>
  </w:style>
  <w:style w:type="paragraph" w:styleId="Footer">
    <w:name w:val="footer"/>
    <w:basedOn w:val="Normal"/>
    <w:link w:val="FooterChar"/>
    <w:uiPriority w:val="99"/>
    <w:unhideWhenUsed/>
    <w:rsid w:val="00817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264"/>
  </w:style>
  <w:style w:type="paragraph" w:styleId="ListParagraph">
    <w:name w:val="List Paragraph"/>
    <w:basedOn w:val="Normal"/>
    <w:uiPriority w:val="34"/>
    <w:qFormat/>
    <w:rsid w:val="00817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264"/>
  </w:style>
  <w:style w:type="paragraph" w:styleId="Footer">
    <w:name w:val="footer"/>
    <w:basedOn w:val="Normal"/>
    <w:link w:val="FooterChar"/>
    <w:uiPriority w:val="99"/>
    <w:unhideWhenUsed/>
    <w:rsid w:val="00817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264"/>
  </w:style>
  <w:style w:type="paragraph" w:styleId="ListParagraph">
    <w:name w:val="List Paragraph"/>
    <w:basedOn w:val="Normal"/>
    <w:uiPriority w:val="34"/>
    <w:qFormat/>
    <w:rsid w:val="00817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2016-08-31T06:05:00Z</cp:lastPrinted>
  <dcterms:created xsi:type="dcterms:W3CDTF">2016-08-29T12:21:00Z</dcterms:created>
  <dcterms:modified xsi:type="dcterms:W3CDTF">2016-09-01T05:59:00Z</dcterms:modified>
</cp:coreProperties>
</file>