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body>
    <w:p w14:paraId="00000005">
      <w:pPr>
        <w:spacing w:after="0" w:line="240" w:lineRule="auto"/>
        <w:contextualSpacing w:val="on"/>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u w:val="single"/>
        </w:rPr>
        <w:t>REPORTABLE</w:t>
      </w: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11</w:t>
      </w:r>
      <w:bookmarkStart w:id="0" w:name="_GoBack"/>
      <w:bookmarkEnd w:id="0"/>
      <w:r>
        <w:rPr>
          <w:rFonts w:ascii="Times New Roman" w:cs="Times New Roman" w:eastAsia="Times New Roman" w:hAnsi="Times New Roman"/>
          <w:b/>
          <w:sz w:val="24"/>
          <w:szCs w:val="24"/>
        </w:rPr>
        <w:t>)</w:t>
      </w:r>
    </w:p>
    <w:p w14:paraId="00000006">
      <w:pPr>
        <w:spacing w:after="0" w:line="240" w:lineRule="auto"/>
        <w:contextualSpacing w:val="on"/>
        <w:jc w:val="center"/>
        <w:rPr>
          <w:rFonts w:ascii="Times New Roman" w:cs="Times New Roman" w:eastAsia="Times New Roman" w:hAnsi="Times New Roman"/>
          <w:b/>
          <w:sz w:val="24"/>
          <w:szCs w:val="24"/>
        </w:rPr>
      </w:pPr>
    </w:p>
    <w:p w14:paraId="00000007">
      <w:pPr>
        <w:spacing w:after="0" w:line="240" w:lineRule="auto"/>
        <w:contextualSpacing w:val="on"/>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RONALD KANDEMIRI &amp; ORS</w:t>
      </w:r>
    </w:p>
    <w:p w14:paraId="00000008">
      <w:pPr>
        <w:spacing w:after="0" w:line="240" w:lineRule="auto"/>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v</w:t>
      </w:r>
    </w:p>
    <w:p w14:paraId="00000009">
      <w:pPr>
        <w:spacing w:after="0" w:line="240" w:lineRule="auto"/>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FIRST CAPITAL BANK LIMITED</w:t>
      </w:r>
    </w:p>
    <w:p w14:paraId="0000000A">
      <w:pPr>
        <w:spacing w:after="0" w:line="240" w:lineRule="auto"/>
        <w:rPr>
          <w:rFonts w:ascii="Times New Roman" w:cs="Times New Roman" w:eastAsia="Times New Roman" w:hAnsi="Times New Roman"/>
          <w:b/>
          <w:sz w:val="24"/>
          <w:szCs w:val="24"/>
        </w:rPr>
      </w:pPr>
    </w:p>
    <w:p w14:paraId="0000000B">
      <w:pPr>
        <w:spacing w:after="0" w:line="240" w:lineRule="auto"/>
        <w:rPr>
          <w:rFonts w:ascii="Times New Roman" w:cs="Times New Roman" w:eastAsia="Times New Roman" w:hAnsi="Times New Roman"/>
          <w:b/>
          <w:sz w:val="24"/>
          <w:szCs w:val="24"/>
        </w:rPr>
      </w:pPr>
    </w:p>
    <w:p w14:paraId="0000000C">
      <w:pPr>
        <w:spacing w:after="0" w:line="240" w:lineRule="auto"/>
        <w:rPr>
          <w:rFonts w:ascii="Times New Roman" w:cs="Times New Roman" w:eastAsia="Times New Roman" w:hAnsi="Times New Roman"/>
          <w:b/>
          <w:sz w:val="24"/>
          <w:szCs w:val="24"/>
        </w:rPr>
      </w:pPr>
    </w:p>
    <w:p w14:paraId="0000000D">
      <w:pPr>
        <w:spacing w:after="0" w:line="240" w:lineRule="auto"/>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CONSTITUTIONAL COURT OF ZIMBABWE</w:t>
      </w:r>
    </w:p>
    <w:p w14:paraId="0000000E">
      <w:pPr>
        <w:spacing w:after="0" w:line="240" w:lineRule="auto"/>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MAKARAU JCC, GOWORA JCC &amp; PATEL JCC</w:t>
      </w:r>
    </w:p>
    <w:p w14:paraId="0000000F">
      <w:pPr>
        <w:spacing w:after="0" w:line="240" w:lineRule="auto"/>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HARARE, 16 SEPTEMBER 2025 &amp; </w:t>
      </w:r>
      <w:r>
        <w:rPr>
          <w:rFonts w:ascii="Times New Roman" w:cs="Times New Roman" w:eastAsia="Times New Roman" w:hAnsi="Times New Roman"/>
          <w:b/>
          <w:sz w:val="24"/>
          <w:szCs w:val="24"/>
        </w:rPr>
        <w:t>11 NOVEMBER 2025</w:t>
      </w:r>
    </w:p>
    <w:p w14:paraId="00000010">
      <w:pPr>
        <w:spacing w:line="240" w:lineRule="auto"/>
        <w:jc w:val="both"/>
        <w:rPr>
          <w:rFonts w:ascii="Times New Roman" w:cs="Times New Roman" w:eastAsia="Times New Roman" w:hAnsi="Times New Roman"/>
          <w:sz w:val="24"/>
          <w:szCs w:val="24"/>
        </w:rPr>
      </w:pPr>
    </w:p>
    <w:p w14:paraId="00000011">
      <w:pPr>
        <w:spacing w:line="240" w:lineRule="auto"/>
        <w:jc w:val="both"/>
        <w:rPr>
          <w:rFonts w:ascii="Times New Roman" w:cs="Times New Roman" w:eastAsia="Times New Roman" w:hAnsi="Times New Roman"/>
          <w:sz w:val="24"/>
          <w:szCs w:val="24"/>
        </w:rPr>
      </w:pPr>
    </w:p>
    <w:p w14:paraId="00000012">
      <w:pPr>
        <w:spacing w:line="240" w:lineRule="auto"/>
        <w:jc w:val="both"/>
        <w:rPr>
          <w:rFonts w:ascii="Times New Roman" w:cs="Times New Roman" w:eastAsia="Times New Roman" w:hAnsi="Times New Roman"/>
          <w:sz w:val="24"/>
          <w:szCs w:val="24"/>
        </w:rPr>
      </w:pPr>
      <w:r>
        <w:rPr>
          <w:rFonts w:ascii="Times New Roman" w:cs="Times New Roman" w:eastAsia="Times New Roman" w:hAnsi="Times New Roman"/>
          <w:i/>
          <w:iCs/>
          <w:sz w:val="24"/>
          <w:szCs w:val="24"/>
        </w:rPr>
        <w:t xml:space="preserve">M. </w:t>
      </w:r>
      <w:r>
        <w:rPr>
          <w:rFonts w:ascii="Times New Roman" w:cs="Times New Roman" w:eastAsia="Times New Roman" w:hAnsi="Times New Roman"/>
          <w:i/>
          <w:iCs/>
          <w:sz w:val="24"/>
          <w:szCs w:val="24"/>
        </w:rPr>
        <w:t>Gwisai</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for the applicants</w:t>
      </w:r>
    </w:p>
    <w:p w14:paraId="00000013">
      <w:pPr>
        <w:spacing w:line="240" w:lineRule="auto"/>
        <w:jc w:val="both"/>
        <w:rPr>
          <w:rFonts w:ascii="Times New Roman" w:cs="Times New Roman" w:eastAsia="Times New Roman" w:hAnsi="Times New Roman"/>
          <w:sz w:val="24"/>
          <w:szCs w:val="24"/>
        </w:rPr>
      </w:pPr>
      <w:r>
        <w:rPr>
          <w:rFonts w:ascii="Times New Roman" w:cs="Times New Roman" w:eastAsia="Times New Roman" w:hAnsi="Times New Roman"/>
          <w:i/>
          <w:sz w:val="24"/>
          <w:szCs w:val="24"/>
        </w:rPr>
        <w:t>S. Bhebhe</w:t>
      </w:r>
      <w:r>
        <w:rPr>
          <w:rFonts w:ascii="Times New Roman" w:cs="Times New Roman" w:eastAsia="Times New Roman" w:hAnsi="Times New Roman"/>
          <w:iCs/>
          <w:sz w:val="24"/>
          <w:szCs w:val="24"/>
        </w:rPr>
        <w:t xml:space="preserve"> for</w:t>
      </w:r>
      <w:r>
        <w:rPr>
          <w:rFonts w:ascii="Times New Roman" w:cs="Times New Roman" w:eastAsia="Times New Roman" w:hAnsi="Times New Roman"/>
          <w:i/>
          <w:sz w:val="24"/>
          <w:szCs w:val="24"/>
        </w:rPr>
        <w:t xml:space="preserve"> </w:t>
      </w:r>
      <w:r>
        <w:rPr>
          <w:rFonts w:ascii="Times New Roman" w:cs="Times New Roman" w:eastAsia="Times New Roman" w:hAnsi="Times New Roman"/>
          <w:sz w:val="24"/>
          <w:szCs w:val="24"/>
        </w:rPr>
        <w:t>the respondent</w:t>
      </w:r>
    </w:p>
    <w:p w14:paraId="00000014">
      <w:pPr>
        <w:spacing w:after="0" w:line="480" w:lineRule="auto"/>
        <w:jc w:val="both"/>
        <w:rPr>
          <w:rFonts w:ascii="Times New Roman" w:cs="Times New Roman" w:eastAsia="Times New Roman" w:hAnsi="Times New Roman"/>
          <w:sz w:val="24"/>
          <w:szCs w:val="24"/>
        </w:rPr>
      </w:pPr>
    </w:p>
    <w:p w14:paraId="00000015">
      <w:pPr>
        <w:spacing w:after="0" w:line="48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b/>
          <w:sz w:val="24"/>
          <w:szCs w:val="24"/>
        </w:rPr>
        <w:t>PATEL JCC:</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sz w:val="24"/>
          <w:szCs w:val="24"/>
        </w:rPr>
        <w:t>This is an application for direct access in terms of s 167(5)</w:t>
      </w:r>
      <w:r>
        <w:rPr>
          <w:rFonts w:ascii="Times New Roman" w:cs="Times New Roman" w:eastAsia="Times New Roman" w:hAnsi="Times New Roman"/>
          <w:sz w:val="24"/>
          <w:szCs w:val="24"/>
        </w:rPr>
        <w:t>(a)</w:t>
      </w:r>
      <w:r>
        <w:rPr>
          <w:rFonts w:ascii="Times New Roman" w:cs="Times New Roman" w:eastAsia="Times New Roman" w:hAnsi="Times New Roman"/>
          <w:sz w:val="24"/>
          <w:szCs w:val="24"/>
        </w:rPr>
        <w:t xml:space="preserve"> of the Constitution, as read with </w:t>
      </w:r>
      <w:r>
        <w:rPr>
          <w:rFonts w:ascii="Times New Roman" w:cs="Times New Roman" w:eastAsia="Times New Roman" w:hAnsi="Times New Roman"/>
          <w:sz w:val="24"/>
          <w:szCs w:val="24"/>
        </w:rPr>
        <w:t>r</w:t>
      </w:r>
      <w:r>
        <w:rPr>
          <w:rFonts w:ascii="Times New Roman" w:cs="Times New Roman" w:eastAsia="Times New Roman" w:hAnsi="Times New Roman"/>
          <w:sz w:val="24"/>
          <w:szCs w:val="24"/>
        </w:rPr>
        <w:t xml:space="preserve"> 2</w:t>
      </w:r>
      <w:r>
        <w:rPr>
          <w:rFonts w:ascii="Times New Roman" w:cs="Times New Roman" w:eastAsia="Times New Roman" w:hAnsi="Times New Roman"/>
          <w:sz w:val="24"/>
          <w:szCs w:val="24"/>
        </w:rPr>
        <w:t>6</w:t>
      </w:r>
      <w:r>
        <w:rPr>
          <w:rFonts w:ascii="Times New Roman" w:cs="Times New Roman" w:eastAsia="Times New Roman" w:hAnsi="Times New Roman"/>
          <w:sz w:val="24"/>
          <w:szCs w:val="24"/>
        </w:rPr>
        <w:t xml:space="preserve"> of the Constitutional Court Rules, 20</w:t>
      </w:r>
      <w:r>
        <w:rPr>
          <w:rFonts w:ascii="Times New Roman" w:cs="Times New Roman" w:eastAsia="Times New Roman" w:hAnsi="Times New Roman"/>
          <w:sz w:val="24"/>
          <w:szCs w:val="24"/>
        </w:rPr>
        <w:t>25</w:t>
      </w:r>
      <w:r>
        <w:rPr>
          <w:rFonts w:ascii="Times New Roman" w:cs="Times New Roman" w:eastAsia="Times New Roman" w:hAnsi="Times New Roman"/>
          <w:sz w:val="24"/>
          <w:szCs w:val="24"/>
        </w:rPr>
        <w:t>. In essence, the application challenges the decision of the Supreme Court on</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the grounds that it violated the applicant’s fundamental rights under ss 56(1)</w:t>
      </w:r>
      <w:r>
        <w:rPr>
          <w:rFonts w:ascii="Times New Roman" w:cs="Times New Roman" w:eastAsia="Times New Roman" w:hAnsi="Times New Roman"/>
          <w:sz w:val="24"/>
          <w:szCs w:val="24"/>
        </w:rPr>
        <w:t xml:space="preserve"> and 65(1) </w:t>
      </w:r>
      <w:r>
        <w:rPr>
          <w:rFonts w:ascii="Times New Roman" w:cs="Times New Roman" w:eastAsia="Times New Roman" w:hAnsi="Times New Roman"/>
          <w:sz w:val="24"/>
          <w:szCs w:val="24"/>
        </w:rPr>
        <w:t xml:space="preserve">of the Constitution, which </w:t>
      </w:r>
      <w:r>
        <w:rPr>
          <w:rFonts w:ascii="Times New Roman" w:cs="Times New Roman" w:eastAsia="Times New Roman" w:hAnsi="Times New Roman"/>
          <w:sz w:val="24"/>
          <w:szCs w:val="24"/>
        </w:rPr>
        <w:t xml:space="preserve">respectively </w:t>
      </w:r>
      <w:r>
        <w:rPr>
          <w:rFonts w:ascii="Times New Roman" w:cs="Times New Roman" w:eastAsia="Times New Roman" w:hAnsi="Times New Roman"/>
          <w:sz w:val="24"/>
          <w:szCs w:val="24"/>
        </w:rPr>
        <w:t>guarantee the right to equality and non-discrimination</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 xml:space="preserve">the right to </w:t>
      </w:r>
      <w:r>
        <w:rPr>
          <w:rFonts w:ascii="Times New Roman" w:cs="Times New Roman" w:eastAsia="Times New Roman" w:hAnsi="Times New Roman"/>
          <w:sz w:val="24"/>
          <w:szCs w:val="24"/>
        </w:rPr>
        <w:t>fair labour standards and practices</w:t>
      </w:r>
      <w:r>
        <w:rPr>
          <w:rFonts w:ascii="Times New Roman" w:cs="Times New Roman" w:eastAsia="Times New Roman" w:hAnsi="Times New Roman"/>
          <w:sz w:val="24"/>
          <w:szCs w:val="24"/>
        </w:rPr>
        <w:t>. The applicant</w:t>
      </w:r>
      <w:r>
        <w:rPr>
          <w:rFonts w:ascii="Times New Roman" w:cs="Times New Roman" w:eastAsia="Times New Roman" w:hAnsi="Times New Roman"/>
          <w:sz w:val="24"/>
          <w:szCs w:val="24"/>
        </w:rPr>
        <w:t>s</w:t>
      </w:r>
      <w:r>
        <w:rPr>
          <w:rFonts w:ascii="Times New Roman" w:cs="Times New Roman" w:eastAsia="Times New Roman" w:hAnsi="Times New Roman"/>
          <w:sz w:val="24"/>
          <w:szCs w:val="24"/>
        </w:rPr>
        <w:t xml:space="preserve"> contend that the </w:t>
      </w:r>
      <w:r>
        <w:rPr>
          <w:rFonts w:ascii="Times New Roman" w:cs="Times New Roman" w:eastAsia="Times New Roman" w:hAnsi="Times New Roman"/>
          <w:sz w:val="24"/>
          <w:szCs w:val="24"/>
        </w:rPr>
        <w:t>Supreme Court</w:t>
      </w:r>
      <w:r>
        <w:rPr>
          <w:rFonts w:ascii="Times New Roman" w:cs="Times New Roman" w:eastAsia="Times New Roman" w:hAnsi="Times New Roman"/>
          <w:sz w:val="24"/>
          <w:szCs w:val="24"/>
        </w:rPr>
        <w:t xml:space="preserve"> failed to properly adjudicate the appeal before it</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by refusing to subject ss 12C(1) and 25A(5) of the Labour Act [</w:t>
      </w:r>
      <w:r>
        <w:rPr>
          <w:rFonts w:ascii="Times New Roman" w:cs="Times New Roman" w:eastAsia="Times New Roman" w:hAnsi="Times New Roman"/>
          <w:i/>
          <w:iCs/>
          <w:sz w:val="24"/>
          <w:szCs w:val="24"/>
        </w:rPr>
        <w:t>Chapter 28:01</w:t>
      </w:r>
      <w:r>
        <w:rPr>
          <w:rFonts w:ascii="Times New Roman" w:cs="Times New Roman" w:eastAsia="Times New Roman" w:hAnsi="Times New Roman"/>
          <w:sz w:val="24"/>
          <w:szCs w:val="24"/>
        </w:rPr>
        <w:t>]</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to a constitutionally infused interpretive lens and</w:t>
      </w:r>
      <w:r>
        <w:rPr>
          <w:rFonts w:ascii="Times New Roman" w:cs="Times New Roman" w:eastAsia="Times New Roman" w:hAnsi="Times New Roman"/>
          <w:sz w:val="24"/>
          <w:szCs w:val="24"/>
        </w:rPr>
        <w:t xml:space="preserve"> by</w:t>
      </w:r>
      <w:r>
        <w:rPr>
          <w:rFonts w:ascii="Times New Roman" w:cs="Times New Roman" w:eastAsia="Times New Roman" w:hAnsi="Times New Roman"/>
          <w:sz w:val="24"/>
          <w:szCs w:val="24"/>
        </w:rPr>
        <w:t xml:space="preserve"> its mechanical reliance on literal statutory construction</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in circumstances where constitutional norms demanded a more purposive and harmonised approach</w:t>
      </w:r>
      <w:r>
        <w:rPr>
          <w:rFonts w:ascii="Times New Roman" w:cs="Times New Roman" w:eastAsia="Times New Roman" w:hAnsi="Times New Roman"/>
          <w:sz w:val="24"/>
          <w:szCs w:val="24"/>
        </w:rPr>
        <w:t>.</w:t>
      </w:r>
    </w:p>
    <w:p w14:paraId="00000016">
      <w:pPr>
        <w:spacing w:after="0" w:line="480" w:lineRule="auto"/>
        <w:jc w:val="both"/>
        <w:rPr>
          <w:rFonts w:ascii="Times New Roman" w:cs="Times New Roman" w:eastAsia="Times New Roman" w:hAnsi="Times New Roman"/>
          <w:sz w:val="24"/>
          <w:szCs w:val="24"/>
        </w:rPr>
      </w:pPr>
    </w:p>
    <w:p w14:paraId="00000017">
      <w:pPr>
        <w:spacing w:after="0" w:line="48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The </w:t>
      </w:r>
      <w:r>
        <w:rPr>
          <w:rFonts w:ascii="Times New Roman" w:cs="Times New Roman" w:eastAsia="Times New Roman" w:hAnsi="Times New Roman"/>
          <w:b/>
          <w:bCs/>
          <w:sz w:val="24"/>
          <w:szCs w:val="24"/>
        </w:rPr>
        <w:t>B</w:t>
      </w:r>
      <w:r>
        <w:rPr>
          <w:rFonts w:ascii="Times New Roman" w:cs="Times New Roman" w:eastAsia="Times New Roman" w:hAnsi="Times New Roman"/>
          <w:b/>
          <w:bCs/>
          <w:sz w:val="24"/>
          <w:szCs w:val="24"/>
        </w:rPr>
        <w:t>ackground</w:t>
      </w:r>
    </w:p>
    <w:p w14:paraId="00000018">
      <w:pPr>
        <w:spacing w:after="0" w:line="48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applicants are former employees of the respondent. The respondent is First Capital Bank Limited, a company duly incorporated under the laws of Zimbabwe.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The background to the matter </w:t>
      </w:r>
      <w:r>
        <w:rPr>
          <w:rFonts w:ascii="Times New Roman" w:cs="Times New Roman" w:eastAsia="Times New Roman" w:hAnsi="Times New Roman"/>
          <w:sz w:val="24"/>
          <w:szCs w:val="24"/>
        </w:rPr>
        <w:t>began</w:t>
      </w:r>
      <w:r>
        <w:rPr>
          <w:rFonts w:ascii="Times New Roman" w:cs="Times New Roman" w:eastAsia="Times New Roman" w:hAnsi="Times New Roman"/>
          <w:sz w:val="24"/>
          <w:szCs w:val="24"/>
        </w:rPr>
        <w:t xml:space="preserve"> in 2017 when the respondent began transitioning from </w:t>
      </w:r>
      <w:r>
        <w:rPr>
          <w:rFonts w:ascii="Times New Roman" w:cs="Times New Roman" w:eastAsia="Times New Roman" w:hAnsi="Times New Roman"/>
          <w:sz w:val="24"/>
          <w:szCs w:val="24"/>
        </w:rPr>
        <w:t xml:space="preserve">the </w:t>
      </w:r>
      <w:r>
        <w:rPr>
          <w:rFonts w:ascii="Times New Roman" w:cs="Times New Roman" w:eastAsia="Times New Roman" w:hAnsi="Times New Roman"/>
          <w:sz w:val="24"/>
          <w:szCs w:val="24"/>
        </w:rPr>
        <w:t>systems</w:t>
      </w:r>
      <w:r>
        <w:rPr>
          <w:rFonts w:ascii="Times New Roman" w:cs="Times New Roman" w:eastAsia="Times New Roman" w:hAnsi="Times New Roman"/>
          <w:sz w:val="24"/>
          <w:szCs w:val="24"/>
        </w:rPr>
        <w:t xml:space="preserve"> of Barclays</w:t>
      </w:r>
      <w:r>
        <w:rPr>
          <w:rFonts w:ascii="Times New Roman" w:cs="Times New Roman" w:eastAsia="Times New Roman" w:hAnsi="Times New Roman"/>
          <w:sz w:val="24"/>
          <w:szCs w:val="24"/>
        </w:rPr>
        <w:t xml:space="preserve"> Bank</w:t>
      </w:r>
      <w:r>
        <w:rPr>
          <w:rFonts w:ascii="Times New Roman" w:cs="Times New Roman" w:eastAsia="Times New Roman" w:hAnsi="Times New Roman"/>
          <w:sz w:val="24"/>
          <w:szCs w:val="24"/>
        </w:rPr>
        <w:t>, its former majority shareholder, to its own systems.  Th</w:t>
      </w:r>
      <w:r>
        <w:rPr>
          <w:rFonts w:ascii="Times New Roman" w:cs="Times New Roman" w:eastAsia="Times New Roman" w:hAnsi="Times New Roman"/>
          <w:sz w:val="24"/>
          <w:szCs w:val="24"/>
        </w:rPr>
        <w:t>is</w:t>
      </w:r>
      <w:r>
        <w:rPr>
          <w:rFonts w:ascii="Times New Roman" w:cs="Times New Roman" w:eastAsia="Times New Roman" w:hAnsi="Times New Roman"/>
          <w:sz w:val="24"/>
          <w:szCs w:val="24"/>
        </w:rPr>
        <w:t xml:space="preserve"> transition was completed in </w:t>
      </w:r>
      <w:r>
        <w:rPr>
          <w:rFonts w:ascii="Times New Roman" w:cs="Times New Roman" w:eastAsia="Times New Roman" w:hAnsi="Times New Roman"/>
          <w:sz w:val="24"/>
          <w:szCs w:val="24"/>
        </w:rPr>
        <w:t xml:space="preserve">2019. In March 2019, the respondent also carried out an IT systems migration that led to changes in </w:t>
      </w:r>
      <w:r>
        <w:rPr>
          <w:rFonts w:ascii="Times New Roman" w:cs="Times New Roman" w:eastAsia="Times New Roman" w:hAnsi="Times New Roman"/>
          <w:sz w:val="24"/>
          <w:szCs w:val="24"/>
        </w:rPr>
        <w:t>its</w:t>
      </w:r>
      <w:r>
        <w:rPr>
          <w:rFonts w:ascii="Times New Roman" w:cs="Times New Roman" w:eastAsia="Times New Roman" w:hAnsi="Times New Roman"/>
          <w:sz w:val="24"/>
          <w:szCs w:val="24"/>
        </w:rPr>
        <w:t xml:space="preserve"> operational model and </w:t>
      </w:r>
      <w:r>
        <w:rPr>
          <w:rFonts w:ascii="Times New Roman" w:cs="Times New Roman" w:eastAsia="Times New Roman" w:hAnsi="Times New Roman"/>
          <w:sz w:val="24"/>
          <w:szCs w:val="24"/>
        </w:rPr>
        <w:t>its</w:t>
      </w:r>
      <w:r>
        <w:rPr>
          <w:rFonts w:ascii="Times New Roman" w:cs="Times New Roman" w:eastAsia="Times New Roman" w:hAnsi="Times New Roman"/>
          <w:sz w:val="24"/>
          <w:szCs w:val="24"/>
        </w:rPr>
        <w:t xml:space="preserve"> staff, including the applicants, who were aware of this migration as well as </w:t>
      </w:r>
      <w:r>
        <w:rPr>
          <w:rFonts w:ascii="Times New Roman" w:cs="Times New Roman" w:eastAsia="Times New Roman" w:hAnsi="Times New Roman"/>
          <w:sz w:val="24"/>
          <w:szCs w:val="24"/>
        </w:rPr>
        <w:t>its</w:t>
      </w:r>
      <w:r>
        <w:rPr>
          <w:rFonts w:ascii="Times New Roman" w:cs="Times New Roman" w:eastAsia="Times New Roman" w:hAnsi="Times New Roman"/>
          <w:sz w:val="24"/>
          <w:szCs w:val="24"/>
        </w:rPr>
        <w:t xml:space="preserve"> likely effects.  Pursuant to these changes, the respondent’s management met with the </w:t>
      </w:r>
      <w:r>
        <w:rPr>
          <w:rFonts w:ascii="Times New Roman" w:cs="Times New Roman" w:eastAsia="Times New Roman" w:hAnsi="Times New Roman"/>
          <w:sz w:val="24"/>
          <w:szCs w:val="24"/>
        </w:rPr>
        <w:t>works council</w:t>
      </w:r>
      <w:r>
        <w:rPr>
          <w:rFonts w:ascii="Times New Roman" w:cs="Times New Roman" w:eastAsia="Times New Roman" w:hAnsi="Times New Roman"/>
          <w:sz w:val="24"/>
          <w:szCs w:val="24"/>
        </w:rPr>
        <w:t xml:space="preserve"> on 5 August 2019, at which meeting the </w:t>
      </w:r>
      <w:r>
        <w:rPr>
          <w:rFonts w:ascii="Times New Roman" w:cs="Times New Roman" w:eastAsia="Times New Roman" w:hAnsi="Times New Roman"/>
          <w:sz w:val="24"/>
          <w:szCs w:val="24"/>
        </w:rPr>
        <w:t>works council</w:t>
      </w:r>
      <w:r>
        <w:rPr>
          <w:rFonts w:ascii="Times New Roman" w:cs="Times New Roman" w:eastAsia="Times New Roman" w:hAnsi="Times New Roman"/>
          <w:sz w:val="24"/>
          <w:szCs w:val="24"/>
        </w:rPr>
        <w:t xml:space="preserve"> was informed of the respondent’s intention to retrench some members of staff due to the changes in </w:t>
      </w:r>
      <w:r>
        <w:rPr>
          <w:rFonts w:ascii="Times New Roman" w:cs="Times New Roman" w:eastAsia="Times New Roman" w:hAnsi="Times New Roman"/>
          <w:sz w:val="24"/>
          <w:szCs w:val="24"/>
        </w:rPr>
        <w:t>its</w:t>
      </w:r>
      <w:r>
        <w:rPr>
          <w:rFonts w:ascii="Times New Roman" w:cs="Times New Roman" w:eastAsia="Times New Roman" w:hAnsi="Times New Roman"/>
          <w:sz w:val="24"/>
          <w:szCs w:val="24"/>
        </w:rPr>
        <w:t xml:space="preserve"> operational model as well as the prevailing macroeconomic environment.  A follow-up feedback meeting was held on 9 August 2019. </w:t>
      </w:r>
    </w:p>
    <w:p w14:paraId="00000019">
      <w:pPr>
        <w:spacing w:before="240" w:after="0" w:line="48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After the retrenchment exercise was completed, the applicants filed an unfair labour practice complaint with the National Employment Council for the Banking Industry, alleging that their retrenchment was unlawful because they had not been consulted prior to the decision</w:t>
      </w:r>
      <w:r>
        <w:rPr>
          <w:rFonts w:ascii="Times New Roman" w:cs="Times New Roman" w:eastAsia="Times New Roman" w:hAnsi="Times New Roman"/>
          <w:sz w:val="24"/>
          <w:szCs w:val="24"/>
        </w:rPr>
        <w:t xml:space="preserve"> to retrench having been made</w:t>
      </w:r>
      <w:r>
        <w:rPr>
          <w:rFonts w:ascii="Times New Roman" w:cs="Times New Roman" w:eastAsia="Times New Roman" w:hAnsi="Times New Roman"/>
          <w:sz w:val="24"/>
          <w:szCs w:val="24"/>
        </w:rPr>
        <w:t>.  The Designated Agent upheld the applicants’ complaint and made a determination setting aside the applicants’ retrenchment and reinstating them to their employment.  The respondent was aggrieved and appealed to the Labour Court. The appeal was upheld.  The applicants then appealed to the Supreme Court, which appeal was not successful</w:t>
      </w:r>
      <w:r>
        <w:rPr>
          <w:rFonts w:ascii="Times New Roman" w:cs="Times New Roman" w:eastAsia="Times New Roman" w:hAnsi="Times New Roman"/>
          <w:sz w:val="24"/>
          <w:szCs w:val="24"/>
        </w:rPr>
        <w:t>.</w:t>
      </w:r>
    </w:p>
    <w:p w14:paraId="0000001A">
      <w:pPr>
        <w:spacing w:after="0" w:line="480" w:lineRule="auto"/>
        <w:jc w:val="both"/>
        <w:rPr>
          <w:rFonts w:ascii="Times New Roman" w:cs="Times New Roman" w:eastAsia="Times New Roman" w:hAnsi="Times New Roman"/>
          <w:sz w:val="24"/>
          <w:szCs w:val="24"/>
        </w:rPr>
      </w:pPr>
    </w:p>
    <w:p w14:paraId="0000001B">
      <w:pPr>
        <w:spacing w:after="0" w:line="48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The </w:t>
      </w:r>
      <w:r>
        <w:rPr>
          <w:rFonts w:ascii="Times New Roman" w:cs="Times New Roman" w:eastAsia="Times New Roman" w:hAnsi="Times New Roman"/>
          <w:b/>
          <w:bCs/>
          <w:sz w:val="24"/>
          <w:szCs w:val="24"/>
        </w:rPr>
        <w:t>A</w:t>
      </w:r>
      <w:r>
        <w:rPr>
          <w:rFonts w:ascii="Times New Roman" w:cs="Times New Roman" w:eastAsia="Times New Roman" w:hAnsi="Times New Roman"/>
          <w:b/>
          <w:bCs/>
          <w:sz w:val="24"/>
          <w:szCs w:val="24"/>
        </w:rPr>
        <w:t xml:space="preserve">pplication for Direct Access </w:t>
      </w:r>
    </w:p>
    <w:p w14:paraId="0000001C">
      <w:pPr>
        <w:spacing w:after="0" w:line="48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applicants, aggrieved by the decision of the Supreme Court, have approached this Court with an application for direct access. </w:t>
      </w:r>
      <w:r>
        <w:rPr>
          <w:rFonts w:ascii="Times New Roman" w:cs="Times New Roman" w:eastAsia="Times New Roman" w:hAnsi="Times New Roman"/>
          <w:sz w:val="24"/>
          <w:szCs w:val="24"/>
        </w:rPr>
        <w:t xml:space="preserve">The applicants allege that the Supreme Court, under judgment </w:t>
      </w:r>
      <w:r>
        <w:rPr>
          <w:rFonts w:ascii="Times New Roman" w:cs="Times New Roman" w:eastAsia="Times New Roman" w:hAnsi="Times New Roman"/>
          <w:sz w:val="24"/>
          <w:szCs w:val="24"/>
        </w:rPr>
        <w:t xml:space="preserve">No. </w:t>
      </w:r>
      <w:r>
        <w:rPr>
          <w:rFonts w:ascii="Times New Roman" w:cs="Times New Roman" w:eastAsia="Times New Roman" w:hAnsi="Times New Roman"/>
          <w:sz w:val="24"/>
          <w:szCs w:val="24"/>
        </w:rPr>
        <w:t xml:space="preserve">SC 22-25, violated their right to fair labour standards and practices enshrined </w:t>
      </w:r>
      <w:r>
        <w:rPr>
          <w:rFonts w:ascii="Times New Roman" w:cs="Times New Roman" w:eastAsia="Times New Roman" w:hAnsi="Times New Roman"/>
          <w:sz w:val="24"/>
          <w:szCs w:val="24"/>
        </w:rPr>
        <w:t>in</w:t>
      </w:r>
      <w:r>
        <w:rPr>
          <w:rFonts w:ascii="Times New Roman" w:cs="Times New Roman" w:eastAsia="Times New Roman" w:hAnsi="Times New Roman"/>
          <w:sz w:val="24"/>
          <w:szCs w:val="24"/>
        </w:rPr>
        <w:t xml:space="preserve"> s 65(1) and the right to equal protection and benefit of the law under s 56(1) of the Constitution.  The applicants contend that the impugned conduct is not the mere result reached by the Supreme Court but lies rather in the manner of adjudication employed by the </w:t>
      </w:r>
      <w:r>
        <w:rPr>
          <w:rFonts w:ascii="Times New Roman" w:cs="Times New Roman" w:eastAsia="Times New Roman" w:hAnsi="Times New Roman"/>
          <w:sz w:val="24"/>
          <w:szCs w:val="24"/>
        </w:rPr>
        <w:t xml:space="preserve">court. More </w:t>
      </w:r>
      <w:r>
        <w:rPr>
          <w:rFonts w:ascii="Times New Roman" w:cs="Times New Roman" w:eastAsia="Times New Roman" w:hAnsi="Times New Roman"/>
          <w:sz w:val="24"/>
          <w:szCs w:val="24"/>
        </w:rPr>
        <w:t xml:space="preserve">specifically, </w:t>
      </w:r>
      <w:r>
        <w:rPr>
          <w:rFonts w:ascii="Times New Roman" w:cs="Times New Roman" w:eastAsia="Times New Roman" w:hAnsi="Times New Roman"/>
          <w:sz w:val="24"/>
          <w:szCs w:val="24"/>
        </w:rPr>
        <w:t>it is averred that the court failed</w:t>
      </w:r>
      <w:r>
        <w:rPr>
          <w:rFonts w:ascii="Times New Roman" w:cs="Times New Roman" w:eastAsia="Times New Roman" w:hAnsi="Times New Roman"/>
          <w:sz w:val="24"/>
          <w:szCs w:val="24"/>
        </w:rPr>
        <w:t xml:space="preserve"> to subject the </w:t>
      </w:r>
      <w:r>
        <w:rPr>
          <w:rFonts w:ascii="Times New Roman" w:cs="Times New Roman" w:eastAsia="Times New Roman" w:hAnsi="Times New Roman"/>
          <w:sz w:val="24"/>
          <w:szCs w:val="24"/>
        </w:rPr>
        <w:t>s</w:t>
      </w:r>
      <w:r>
        <w:rPr>
          <w:rFonts w:ascii="Times New Roman" w:cs="Times New Roman" w:eastAsia="Times New Roman" w:hAnsi="Times New Roman"/>
          <w:sz w:val="24"/>
          <w:szCs w:val="24"/>
        </w:rPr>
        <w:t>tatutory provisions</w:t>
      </w:r>
      <w:r>
        <w:rPr>
          <w:rFonts w:ascii="Times New Roman" w:cs="Times New Roman" w:eastAsia="Times New Roman" w:hAnsi="Times New Roman"/>
          <w:sz w:val="24"/>
          <w:szCs w:val="24"/>
        </w:rPr>
        <w:t xml:space="preserve"> under consideration</w:t>
      </w:r>
      <w:r>
        <w:rPr>
          <w:rFonts w:ascii="Times New Roman" w:cs="Times New Roman" w:eastAsia="Times New Roman" w:hAnsi="Times New Roman"/>
          <w:sz w:val="24"/>
          <w:szCs w:val="24"/>
        </w:rPr>
        <w:t xml:space="preserve"> to a constitutionally infused interpretive lens and mechanical</w:t>
      </w:r>
      <w:r>
        <w:rPr>
          <w:rFonts w:ascii="Times New Roman" w:cs="Times New Roman" w:eastAsia="Times New Roman" w:hAnsi="Times New Roman"/>
          <w:sz w:val="24"/>
          <w:szCs w:val="24"/>
        </w:rPr>
        <w:t>ly</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relied</w:t>
      </w:r>
      <w:r>
        <w:rPr>
          <w:rFonts w:ascii="Times New Roman" w:cs="Times New Roman" w:eastAsia="Times New Roman" w:hAnsi="Times New Roman"/>
          <w:sz w:val="24"/>
          <w:szCs w:val="24"/>
        </w:rPr>
        <w:t xml:space="preserve"> on literal </w:t>
      </w:r>
      <w:r>
        <w:rPr>
          <w:rFonts w:ascii="Times New Roman" w:cs="Times New Roman" w:eastAsia="Times New Roman" w:hAnsi="Times New Roman"/>
          <w:sz w:val="24"/>
          <w:szCs w:val="24"/>
        </w:rPr>
        <w:t xml:space="preserve">statutory construction where </w:t>
      </w:r>
      <w:r>
        <w:rPr>
          <w:rFonts w:ascii="Times New Roman" w:cs="Times New Roman" w:eastAsia="Times New Roman" w:hAnsi="Times New Roman"/>
          <w:sz w:val="24"/>
          <w:szCs w:val="24"/>
        </w:rPr>
        <w:t xml:space="preserve">the applicable </w:t>
      </w:r>
      <w:r>
        <w:rPr>
          <w:rFonts w:ascii="Times New Roman" w:cs="Times New Roman" w:eastAsia="Times New Roman" w:hAnsi="Times New Roman"/>
          <w:sz w:val="24"/>
          <w:szCs w:val="24"/>
        </w:rPr>
        <w:t>constitutional norms demanded a more purposive and harmonised approach.</w:t>
      </w:r>
    </w:p>
    <w:p w14:paraId="0000001D">
      <w:pPr>
        <w:spacing w:before="240" w:after="0" w:line="48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It is th</w:t>
      </w:r>
      <w:r>
        <w:rPr>
          <w:rFonts w:ascii="Times New Roman" w:cs="Times New Roman" w:eastAsia="Times New Roman" w:hAnsi="Times New Roman"/>
          <w:sz w:val="24"/>
          <w:szCs w:val="24"/>
        </w:rPr>
        <w:t>e applicants’ position</w:t>
      </w:r>
      <w:r>
        <w:rPr>
          <w:rFonts w:ascii="Times New Roman" w:cs="Times New Roman" w:eastAsia="Times New Roman" w:hAnsi="Times New Roman"/>
          <w:sz w:val="24"/>
          <w:szCs w:val="24"/>
        </w:rPr>
        <w:t xml:space="preserve"> that the appeal before the </w:t>
      </w:r>
      <w:r>
        <w:rPr>
          <w:rFonts w:ascii="Times New Roman" w:cs="Times New Roman" w:eastAsia="Times New Roman" w:hAnsi="Times New Roman"/>
          <w:sz w:val="24"/>
          <w:szCs w:val="24"/>
        </w:rPr>
        <w:t>Supreme Court</w:t>
      </w:r>
      <w:r>
        <w:rPr>
          <w:rFonts w:ascii="Times New Roman" w:cs="Times New Roman" w:eastAsia="Times New Roman" w:hAnsi="Times New Roman"/>
          <w:sz w:val="24"/>
          <w:szCs w:val="24"/>
        </w:rPr>
        <w:t xml:space="preserve"> raised, </w:t>
      </w:r>
      <w:r>
        <w:rPr>
          <w:rFonts w:ascii="Times New Roman" w:cs="Times New Roman" w:eastAsia="Times New Roman" w:hAnsi="Times New Roman"/>
          <w:i/>
          <w:iCs/>
          <w:sz w:val="24"/>
          <w:szCs w:val="24"/>
        </w:rPr>
        <w:t>inter alia</w:t>
      </w:r>
      <w:r>
        <w:rPr>
          <w:rFonts w:ascii="Times New Roman" w:cs="Times New Roman" w:eastAsia="Times New Roman" w:hAnsi="Times New Roman"/>
          <w:sz w:val="24"/>
          <w:szCs w:val="24"/>
        </w:rPr>
        <w:t>, the question whether the provisions of s 25A(5) and 12C(1) of the Labour Act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could be interpreted in a manner that dispensed with the employer’s duty to consult workers prior to retrenchment, without thereby infringing s 65(1) of the Constitution.  </w:t>
      </w:r>
      <w:r>
        <w:rPr>
          <w:rFonts w:ascii="Times New Roman" w:cs="Times New Roman" w:eastAsia="Times New Roman" w:hAnsi="Times New Roman"/>
          <w:sz w:val="24"/>
          <w:szCs w:val="24"/>
        </w:rPr>
        <w:t xml:space="preserve">The applicants contend that the court </w:t>
      </w:r>
      <w:r>
        <w:rPr>
          <w:rFonts w:ascii="Times New Roman" w:cs="Times New Roman" w:eastAsia="Times New Roman" w:hAnsi="Times New Roman"/>
          <w:i/>
          <w:iCs/>
          <w:sz w:val="24"/>
          <w:szCs w:val="24"/>
        </w:rPr>
        <w:t>a quo</w:t>
      </w:r>
      <w:r>
        <w:rPr>
          <w:rFonts w:ascii="Times New Roman" w:cs="Times New Roman" w:eastAsia="Times New Roman" w:hAnsi="Times New Roman"/>
          <w:sz w:val="24"/>
          <w:szCs w:val="24"/>
        </w:rPr>
        <w:t xml:space="preserve">, by excluding constitutional context from its interpretive matrix, violated their rights to procedural and substantive fairness in the retrenchment process, and failed to afford them the protection of the law to which they were entitled under ss 56(1) and 65(1).  </w:t>
      </w:r>
    </w:p>
    <w:p w14:paraId="0000001E">
      <w:pPr>
        <w:spacing w:before="240" w:after="0" w:line="48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If granted leave, the applicants intend to bring a substantive constitutional application in terms of 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85(1) of the Constitution and rule 27 of the Rules, seeking declaratory and consequential relief for the violation of their constitutionally protected rights by the Supreme Court.</w:t>
      </w:r>
    </w:p>
    <w:p w14:paraId="0000001F">
      <w:pPr>
        <w:spacing w:after="0" w:line="480" w:lineRule="auto"/>
        <w:jc w:val="both"/>
        <w:rPr>
          <w:rFonts w:ascii="Times New Roman" w:cs="Times New Roman" w:eastAsia="Times New Roman" w:hAnsi="Times New Roman"/>
          <w:sz w:val="24"/>
          <w:szCs w:val="24"/>
        </w:rPr>
      </w:pPr>
    </w:p>
    <w:p w14:paraId="00000020">
      <w:pPr>
        <w:spacing w:after="0" w:line="48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Submissions by </w:t>
      </w:r>
      <w:r>
        <w:rPr>
          <w:rFonts w:ascii="Times New Roman" w:cs="Times New Roman" w:eastAsia="Times New Roman" w:hAnsi="Times New Roman"/>
          <w:b/>
          <w:bCs/>
          <w:sz w:val="24"/>
          <w:szCs w:val="24"/>
        </w:rPr>
        <w:t>Counsel</w:t>
      </w:r>
      <w:r>
        <w:rPr>
          <w:rFonts w:ascii="Times New Roman" w:cs="Times New Roman" w:eastAsia="Times New Roman" w:hAnsi="Times New Roman"/>
          <w:b/>
          <w:bCs/>
          <w:sz w:val="24"/>
          <w:szCs w:val="24"/>
        </w:rPr>
        <w:t xml:space="preserve"> </w:t>
      </w:r>
    </w:p>
    <w:p w14:paraId="00000021">
      <w:pPr>
        <w:spacing w:after="0" w:line="48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Mr </w:t>
      </w:r>
      <w:r>
        <w:rPr>
          <w:rFonts w:ascii="Times New Roman" w:cs="Times New Roman" w:eastAsia="Times New Roman" w:hAnsi="Times New Roman"/>
          <w:i/>
          <w:iCs/>
          <w:sz w:val="24"/>
          <w:szCs w:val="24"/>
        </w:rPr>
        <w:t xml:space="preserve">Gwisai, </w:t>
      </w:r>
      <w:r>
        <w:rPr>
          <w:rFonts w:ascii="Times New Roman" w:cs="Times New Roman" w:eastAsia="Times New Roman" w:hAnsi="Times New Roman"/>
          <w:sz w:val="24"/>
          <w:szCs w:val="24"/>
        </w:rPr>
        <w:t>for the applicants, submi</w:t>
      </w:r>
      <w:r>
        <w:rPr>
          <w:rFonts w:ascii="Times New Roman" w:cs="Times New Roman" w:eastAsia="Times New Roman" w:hAnsi="Times New Roman"/>
          <w:sz w:val="24"/>
          <w:szCs w:val="24"/>
        </w:rPr>
        <w:t>ts</w:t>
      </w:r>
      <w:r>
        <w:rPr>
          <w:rFonts w:ascii="Times New Roman" w:cs="Times New Roman" w:eastAsia="Times New Roman" w:hAnsi="Times New Roman"/>
          <w:sz w:val="24"/>
          <w:szCs w:val="24"/>
        </w:rPr>
        <w:t xml:space="preserve"> that the principal argument by the applicants was to the effect that the Suprem</w:t>
      </w:r>
      <w:r>
        <w:rPr>
          <w:rFonts w:ascii="Times New Roman" w:cs="Times New Roman" w:eastAsia="Times New Roman" w:hAnsi="Times New Roman"/>
          <w:sz w:val="24"/>
          <w:szCs w:val="24"/>
        </w:rPr>
        <w:t>e Court</w:t>
      </w:r>
      <w:r>
        <w:rPr>
          <w:rFonts w:ascii="Times New Roman" w:cs="Times New Roman" w:eastAsia="Times New Roman" w:hAnsi="Times New Roman"/>
          <w:sz w:val="24"/>
          <w:szCs w:val="24"/>
        </w:rPr>
        <w:t xml:space="preserve"> adopted an interpretation mode in which it avoided applying constitutional interpretation, which was mandatory in interpreting s</w:t>
      </w:r>
      <w:r>
        <w:rPr>
          <w:rFonts w:ascii="Times New Roman" w:cs="Times New Roman" w:eastAsia="Times New Roman" w:hAnsi="Times New Roman"/>
          <w:sz w:val="24"/>
          <w:szCs w:val="24"/>
        </w:rPr>
        <w:t>s</w:t>
      </w:r>
      <w:r>
        <w:rPr>
          <w:rFonts w:ascii="Times New Roman" w:cs="Times New Roman" w:eastAsia="Times New Roman" w:hAnsi="Times New Roman"/>
          <w:sz w:val="24"/>
          <w:szCs w:val="24"/>
        </w:rPr>
        <w:t xml:space="preserve"> 25A(5) and 12C(1) of the Labour Ac</w:t>
      </w:r>
      <w:r>
        <w:rPr>
          <w:rFonts w:ascii="Times New Roman" w:cs="Times New Roman" w:eastAsia="Times New Roman" w:hAnsi="Times New Roman"/>
          <w:sz w:val="24"/>
          <w:szCs w:val="24"/>
        </w:rPr>
        <w:t>t</w:t>
      </w:r>
      <w:r>
        <w:rPr>
          <w:rFonts w:ascii="Times New Roman" w:cs="Times New Roman" w:eastAsia="Times New Roman" w:hAnsi="Times New Roman"/>
          <w:sz w:val="24"/>
          <w:szCs w:val="24"/>
        </w:rPr>
        <w:t xml:space="preserve">. He </w:t>
      </w:r>
      <w:r>
        <w:rPr>
          <w:rFonts w:ascii="Times New Roman" w:cs="Times New Roman" w:eastAsia="Times New Roman" w:hAnsi="Times New Roman"/>
          <w:sz w:val="24"/>
          <w:szCs w:val="24"/>
        </w:rPr>
        <w:t>argues</w:t>
      </w:r>
      <w:r>
        <w:rPr>
          <w:rFonts w:ascii="Times New Roman" w:cs="Times New Roman" w:eastAsia="Times New Roman" w:hAnsi="Times New Roman"/>
          <w:sz w:val="24"/>
          <w:szCs w:val="24"/>
        </w:rPr>
        <w:t xml:space="preserve"> that by avoiding dealing with constitutional interpretation, the court </w:t>
      </w:r>
      <w:r>
        <w:rPr>
          <w:rFonts w:ascii="Times New Roman" w:cs="Times New Roman" w:eastAsia="Times New Roman" w:hAnsi="Times New Roman"/>
          <w:i/>
          <w:iCs/>
          <w:sz w:val="24"/>
          <w:szCs w:val="24"/>
        </w:rPr>
        <w:t xml:space="preserve">a quo </w:t>
      </w:r>
      <w:r>
        <w:rPr>
          <w:rFonts w:ascii="Times New Roman" w:cs="Times New Roman" w:eastAsia="Times New Roman" w:hAnsi="Times New Roman"/>
          <w:sz w:val="24"/>
          <w:szCs w:val="24"/>
        </w:rPr>
        <w:t xml:space="preserve">effectively violated the applicants’ rights under ss 65(1) and 56(1) of the Constitution. He further </w:t>
      </w:r>
      <w:r>
        <w:rPr>
          <w:rFonts w:ascii="Times New Roman" w:cs="Times New Roman" w:eastAsia="Times New Roman" w:hAnsi="Times New Roman"/>
          <w:sz w:val="24"/>
          <w:szCs w:val="24"/>
        </w:rPr>
        <w:t>contends</w:t>
      </w:r>
      <w:r>
        <w:rPr>
          <w:rFonts w:ascii="Times New Roman" w:cs="Times New Roman" w:eastAsia="Times New Roman" w:hAnsi="Times New Roman"/>
          <w:sz w:val="24"/>
          <w:szCs w:val="24"/>
        </w:rPr>
        <w:t xml:space="preserve"> that the court </w:t>
      </w:r>
      <w:r>
        <w:rPr>
          <w:rFonts w:ascii="Times New Roman" w:cs="Times New Roman" w:eastAsia="Times New Roman" w:hAnsi="Times New Roman"/>
          <w:i/>
          <w:iCs/>
          <w:sz w:val="24"/>
          <w:szCs w:val="24"/>
        </w:rPr>
        <w:t xml:space="preserve">a quo, </w:t>
      </w:r>
      <w:r>
        <w:rPr>
          <w:rFonts w:ascii="Times New Roman" w:cs="Times New Roman" w:eastAsia="Times New Roman" w:hAnsi="Times New Roman"/>
          <w:sz w:val="24"/>
          <w:szCs w:val="24"/>
        </w:rPr>
        <w:t xml:space="preserve">in its judgment, took </w:t>
      </w:r>
      <w:r>
        <w:rPr>
          <w:rFonts w:ascii="Times New Roman" w:cs="Times New Roman" w:eastAsia="Times New Roman" w:hAnsi="Times New Roman"/>
          <w:sz w:val="24"/>
          <w:szCs w:val="24"/>
        </w:rPr>
        <w:t xml:space="preserve">the incorrect </w:t>
      </w:r>
      <w:r>
        <w:rPr>
          <w:rFonts w:ascii="Times New Roman" w:cs="Times New Roman" w:eastAsia="Times New Roman" w:hAnsi="Times New Roman"/>
          <w:sz w:val="24"/>
          <w:szCs w:val="24"/>
        </w:rPr>
        <w:t>position that s</w:t>
      </w:r>
      <w:r>
        <w:rPr>
          <w:rFonts w:ascii="Times New Roman" w:cs="Times New Roman" w:eastAsia="Times New Roman" w:hAnsi="Times New Roman"/>
          <w:sz w:val="24"/>
          <w:szCs w:val="24"/>
        </w:rPr>
        <w:t>s</w:t>
      </w:r>
      <w:r>
        <w:rPr>
          <w:rFonts w:ascii="Times New Roman" w:cs="Times New Roman" w:eastAsia="Times New Roman" w:hAnsi="Times New Roman"/>
          <w:sz w:val="24"/>
          <w:szCs w:val="24"/>
        </w:rPr>
        <w:t xml:space="preserve"> 25A(5) and 12C were precise and unambiguous and </w:t>
      </w:r>
      <w:r>
        <w:rPr>
          <w:rFonts w:ascii="Times New Roman" w:cs="Times New Roman" w:eastAsia="Times New Roman" w:hAnsi="Times New Roman"/>
          <w:sz w:val="24"/>
          <w:szCs w:val="24"/>
        </w:rPr>
        <w:t>that, therefore</w:t>
      </w:r>
      <w:r>
        <w:rPr>
          <w:rFonts w:ascii="Times New Roman" w:cs="Times New Roman" w:eastAsia="Times New Roman" w:hAnsi="Times New Roman"/>
          <w:sz w:val="24"/>
          <w:szCs w:val="24"/>
        </w:rPr>
        <w:t xml:space="preserve">, there was no need to go beyond the literal and golden rules of interpretation. </w:t>
      </w:r>
    </w:p>
    <w:p w14:paraId="00000022">
      <w:pPr>
        <w:spacing w:before="240" w:after="0" w:line="48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Counsel also submi</w:t>
      </w:r>
      <w:r>
        <w:rPr>
          <w:rFonts w:ascii="Times New Roman" w:cs="Times New Roman" w:eastAsia="Times New Roman" w:hAnsi="Times New Roman"/>
          <w:sz w:val="24"/>
          <w:szCs w:val="24"/>
        </w:rPr>
        <w:t>ts</w:t>
      </w:r>
      <w:r>
        <w:rPr>
          <w:rFonts w:ascii="Times New Roman" w:cs="Times New Roman" w:eastAsia="Times New Roman" w:hAnsi="Times New Roman"/>
          <w:sz w:val="24"/>
          <w:szCs w:val="24"/>
        </w:rPr>
        <w:t xml:space="preserve"> that the court </w:t>
      </w:r>
      <w:r>
        <w:rPr>
          <w:rFonts w:ascii="Times New Roman" w:cs="Times New Roman" w:eastAsia="Times New Roman" w:hAnsi="Times New Roman"/>
          <w:i/>
          <w:iCs/>
          <w:sz w:val="24"/>
          <w:szCs w:val="24"/>
        </w:rPr>
        <w:t>a quo</w:t>
      </w:r>
      <w:r>
        <w:rPr>
          <w:rFonts w:ascii="Times New Roman" w:cs="Times New Roman" w:eastAsia="Times New Roman" w:hAnsi="Times New Roman"/>
          <w:sz w:val="24"/>
          <w:szCs w:val="24"/>
        </w:rPr>
        <w:t xml:space="preserve"> ought to have interpreted the provisions of the Labour Act in a manner that accords with s 46(2) of the Constitution, which states that courts </w:t>
      </w:r>
      <w:r>
        <w:rPr>
          <w:rFonts w:ascii="Times New Roman" w:cs="Times New Roman" w:eastAsia="Times New Roman" w:hAnsi="Times New Roman"/>
          <w:sz w:val="24"/>
          <w:szCs w:val="24"/>
        </w:rPr>
        <w:t>must</w:t>
      </w:r>
      <w:r>
        <w:rPr>
          <w:rFonts w:ascii="Times New Roman" w:cs="Times New Roman" w:eastAsia="Times New Roman" w:hAnsi="Times New Roman"/>
          <w:sz w:val="24"/>
          <w:szCs w:val="24"/>
        </w:rPr>
        <w:t xml:space="preserve"> be guided by the spirit of the Constitution in interpreting the law. He argue</w:t>
      </w:r>
      <w:r>
        <w:rPr>
          <w:rFonts w:ascii="Times New Roman" w:cs="Times New Roman" w:eastAsia="Times New Roman" w:hAnsi="Times New Roman"/>
          <w:sz w:val="24"/>
          <w:szCs w:val="24"/>
        </w:rPr>
        <w:t>s</w:t>
      </w:r>
      <w:r>
        <w:rPr>
          <w:rFonts w:ascii="Times New Roman" w:cs="Times New Roman" w:eastAsia="Times New Roman" w:hAnsi="Times New Roman"/>
          <w:sz w:val="24"/>
          <w:szCs w:val="24"/>
        </w:rPr>
        <w:t xml:space="preserve"> that the court </w:t>
      </w:r>
      <w:r>
        <w:rPr>
          <w:rFonts w:ascii="Times New Roman" w:cs="Times New Roman" w:eastAsia="Times New Roman" w:hAnsi="Times New Roman"/>
          <w:i/>
          <w:iCs/>
          <w:sz w:val="24"/>
          <w:szCs w:val="24"/>
        </w:rPr>
        <w:t xml:space="preserve">a quo </w:t>
      </w:r>
      <w:r>
        <w:rPr>
          <w:rFonts w:ascii="Times New Roman" w:cs="Times New Roman" w:eastAsia="Times New Roman" w:hAnsi="Times New Roman"/>
          <w:sz w:val="24"/>
          <w:szCs w:val="24"/>
        </w:rPr>
        <w:t>silently applied the doctrine of constitutional avoidance, which resulted in absurd and unjust results. Further, he submit</w:t>
      </w:r>
      <w:r>
        <w:rPr>
          <w:rFonts w:ascii="Times New Roman" w:cs="Times New Roman" w:eastAsia="Times New Roman" w:hAnsi="Times New Roman"/>
          <w:sz w:val="24"/>
          <w:szCs w:val="24"/>
        </w:rPr>
        <w:t>s</w:t>
      </w:r>
      <w:r>
        <w:rPr>
          <w:rFonts w:ascii="Times New Roman" w:cs="Times New Roman" w:eastAsia="Times New Roman" w:hAnsi="Times New Roman"/>
          <w:sz w:val="24"/>
          <w:szCs w:val="24"/>
        </w:rPr>
        <w:t xml:space="preserve"> that</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even without the Constitution, the court </w:t>
      </w:r>
      <w:r>
        <w:rPr>
          <w:rFonts w:ascii="Times New Roman" w:cs="Times New Roman" w:eastAsia="Times New Roman" w:hAnsi="Times New Roman"/>
          <w:i/>
          <w:iCs/>
          <w:sz w:val="24"/>
          <w:szCs w:val="24"/>
        </w:rPr>
        <w:t xml:space="preserve">a quo </w:t>
      </w:r>
      <w:r>
        <w:rPr>
          <w:rFonts w:ascii="Times New Roman" w:cs="Times New Roman" w:eastAsia="Times New Roman" w:hAnsi="Times New Roman"/>
          <w:sz w:val="24"/>
          <w:szCs w:val="24"/>
        </w:rPr>
        <w:t xml:space="preserve">ought to have been guided by the interpretation section of the Labour Act, which calls for </w:t>
      </w:r>
      <w:r>
        <w:rPr>
          <w:rFonts w:ascii="Times New Roman" w:cs="Times New Roman" w:eastAsia="Times New Roman" w:hAnsi="Times New Roman"/>
          <w:sz w:val="24"/>
          <w:szCs w:val="24"/>
        </w:rPr>
        <w:t>a</w:t>
      </w:r>
      <w:r>
        <w:rPr>
          <w:rFonts w:ascii="Times New Roman" w:cs="Times New Roman" w:eastAsia="Times New Roman" w:hAnsi="Times New Roman"/>
          <w:sz w:val="24"/>
          <w:szCs w:val="24"/>
        </w:rPr>
        <w:t xml:space="preserve"> purposive approach in interpreting the provisions of the Act. According to counsel, the court </w:t>
      </w:r>
      <w:r>
        <w:rPr>
          <w:rFonts w:ascii="Times New Roman" w:cs="Times New Roman" w:eastAsia="Times New Roman" w:hAnsi="Times New Roman"/>
          <w:i/>
          <w:iCs/>
          <w:sz w:val="24"/>
          <w:szCs w:val="24"/>
        </w:rPr>
        <w:t>a quo</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effectively </w:t>
      </w:r>
      <w:r>
        <w:rPr>
          <w:rFonts w:ascii="Times New Roman" w:cs="Times New Roman" w:eastAsia="Times New Roman" w:hAnsi="Times New Roman"/>
          <w:sz w:val="24"/>
          <w:szCs w:val="24"/>
        </w:rPr>
        <w:t xml:space="preserve">allowed the mass retrenchment of employees without consultation. </w:t>
      </w:r>
    </w:p>
    <w:p w14:paraId="00000023">
      <w:pPr>
        <w:spacing w:before="240" w:after="0" w:line="48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i/>
          <w:iCs/>
          <w:sz w:val="24"/>
          <w:szCs w:val="24"/>
        </w:rPr>
        <w:t>Per contra</w:t>
      </w:r>
      <w:r>
        <w:rPr>
          <w:rFonts w:ascii="Times New Roman" w:cs="Times New Roman" w:eastAsia="Times New Roman" w:hAnsi="Times New Roman"/>
          <w:sz w:val="24"/>
          <w:szCs w:val="24"/>
        </w:rPr>
        <w:t xml:space="preserve">, Mr </w:t>
      </w:r>
      <w:r>
        <w:rPr>
          <w:rFonts w:ascii="Times New Roman" w:cs="Times New Roman" w:eastAsia="Times New Roman" w:hAnsi="Times New Roman"/>
          <w:i/>
          <w:iCs/>
          <w:sz w:val="24"/>
          <w:szCs w:val="24"/>
        </w:rPr>
        <w:t>Bhebhe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for the respondent, </w:t>
      </w:r>
      <w:r>
        <w:rPr>
          <w:rFonts w:ascii="Times New Roman" w:cs="Times New Roman" w:eastAsia="Times New Roman" w:hAnsi="Times New Roman"/>
          <w:sz w:val="24"/>
          <w:szCs w:val="24"/>
        </w:rPr>
        <w:t>submit</w:t>
      </w:r>
      <w:r>
        <w:rPr>
          <w:rFonts w:ascii="Times New Roman" w:cs="Times New Roman" w:eastAsia="Times New Roman" w:hAnsi="Times New Roman"/>
          <w:sz w:val="24"/>
          <w:szCs w:val="24"/>
        </w:rPr>
        <w:t>s</w:t>
      </w:r>
      <w:r>
        <w:rPr>
          <w:rFonts w:ascii="Times New Roman" w:cs="Times New Roman" w:eastAsia="Times New Roman" w:hAnsi="Times New Roman"/>
          <w:sz w:val="24"/>
          <w:szCs w:val="24"/>
        </w:rPr>
        <w:t xml:space="preserve"> that the decision of the Supreme Court on non-constitutional matters is final and correct, and no disguise can be used by a litigant to challenge the decision. To support this proposition, he place</w:t>
      </w:r>
      <w:r>
        <w:rPr>
          <w:rFonts w:ascii="Times New Roman" w:cs="Times New Roman" w:eastAsia="Times New Roman" w:hAnsi="Times New Roman"/>
          <w:sz w:val="24"/>
          <w:szCs w:val="24"/>
        </w:rPr>
        <w:t>s</w:t>
      </w:r>
      <w:r>
        <w:rPr>
          <w:rFonts w:ascii="Times New Roman" w:cs="Times New Roman" w:eastAsia="Times New Roman" w:hAnsi="Times New Roman"/>
          <w:sz w:val="24"/>
          <w:szCs w:val="24"/>
        </w:rPr>
        <w:t xml:space="preserve"> reliance on s </w:t>
      </w:r>
      <w:r>
        <w:rPr>
          <w:rFonts w:ascii="Times New Roman" w:cs="Times New Roman" w:eastAsia="Times New Roman" w:hAnsi="Times New Roman"/>
          <w:sz w:val="24"/>
          <w:szCs w:val="24"/>
        </w:rPr>
        <w:t>1</w:t>
      </w:r>
      <w:r>
        <w:rPr>
          <w:rFonts w:ascii="Times New Roman" w:cs="Times New Roman" w:eastAsia="Times New Roman" w:hAnsi="Times New Roman"/>
          <w:sz w:val="24"/>
          <w:szCs w:val="24"/>
        </w:rPr>
        <w:t>69</w:t>
      </w:r>
      <w:r>
        <w:rPr>
          <w:rFonts w:ascii="Times New Roman" w:cs="Times New Roman" w:eastAsia="Times New Roman" w:hAnsi="Times New Roman"/>
          <w:sz w:val="24"/>
          <w:szCs w:val="24"/>
        </w:rPr>
        <w:t>(1)</w:t>
      </w:r>
      <w:r>
        <w:rPr>
          <w:rFonts w:ascii="Times New Roman" w:cs="Times New Roman" w:eastAsia="Times New Roman" w:hAnsi="Times New Roman"/>
          <w:sz w:val="24"/>
          <w:szCs w:val="24"/>
        </w:rPr>
        <w:t xml:space="preserve"> of the Constitution and s 26 of the Supreme Court Act [</w:t>
      </w:r>
      <w:r>
        <w:rPr>
          <w:rFonts w:ascii="Times New Roman" w:cs="Times New Roman" w:eastAsia="Times New Roman" w:hAnsi="Times New Roman"/>
          <w:i/>
          <w:iCs/>
          <w:sz w:val="24"/>
          <w:szCs w:val="24"/>
        </w:rPr>
        <w:t>Chapter 7:13</w:t>
      </w:r>
      <w:r>
        <w:rPr>
          <w:rFonts w:ascii="Times New Roman" w:cs="Times New Roman" w:eastAsia="Times New Roman" w:hAnsi="Times New Roman"/>
          <w:sz w:val="24"/>
          <w:szCs w:val="24"/>
        </w:rPr>
        <w:t xml:space="preserve">]. Counsel </w:t>
      </w:r>
      <w:r>
        <w:rPr>
          <w:rFonts w:ascii="Times New Roman" w:cs="Times New Roman" w:eastAsia="Times New Roman" w:hAnsi="Times New Roman"/>
          <w:sz w:val="24"/>
          <w:szCs w:val="24"/>
        </w:rPr>
        <w:t>argues</w:t>
      </w:r>
      <w:r>
        <w:rPr>
          <w:rFonts w:ascii="Times New Roman" w:cs="Times New Roman" w:eastAsia="Times New Roman" w:hAnsi="Times New Roman"/>
          <w:sz w:val="24"/>
          <w:szCs w:val="24"/>
        </w:rPr>
        <w:t xml:space="preserve"> that the court </w:t>
      </w:r>
      <w:r>
        <w:rPr>
          <w:rFonts w:ascii="Times New Roman" w:cs="Times New Roman" w:eastAsia="Times New Roman" w:hAnsi="Times New Roman"/>
          <w:i/>
          <w:iCs/>
          <w:sz w:val="24"/>
          <w:szCs w:val="24"/>
        </w:rPr>
        <w:t xml:space="preserve">a quo </w:t>
      </w:r>
      <w:r>
        <w:rPr>
          <w:rFonts w:ascii="Times New Roman" w:cs="Times New Roman" w:eastAsia="Times New Roman" w:hAnsi="Times New Roman"/>
          <w:sz w:val="24"/>
          <w:szCs w:val="24"/>
        </w:rPr>
        <w:t xml:space="preserve">answered both questions </w:t>
      </w:r>
      <w:r>
        <w:rPr>
          <w:rFonts w:ascii="Times New Roman" w:cs="Times New Roman" w:eastAsia="Times New Roman" w:hAnsi="Times New Roman"/>
          <w:sz w:val="24"/>
          <w:szCs w:val="24"/>
        </w:rPr>
        <w:t xml:space="preserve">before it </w:t>
      </w:r>
      <w:r>
        <w:rPr>
          <w:rFonts w:ascii="Times New Roman" w:cs="Times New Roman" w:eastAsia="Times New Roman" w:hAnsi="Times New Roman"/>
          <w:sz w:val="24"/>
          <w:szCs w:val="24"/>
        </w:rPr>
        <w:t xml:space="preserve">by relating to the provisions of the Labour Act through interpretation by the golden rule. He </w:t>
      </w:r>
      <w:r>
        <w:rPr>
          <w:rFonts w:ascii="Times New Roman" w:cs="Times New Roman" w:eastAsia="Times New Roman" w:hAnsi="Times New Roman"/>
          <w:sz w:val="24"/>
          <w:szCs w:val="24"/>
        </w:rPr>
        <w:t>contends</w:t>
      </w:r>
      <w:r>
        <w:rPr>
          <w:rFonts w:ascii="Times New Roman" w:cs="Times New Roman" w:eastAsia="Times New Roman" w:hAnsi="Times New Roman"/>
          <w:sz w:val="24"/>
          <w:szCs w:val="24"/>
        </w:rPr>
        <w:t xml:space="preserve"> that the obligation placed on </w:t>
      </w:r>
      <w:r>
        <w:rPr>
          <w:rFonts w:ascii="Times New Roman" w:cs="Times New Roman" w:eastAsia="Times New Roman" w:hAnsi="Times New Roman"/>
          <w:sz w:val="24"/>
          <w:szCs w:val="24"/>
        </w:rPr>
        <w:t>an</w:t>
      </w:r>
      <w:r>
        <w:rPr>
          <w:rFonts w:ascii="Times New Roman" w:cs="Times New Roman" w:eastAsia="Times New Roman" w:hAnsi="Times New Roman"/>
          <w:sz w:val="24"/>
          <w:szCs w:val="24"/>
        </w:rPr>
        <w:t xml:space="preserve"> employer is to notify and not to consult the </w:t>
      </w:r>
      <w:r>
        <w:rPr>
          <w:rFonts w:ascii="Times New Roman" w:cs="Times New Roman" w:eastAsia="Times New Roman" w:hAnsi="Times New Roman"/>
          <w:sz w:val="24"/>
          <w:szCs w:val="24"/>
        </w:rPr>
        <w:t>works council</w:t>
      </w:r>
      <w:r>
        <w:rPr>
          <w:rFonts w:ascii="Times New Roman" w:cs="Times New Roman" w:eastAsia="Times New Roman" w:hAnsi="Times New Roman"/>
          <w:sz w:val="24"/>
          <w:szCs w:val="24"/>
        </w:rPr>
        <w:t>.</w:t>
      </w:r>
    </w:p>
    <w:p w14:paraId="00000024">
      <w:pPr>
        <w:spacing w:before="240" w:after="0" w:line="48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Mr. </w:t>
      </w:r>
      <w:r>
        <w:rPr>
          <w:rFonts w:ascii="Times New Roman" w:cs="Times New Roman" w:eastAsia="Times New Roman" w:hAnsi="Times New Roman"/>
          <w:i/>
          <w:iCs/>
          <w:sz w:val="24"/>
          <w:szCs w:val="24"/>
        </w:rPr>
        <w:t xml:space="preserve">Bhebhe </w:t>
      </w:r>
      <w:r>
        <w:rPr>
          <w:rFonts w:ascii="Times New Roman" w:cs="Times New Roman" w:eastAsia="Times New Roman" w:hAnsi="Times New Roman"/>
          <w:sz w:val="24"/>
          <w:szCs w:val="24"/>
        </w:rPr>
        <w:t>submi</w:t>
      </w:r>
      <w:r>
        <w:rPr>
          <w:rFonts w:ascii="Times New Roman" w:cs="Times New Roman" w:eastAsia="Times New Roman" w:hAnsi="Times New Roman"/>
          <w:sz w:val="24"/>
          <w:szCs w:val="24"/>
        </w:rPr>
        <w:t>ts</w:t>
      </w:r>
      <w:r>
        <w:rPr>
          <w:rFonts w:ascii="Times New Roman" w:cs="Times New Roman" w:eastAsia="Times New Roman" w:hAnsi="Times New Roman"/>
          <w:sz w:val="24"/>
          <w:szCs w:val="24"/>
        </w:rPr>
        <w:t xml:space="preserve"> that the court </w:t>
      </w:r>
      <w:r>
        <w:rPr>
          <w:rFonts w:ascii="Times New Roman" w:cs="Times New Roman" w:eastAsia="Times New Roman" w:hAnsi="Times New Roman"/>
          <w:i/>
          <w:iCs/>
          <w:sz w:val="24"/>
          <w:szCs w:val="24"/>
        </w:rPr>
        <w:t xml:space="preserve">a quo </w:t>
      </w:r>
      <w:r>
        <w:rPr>
          <w:rFonts w:ascii="Times New Roman" w:cs="Times New Roman" w:eastAsia="Times New Roman" w:hAnsi="Times New Roman"/>
          <w:sz w:val="24"/>
          <w:szCs w:val="24"/>
        </w:rPr>
        <w:t>was correct, as there was no challenge to the constitutionality of the</w:t>
      </w:r>
      <w:r>
        <w:rPr>
          <w:rFonts w:ascii="Times New Roman" w:cs="Times New Roman" w:eastAsia="Times New Roman" w:hAnsi="Times New Roman"/>
          <w:sz w:val="24"/>
          <w:szCs w:val="24"/>
        </w:rPr>
        <w:t xml:space="preserve"> relevant</w:t>
      </w:r>
      <w:r>
        <w:rPr>
          <w:rFonts w:ascii="Times New Roman" w:cs="Times New Roman" w:eastAsia="Times New Roman" w:hAnsi="Times New Roman"/>
          <w:sz w:val="24"/>
          <w:szCs w:val="24"/>
        </w:rPr>
        <w:t xml:space="preserve"> provisions of the Labour Act. He </w:t>
      </w:r>
      <w:r>
        <w:rPr>
          <w:rFonts w:ascii="Times New Roman" w:cs="Times New Roman" w:eastAsia="Times New Roman" w:hAnsi="Times New Roman"/>
          <w:sz w:val="24"/>
          <w:szCs w:val="24"/>
        </w:rPr>
        <w:t xml:space="preserve">further </w:t>
      </w:r>
      <w:r>
        <w:rPr>
          <w:rFonts w:ascii="Times New Roman" w:cs="Times New Roman" w:eastAsia="Times New Roman" w:hAnsi="Times New Roman"/>
          <w:sz w:val="24"/>
          <w:szCs w:val="24"/>
        </w:rPr>
        <w:t>submi</w:t>
      </w:r>
      <w:r>
        <w:rPr>
          <w:rFonts w:ascii="Times New Roman" w:cs="Times New Roman" w:eastAsia="Times New Roman" w:hAnsi="Times New Roman"/>
          <w:sz w:val="24"/>
          <w:szCs w:val="24"/>
        </w:rPr>
        <w:t>ts</w:t>
      </w:r>
      <w:r>
        <w:rPr>
          <w:rFonts w:ascii="Times New Roman" w:cs="Times New Roman" w:eastAsia="Times New Roman" w:hAnsi="Times New Roman"/>
          <w:sz w:val="24"/>
          <w:szCs w:val="24"/>
        </w:rPr>
        <w:t xml:space="preserve"> that the court </w:t>
      </w:r>
      <w:r>
        <w:rPr>
          <w:rFonts w:ascii="Times New Roman" w:cs="Times New Roman" w:eastAsia="Times New Roman" w:hAnsi="Times New Roman"/>
          <w:i/>
          <w:iCs/>
          <w:sz w:val="24"/>
          <w:szCs w:val="24"/>
        </w:rPr>
        <w:t xml:space="preserve">a quo </w:t>
      </w:r>
      <w:r>
        <w:rPr>
          <w:rFonts w:ascii="Times New Roman" w:cs="Times New Roman" w:eastAsia="Times New Roman" w:hAnsi="Times New Roman"/>
          <w:sz w:val="24"/>
          <w:szCs w:val="24"/>
        </w:rPr>
        <w:t xml:space="preserve">could not substitute the word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notify</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with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consult</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or delete the </w:t>
      </w:r>
      <w:r>
        <w:rPr>
          <w:rFonts w:ascii="Times New Roman" w:cs="Times New Roman" w:eastAsia="Times New Roman" w:hAnsi="Times New Roman"/>
          <w:sz w:val="24"/>
          <w:szCs w:val="24"/>
        </w:rPr>
        <w:t>proviso</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to s 25A(5)</w:t>
      </w:r>
      <w:r>
        <w:rPr>
          <w:rFonts w:ascii="Times New Roman" w:cs="Times New Roman" w:eastAsia="Times New Roman" w:hAnsi="Times New Roman"/>
          <w:sz w:val="24"/>
          <w:szCs w:val="24"/>
        </w:rPr>
        <w:t xml:space="preserve"> of the Act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Additionally</w:t>
      </w:r>
      <w:r>
        <w:rPr>
          <w:rFonts w:ascii="Times New Roman" w:cs="Times New Roman" w:eastAsia="Times New Roman" w:hAnsi="Times New Roman"/>
          <w:sz w:val="24"/>
          <w:szCs w:val="24"/>
        </w:rPr>
        <w:t xml:space="preserve">, the same </w:t>
      </w:r>
      <w:r>
        <w:rPr>
          <w:rFonts w:ascii="Times New Roman" w:cs="Times New Roman" w:eastAsia="Times New Roman" w:hAnsi="Times New Roman"/>
          <w:sz w:val="24"/>
          <w:szCs w:val="24"/>
        </w:rPr>
        <w:t>applies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to </w:t>
      </w:r>
      <w:r>
        <w:rPr>
          <w:rFonts w:ascii="Times New Roman" w:cs="Times New Roman" w:eastAsia="Times New Roman" w:hAnsi="Times New Roman"/>
          <w:sz w:val="24"/>
          <w:szCs w:val="24"/>
        </w:rPr>
        <w:t xml:space="preserve">s 12C as the Supreme Court only interprets and does not change the law, </w:t>
      </w:r>
      <w:r>
        <w:rPr>
          <w:rFonts w:ascii="Times New Roman" w:cs="Times New Roman" w:eastAsia="Times New Roman" w:hAnsi="Times New Roman"/>
          <w:sz w:val="24"/>
          <w:szCs w:val="24"/>
        </w:rPr>
        <w:t xml:space="preserve">since </w:t>
      </w:r>
      <w:r>
        <w:rPr>
          <w:rFonts w:ascii="Times New Roman" w:cs="Times New Roman" w:eastAsia="Times New Roman" w:hAnsi="Times New Roman"/>
          <w:sz w:val="24"/>
          <w:szCs w:val="24"/>
        </w:rPr>
        <w:t xml:space="preserve">the provisions are deemed </w:t>
      </w:r>
      <w:r>
        <w:rPr>
          <w:rFonts w:ascii="Times New Roman" w:cs="Times New Roman" w:eastAsia="Times New Roman" w:hAnsi="Times New Roman"/>
          <w:sz w:val="24"/>
          <w:szCs w:val="24"/>
        </w:rPr>
        <w:t xml:space="preserve">to be </w:t>
      </w:r>
      <w:r>
        <w:rPr>
          <w:rFonts w:ascii="Times New Roman" w:cs="Times New Roman" w:eastAsia="Times New Roman" w:hAnsi="Times New Roman"/>
          <w:sz w:val="24"/>
          <w:szCs w:val="24"/>
        </w:rPr>
        <w:t xml:space="preserve">constitutional and no absurdity arises from </w:t>
      </w:r>
      <w:r>
        <w:rPr>
          <w:rFonts w:ascii="Times New Roman" w:cs="Times New Roman" w:eastAsia="Times New Roman" w:hAnsi="Times New Roman"/>
          <w:sz w:val="24"/>
          <w:szCs w:val="24"/>
        </w:rPr>
        <w:t>those</w:t>
      </w:r>
      <w:r>
        <w:rPr>
          <w:rFonts w:ascii="Times New Roman" w:cs="Times New Roman" w:eastAsia="Times New Roman" w:hAnsi="Times New Roman"/>
          <w:sz w:val="24"/>
          <w:szCs w:val="24"/>
        </w:rPr>
        <w:t xml:space="preserve"> provisions. Counsel also </w:t>
      </w:r>
      <w:r>
        <w:rPr>
          <w:rFonts w:ascii="Times New Roman" w:cs="Times New Roman" w:eastAsia="Times New Roman" w:hAnsi="Times New Roman"/>
          <w:sz w:val="24"/>
          <w:szCs w:val="24"/>
        </w:rPr>
        <w:t>contends</w:t>
      </w:r>
      <w:r>
        <w:rPr>
          <w:rFonts w:ascii="Times New Roman" w:cs="Times New Roman" w:eastAsia="Times New Roman" w:hAnsi="Times New Roman"/>
          <w:sz w:val="24"/>
          <w:szCs w:val="24"/>
        </w:rPr>
        <w:t xml:space="preserve"> that </w:t>
      </w:r>
      <w:r>
        <w:rPr>
          <w:rFonts w:ascii="Times New Roman" w:cs="Times New Roman" w:eastAsia="Times New Roman" w:hAnsi="Times New Roman"/>
          <w:sz w:val="24"/>
          <w:szCs w:val="24"/>
        </w:rPr>
        <w:t>any</w:t>
      </w:r>
      <w:r>
        <w:rPr>
          <w:rFonts w:ascii="Times New Roman" w:cs="Times New Roman" w:eastAsia="Times New Roman" w:hAnsi="Times New Roman"/>
          <w:sz w:val="24"/>
          <w:szCs w:val="24"/>
        </w:rPr>
        <w:t xml:space="preserve"> possible contradiction </w:t>
      </w:r>
      <w:r>
        <w:rPr>
          <w:rFonts w:ascii="Times New Roman" w:cs="Times New Roman" w:eastAsia="Times New Roman" w:hAnsi="Times New Roman"/>
          <w:sz w:val="24"/>
          <w:szCs w:val="24"/>
        </w:rPr>
        <w:t>between</w:t>
      </w:r>
      <w:r>
        <w:rPr>
          <w:rFonts w:ascii="Times New Roman" w:cs="Times New Roman" w:eastAsia="Times New Roman" w:hAnsi="Times New Roman"/>
          <w:sz w:val="24"/>
          <w:szCs w:val="24"/>
        </w:rPr>
        <w:t xml:space="preserve"> the</w:t>
      </w:r>
      <w:r>
        <w:rPr>
          <w:rFonts w:ascii="Times New Roman" w:cs="Times New Roman" w:eastAsia="Times New Roman" w:hAnsi="Times New Roman"/>
          <w:sz w:val="24"/>
          <w:szCs w:val="24"/>
        </w:rPr>
        <w:t xml:space="preserve"> proviso</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to s 25A(5) and s 12C is not there, as the proviso</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 xml:space="preserve">relates to consultation and s 12C relates to giving a written notice. </w:t>
      </w:r>
      <w:r>
        <w:rPr>
          <w:rFonts w:ascii="Times New Roman" w:cs="Times New Roman" w:eastAsia="Times New Roman" w:hAnsi="Times New Roman"/>
          <w:sz w:val="24"/>
          <w:szCs w:val="24"/>
        </w:rPr>
        <w:t>In any case,</w:t>
      </w:r>
      <w:r>
        <w:rPr>
          <w:rFonts w:ascii="Times New Roman" w:cs="Times New Roman" w:eastAsia="Times New Roman" w:hAnsi="Times New Roman"/>
          <w:sz w:val="24"/>
          <w:szCs w:val="24"/>
        </w:rPr>
        <w:t xml:space="preserve"> even if there is a contradiction, s 12C(1) came at a later stage and should </w:t>
      </w:r>
      <w:r>
        <w:rPr>
          <w:rFonts w:ascii="Times New Roman" w:cs="Times New Roman" w:eastAsia="Times New Roman" w:hAnsi="Times New Roman"/>
          <w:sz w:val="24"/>
          <w:szCs w:val="24"/>
        </w:rPr>
        <w:t xml:space="preserve">therefore </w:t>
      </w:r>
      <w:r>
        <w:rPr>
          <w:rFonts w:ascii="Times New Roman" w:cs="Times New Roman" w:eastAsia="Times New Roman" w:hAnsi="Times New Roman"/>
          <w:sz w:val="24"/>
          <w:szCs w:val="24"/>
        </w:rPr>
        <w:t xml:space="preserve">prevail. </w:t>
      </w:r>
    </w:p>
    <w:p w14:paraId="00000025">
      <w:pPr>
        <w:spacing w:before="240" w:after="0" w:line="48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Counsel submit</w:t>
      </w:r>
      <w:r>
        <w:rPr>
          <w:rFonts w:ascii="Times New Roman" w:cs="Times New Roman" w:eastAsia="Times New Roman" w:hAnsi="Times New Roman"/>
          <w:sz w:val="24"/>
          <w:szCs w:val="24"/>
        </w:rPr>
        <w:t>s t</w:t>
      </w:r>
      <w:r>
        <w:rPr>
          <w:rFonts w:ascii="Times New Roman" w:cs="Times New Roman" w:eastAsia="Times New Roman" w:hAnsi="Times New Roman"/>
          <w:sz w:val="24"/>
          <w:szCs w:val="24"/>
        </w:rPr>
        <w:t xml:space="preserve">hat the </w:t>
      </w:r>
      <w:r>
        <w:rPr>
          <w:rFonts w:ascii="Times New Roman" w:cs="Times New Roman" w:eastAsia="Times New Roman" w:hAnsi="Times New Roman"/>
          <w:sz w:val="24"/>
          <w:szCs w:val="24"/>
        </w:rPr>
        <w:t xml:space="preserve">instant </w:t>
      </w:r>
      <w:r>
        <w:rPr>
          <w:rFonts w:ascii="Times New Roman" w:cs="Times New Roman" w:eastAsia="Times New Roman" w:hAnsi="Times New Roman"/>
          <w:sz w:val="24"/>
          <w:szCs w:val="24"/>
        </w:rPr>
        <w:t xml:space="preserve">application </w:t>
      </w:r>
      <w:r>
        <w:rPr>
          <w:rFonts w:ascii="Times New Roman" w:cs="Times New Roman" w:eastAsia="Times New Roman" w:hAnsi="Times New Roman"/>
          <w:sz w:val="24"/>
          <w:szCs w:val="24"/>
        </w:rPr>
        <w:t xml:space="preserve">is </w:t>
      </w:r>
      <w:r>
        <w:rPr>
          <w:rFonts w:ascii="Times New Roman" w:cs="Times New Roman" w:eastAsia="Times New Roman" w:hAnsi="Times New Roman"/>
          <w:sz w:val="24"/>
          <w:szCs w:val="24"/>
        </w:rPr>
        <w:t xml:space="preserve">a disguised appeal and must </w:t>
      </w:r>
      <w:r>
        <w:rPr>
          <w:rFonts w:ascii="Times New Roman" w:cs="Times New Roman" w:eastAsia="Times New Roman" w:hAnsi="Times New Roman"/>
          <w:sz w:val="24"/>
          <w:szCs w:val="24"/>
        </w:rPr>
        <w:t xml:space="preserve">therefore </w:t>
      </w:r>
      <w:r>
        <w:rPr>
          <w:rFonts w:ascii="Times New Roman" w:cs="Times New Roman" w:eastAsia="Times New Roman" w:hAnsi="Times New Roman"/>
          <w:sz w:val="24"/>
          <w:szCs w:val="24"/>
        </w:rPr>
        <w:t xml:space="preserve">fail. </w:t>
      </w:r>
      <w:r>
        <w:rPr>
          <w:rFonts w:ascii="Times New Roman" w:cs="Times New Roman" w:eastAsia="Times New Roman" w:hAnsi="Times New Roman"/>
          <w:sz w:val="24"/>
          <w:szCs w:val="24"/>
        </w:rPr>
        <w:t xml:space="preserve">He notes that </w:t>
      </w:r>
      <w:r>
        <w:rPr>
          <w:rFonts w:ascii="Times New Roman" w:cs="Times New Roman" w:eastAsia="Times New Roman" w:hAnsi="Times New Roman"/>
          <w:sz w:val="24"/>
          <w:szCs w:val="24"/>
        </w:rPr>
        <w:t xml:space="preserve">the draft order in the substantive application is the same </w:t>
      </w:r>
      <w:r>
        <w:rPr>
          <w:rFonts w:ascii="Times New Roman" w:cs="Times New Roman" w:eastAsia="Times New Roman" w:hAnsi="Times New Roman"/>
          <w:sz w:val="24"/>
          <w:szCs w:val="24"/>
        </w:rPr>
        <w:t xml:space="preserve">as the </w:t>
      </w:r>
      <w:r>
        <w:rPr>
          <w:rFonts w:ascii="Times New Roman" w:cs="Times New Roman" w:eastAsia="Times New Roman" w:hAnsi="Times New Roman"/>
          <w:sz w:val="24"/>
          <w:szCs w:val="24"/>
        </w:rPr>
        <w:t xml:space="preserve">relief </w:t>
      </w:r>
      <w:r>
        <w:rPr>
          <w:rFonts w:ascii="Times New Roman" w:cs="Times New Roman" w:eastAsia="Times New Roman" w:hAnsi="Times New Roman"/>
          <w:sz w:val="24"/>
          <w:szCs w:val="24"/>
        </w:rPr>
        <w:t>that the applicants</w:t>
      </w:r>
      <w:r>
        <w:rPr>
          <w:rFonts w:ascii="Times New Roman" w:cs="Times New Roman" w:eastAsia="Times New Roman" w:hAnsi="Times New Roman"/>
          <w:sz w:val="24"/>
          <w:szCs w:val="24"/>
        </w:rPr>
        <w:t xml:space="preserve"> sought in the proceedings before the court </w:t>
      </w:r>
      <w:r>
        <w:rPr>
          <w:rFonts w:ascii="Times New Roman" w:cs="Times New Roman" w:eastAsia="Times New Roman" w:hAnsi="Times New Roman"/>
          <w:i/>
          <w:iCs/>
          <w:sz w:val="24"/>
          <w:szCs w:val="24"/>
        </w:rPr>
        <w:t xml:space="preserve">a quo </w:t>
      </w:r>
      <w:r>
        <w:rPr>
          <w:rFonts w:ascii="Times New Roman" w:cs="Times New Roman" w:eastAsia="Times New Roman" w:hAnsi="Times New Roman"/>
          <w:sz w:val="24"/>
          <w:szCs w:val="24"/>
        </w:rPr>
        <w:t xml:space="preserve">in a non-constitutional matter. </w:t>
      </w:r>
      <w:r>
        <w:rPr>
          <w:rFonts w:ascii="Times New Roman" w:cs="Times New Roman" w:eastAsia="Times New Roman" w:hAnsi="Times New Roman"/>
          <w:sz w:val="24"/>
          <w:szCs w:val="24"/>
        </w:rPr>
        <w:t>He</w:t>
      </w:r>
      <w:r>
        <w:rPr>
          <w:rFonts w:ascii="Times New Roman" w:cs="Times New Roman" w:eastAsia="Times New Roman" w:hAnsi="Times New Roman"/>
          <w:sz w:val="24"/>
          <w:szCs w:val="24"/>
        </w:rPr>
        <w:t xml:space="preserve"> further </w:t>
      </w:r>
      <w:r>
        <w:rPr>
          <w:rFonts w:ascii="Times New Roman" w:cs="Times New Roman" w:eastAsia="Times New Roman" w:hAnsi="Times New Roman"/>
          <w:sz w:val="24"/>
          <w:szCs w:val="24"/>
        </w:rPr>
        <w:t>argues</w:t>
      </w:r>
      <w:r>
        <w:rPr>
          <w:rFonts w:ascii="Times New Roman" w:cs="Times New Roman" w:eastAsia="Times New Roman" w:hAnsi="Times New Roman"/>
          <w:sz w:val="24"/>
          <w:szCs w:val="24"/>
        </w:rPr>
        <w:t xml:space="preserve"> that a fair and equitable remedy cannot be the reinstatement of the employees where they allege the application of unfair principles. </w:t>
      </w:r>
      <w:r>
        <w:rPr>
          <w:rFonts w:ascii="Times New Roman" w:cs="Times New Roman" w:eastAsia="Times New Roman" w:hAnsi="Times New Roman"/>
          <w:sz w:val="24"/>
          <w:szCs w:val="24"/>
        </w:rPr>
        <w:t>Counsel</w:t>
      </w:r>
      <w:r>
        <w:rPr>
          <w:rFonts w:ascii="Times New Roman" w:cs="Times New Roman" w:eastAsia="Times New Roman" w:hAnsi="Times New Roman"/>
          <w:sz w:val="24"/>
          <w:szCs w:val="24"/>
        </w:rPr>
        <w:t xml:space="preserve"> therefore pray</w:t>
      </w:r>
      <w:r>
        <w:rPr>
          <w:rFonts w:ascii="Times New Roman" w:cs="Times New Roman" w:eastAsia="Times New Roman" w:hAnsi="Times New Roman"/>
          <w:sz w:val="24"/>
          <w:szCs w:val="24"/>
        </w:rPr>
        <w:t>s</w:t>
      </w:r>
      <w:r>
        <w:rPr>
          <w:rFonts w:ascii="Times New Roman" w:cs="Times New Roman" w:eastAsia="Times New Roman" w:hAnsi="Times New Roman"/>
          <w:sz w:val="24"/>
          <w:szCs w:val="24"/>
        </w:rPr>
        <w:t xml:space="preserve"> for the dismissal of the application.</w:t>
      </w:r>
    </w:p>
    <w:p w14:paraId="00000026">
      <w:pPr>
        <w:spacing w:after="0" w:line="480" w:lineRule="auto"/>
        <w:jc w:val="both"/>
        <w:rPr>
          <w:rFonts w:ascii="Times New Roman" w:cs="Times New Roman" w:eastAsia="Times New Roman" w:hAnsi="Times New Roman"/>
          <w:sz w:val="24"/>
          <w:szCs w:val="24"/>
        </w:rPr>
      </w:pPr>
    </w:p>
    <w:p w14:paraId="00000027">
      <w:pPr>
        <w:spacing w:after="0" w:line="48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The Governing Principles</w:t>
      </w:r>
    </w:p>
    <w:p w14:paraId="00000028">
      <w:pPr>
        <w:spacing w:after="0" w:line="480" w:lineRule="auto"/>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The principles governing direct access to this Court are clearly defined. Not every individual with a constitutional concern has an automatic right to petition this Court. Rather, direct access is a discretionary remedy, only granted when the requirements stipulated in </w:t>
      </w:r>
      <w:r>
        <w:rPr>
          <w:rFonts w:ascii="Times New Roman" w:cs="Times New Roman" w:eastAsia="Times New Roman" w:hAnsi="Times New Roman"/>
          <w:bCs/>
          <w:sz w:val="24"/>
          <w:szCs w:val="24"/>
        </w:rPr>
        <w:t>the</w:t>
      </w:r>
      <w:r>
        <w:rPr>
          <w:rFonts w:ascii="Times New Roman" w:cs="Times New Roman" w:eastAsia="Times New Roman" w:hAnsi="Times New Roman"/>
          <w:bCs/>
          <w:sz w:val="24"/>
          <w:szCs w:val="24"/>
        </w:rPr>
        <w:t xml:space="preserve"> Court’s </w:t>
      </w:r>
      <w:r>
        <w:rPr>
          <w:rFonts w:ascii="Times New Roman" w:cs="Times New Roman" w:eastAsia="Times New Roman" w:hAnsi="Times New Roman"/>
          <w:bCs/>
          <w:sz w:val="24"/>
          <w:szCs w:val="24"/>
        </w:rPr>
        <w:t>Rules</w:t>
      </w:r>
      <w:r>
        <w:rPr>
          <w:rFonts w:ascii="Times New Roman" w:cs="Times New Roman" w:eastAsia="Times New Roman" w:hAnsi="Times New Roman"/>
          <w:bCs/>
          <w:sz w:val="24"/>
          <w:szCs w:val="24"/>
        </w:rPr>
        <w:t xml:space="preserve"> are meticulously fulfilled. </w:t>
      </w:r>
      <w:r>
        <w:rPr>
          <w:rFonts w:ascii="Times New Roman" w:cs="Times New Roman" w:eastAsia="Times New Roman" w:hAnsi="Times New Roman"/>
          <w:bCs/>
          <w:sz w:val="24"/>
          <w:szCs w:val="24"/>
        </w:rPr>
        <w:t>Rule 26(4) sets out the essential elements of such an application</w:t>
      </w:r>
      <w:r>
        <w:rPr>
          <w:rFonts w:ascii="Times New Roman" w:cs="Times New Roman" w:eastAsia="Times New Roman" w:hAnsi="Times New Roman"/>
          <w:bCs/>
          <w:sz w:val="24"/>
          <w:szCs w:val="24"/>
        </w:rPr>
        <w:t>, in particular, the interest</w:t>
      </w:r>
      <w:r>
        <w:rPr>
          <w:rFonts w:ascii="Times New Roman" w:cs="Times New Roman" w:eastAsia="Times New Roman" w:hAnsi="Times New Roman"/>
          <w:bCs/>
          <w:sz w:val="24"/>
          <w:szCs w:val="24"/>
        </w:rPr>
        <w:t>s</w:t>
      </w:r>
      <w:r>
        <w:rPr>
          <w:rFonts w:ascii="Times New Roman" w:cs="Times New Roman" w:eastAsia="Times New Roman" w:hAnsi="Times New Roman"/>
          <w:bCs/>
          <w:sz w:val="24"/>
          <w:szCs w:val="24"/>
        </w:rPr>
        <w:t xml:space="preserve"> of justice. Additionally, </w:t>
      </w:r>
      <w:bookmarkStart w:id="1" w:name="_Hlk203473325"/>
      <w:r>
        <w:rPr>
          <w:rFonts w:ascii="Times New Roman" w:cs="Times New Roman" w:eastAsia="Times New Roman" w:hAnsi="Times New Roman"/>
          <w:bCs/>
          <w:sz w:val="24"/>
          <w:szCs w:val="24"/>
        </w:rPr>
        <w:t>r 26</w:t>
      </w:r>
      <w:r>
        <w:rPr>
          <w:rFonts w:ascii="Times New Roman" w:cs="Times New Roman" w:eastAsia="Times New Roman" w:hAnsi="Times New Roman"/>
          <w:bCs/>
          <w:sz w:val="24"/>
          <w:szCs w:val="24"/>
        </w:rPr>
        <w:t xml:space="preserve">(9) delineates the key factors that must guide the Court’s discretion, </w:t>
      </w:r>
      <w:r>
        <w:rPr>
          <w:rFonts w:ascii="Times New Roman" w:cs="Times New Roman" w:eastAsia="Times New Roman" w:hAnsi="Times New Roman"/>
          <w:bCs/>
          <w:i/>
          <w:iCs/>
          <w:sz w:val="24"/>
          <w:szCs w:val="24"/>
        </w:rPr>
        <w:t>viz</w:t>
      </w:r>
      <w:r>
        <w:rPr>
          <w:rFonts w:ascii="Times New Roman" w:cs="Times New Roman" w:eastAsia="Times New Roman" w:hAnsi="Times New Roman"/>
          <w:bCs/>
          <w:i/>
          <w:iCs/>
          <w:sz w:val="24"/>
          <w:szCs w:val="24"/>
        </w:rPr>
        <w:t>.</w:t>
      </w:r>
      <w:r>
        <w:rPr>
          <w:rFonts w:ascii="Times New Roman" w:cs="Times New Roman" w:eastAsia="Times New Roman" w:hAnsi="Times New Roman"/>
          <w:bCs/>
          <w:i/>
          <w:iCs/>
          <w:sz w:val="24"/>
          <w:szCs w:val="24"/>
        </w:rPr>
        <w:t xml:space="preserve"> </w:t>
      </w:r>
      <w:r>
        <w:rPr>
          <w:rFonts w:ascii="Times New Roman" w:cs="Times New Roman" w:eastAsia="Times New Roman" w:hAnsi="Times New Roman"/>
          <w:bCs/>
          <w:sz w:val="24"/>
          <w:szCs w:val="24"/>
        </w:rPr>
        <w:t xml:space="preserve">the prospects of success, the availability of alternative remedies, and </w:t>
      </w:r>
      <w:r>
        <w:rPr>
          <w:rFonts w:ascii="Times New Roman" w:cs="Times New Roman" w:eastAsia="Times New Roman" w:hAnsi="Times New Roman"/>
          <w:bCs/>
          <w:sz w:val="24"/>
          <w:szCs w:val="24"/>
        </w:rPr>
        <w:t>the resolution of any factual disputes. The c</w:t>
      </w:r>
      <w:r>
        <w:rPr>
          <w:rFonts w:ascii="Times New Roman" w:cs="Times New Roman" w:eastAsia="Times New Roman" w:hAnsi="Times New Roman"/>
          <w:bCs/>
          <w:sz w:val="24"/>
          <w:szCs w:val="24"/>
        </w:rPr>
        <w:t>rux of the present application is whether the interests of justice favour the granting of direct access to the applicants.</w:t>
      </w:r>
      <w:bookmarkEnd w:id="1"/>
    </w:p>
    <w:p w14:paraId="00000029">
      <w:pPr>
        <w:spacing w:after="0" w:line="480" w:lineRule="auto"/>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p>
    <w:p w14:paraId="0000002A">
      <w:pPr>
        <w:spacing w:after="0" w:line="480" w:lineRule="auto"/>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Constitutional Matter before the Court</w:t>
      </w:r>
      <w:r>
        <w:rPr>
          <w:rFonts w:ascii="Times New Roman" w:cs="Times New Roman" w:eastAsia="Times New Roman" w:hAnsi="Times New Roman"/>
          <w:b/>
          <w:sz w:val="24"/>
          <w:szCs w:val="24"/>
        </w:rPr>
        <w:t xml:space="preserve"> </w:t>
      </w:r>
    </w:p>
    <w:p w14:paraId="0000002B">
      <w:pPr>
        <w:spacing w:after="0" w:line="480" w:lineRule="auto"/>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In order to determine whether the application before this Court has merit, it is important to first determine whether there is a constitutional matter before the Court. A constitutional matter is defined in s 332 of the Constitution as a matter in which there is an issue involving the interpretation, protection or enforcement of the Constitution. In </w:t>
      </w:r>
      <w:r>
        <w:rPr>
          <w:rFonts w:ascii="Times New Roman" w:cs="Times New Roman" w:eastAsia="Times New Roman" w:hAnsi="Times New Roman"/>
          <w:i/>
          <w:sz w:val="24"/>
          <w:szCs w:val="24"/>
        </w:rPr>
        <w:t xml:space="preserve">Moyo </w:t>
      </w:r>
      <w:r>
        <w:rPr>
          <w:rFonts w:ascii="Times New Roman" w:cs="Times New Roman" w:eastAsia="Times New Roman" w:hAnsi="Times New Roman"/>
          <w:iCs/>
          <w:sz w:val="24"/>
          <w:szCs w:val="24"/>
        </w:rPr>
        <w:t>v</w:t>
      </w:r>
      <w:r>
        <w:rPr>
          <w:rFonts w:ascii="Times New Roman" w:cs="Times New Roman" w:eastAsia="Times New Roman" w:hAnsi="Times New Roman"/>
          <w:i/>
          <w:sz w:val="24"/>
          <w:szCs w:val="24"/>
        </w:rPr>
        <w:t xml:space="preserve"> Chacha &amp; Ors </w:t>
      </w:r>
      <w:r>
        <w:rPr>
          <w:rFonts w:ascii="Times New Roman" w:cs="Times New Roman" w:eastAsia="Times New Roman" w:hAnsi="Times New Roman"/>
          <w:sz w:val="24"/>
          <w:szCs w:val="24"/>
        </w:rPr>
        <w:t>2017</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(2) ZLR 142 (CC), </w:t>
      </w:r>
      <w:r>
        <w:rPr>
          <w:rFonts w:ascii="Times New Roman" w:cs="Times New Roman" w:eastAsia="Times New Roman" w:hAnsi="Times New Roman"/>
          <w:bCs/>
          <w:sz w:val="24"/>
          <w:szCs w:val="24"/>
        </w:rPr>
        <w:t>this Court defined a constitutional matter</w:t>
      </w:r>
      <w:r>
        <w:rPr>
          <w:rFonts w:ascii="Times New Roman" w:cs="Times New Roman" w:eastAsia="Times New Roman" w:hAnsi="Times New Roman"/>
          <w:bCs/>
          <w:sz w:val="24"/>
          <w:szCs w:val="24"/>
        </w:rPr>
        <w:t>,</w:t>
      </w:r>
      <w:r>
        <w:rPr>
          <w:rFonts w:ascii="Times New Roman" w:cs="Times New Roman" w:eastAsia="Times New Roman" w:hAnsi="Times New Roman"/>
          <w:bCs/>
          <w:sz w:val="24"/>
          <w:szCs w:val="24"/>
        </w:rPr>
        <w:t xml:space="preserve"> at 150D</w:t>
      </w:r>
      <w:r>
        <w:rPr>
          <w:rFonts w:ascii="Times New Roman" w:cs="Times New Roman" w:eastAsia="Times New Roman" w:hAnsi="Times New Roman"/>
          <w:bCs/>
          <w:sz w:val="24"/>
          <w:szCs w:val="24"/>
        </w:rPr>
        <w:t>,</w:t>
      </w:r>
      <w:r>
        <w:rPr>
          <w:rFonts w:ascii="Times New Roman" w:cs="Times New Roman" w:eastAsia="Times New Roman" w:hAnsi="Times New Roman"/>
          <w:bCs/>
          <w:sz w:val="24"/>
          <w:szCs w:val="24"/>
        </w:rPr>
        <w:t xml:space="preserve"> as follows:</w:t>
      </w:r>
    </w:p>
    <w:p w14:paraId="0000002C">
      <w:pPr>
        <w:spacing w:after="0" w:line="240" w:lineRule="auto"/>
        <w:ind w:left="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“The import of the definition of ‘constitutional matter’ is that the Constitutional Court would be generally concerned with the determination of matters raising questions of </w:t>
      </w:r>
      <w:r>
        <w:rPr>
          <w:rFonts w:ascii="Times New Roman" w:cs="Times New Roman" w:eastAsia="Times New Roman" w:hAnsi="Times New Roman"/>
          <w:bCs/>
          <w:sz w:val="24"/>
          <w:szCs w:val="24"/>
        </w:rPr>
        <w:t>law, the resolution of which require the interpretation, protection or enforcement of the Constitution.</w:t>
      </w:r>
    </w:p>
    <w:p w14:paraId="0000002D">
      <w:pPr>
        <w:spacing w:before="240" w:after="0" w:line="240" w:lineRule="auto"/>
        <w:ind w:left="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The Constitutional Court has no competence to hear and determine issues that do not involve the interpretation or enforcement of the Constitution or are not connected with a decision on issues involving the interpretation, protection or enforcement of the Constitution.”</w:t>
      </w:r>
    </w:p>
    <w:p w14:paraId="0000002E">
      <w:pPr>
        <w:spacing w:before="240" w:after="0" w:line="480" w:lineRule="auto"/>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A constitutional matter arises where the relief sought by the party alleging an infringement of a right </w:t>
      </w:r>
      <w:r>
        <w:rPr>
          <w:rFonts w:ascii="Times New Roman" w:cs="Times New Roman" w:eastAsia="Times New Roman" w:hAnsi="Times New Roman"/>
          <w:bCs/>
          <w:sz w:val="24"/>
          <w:szCs w:val="24"/>
        </w:rPr>
        <w:t>is only</w:t>
      </w:r>
      <w:r>
        <w:rPr>
          <w:rFonts w:ascii="Times New Roman" w:cs="Times New Roman" w:eastAsia="Times New Roman" w:hAnsi="Times New Roman"/>
          <w:bCs/>
          <w:sz w:val="24"/>
          <w:szCs w:val="24"/>
        </w:rPr>
        <w:t xml:space="preserve"> obtainable through the interpretation, protection, or enforcement of a provision of the Constitution and not from any other subsidiary law. </w:t>
      </w:r>
    </w:p>
    <w:p w14:paraId="0000002F">
      <w:pPr>
        <w:spacing w:before="240" w:after="0" w:line="480" w:lineRule="auto"/>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The application before this Court is against a decision of the Supreme Court. </w:t>
      </w:r>
      <w:r>
        <w:rPr>
          <w:rFonts w:ascii="Times New Roman" w:cs="Times New Roman" w:eastAsia="Times New Roman" w:hAnsi="Times New Roman"/>
          <w:bCs/>
          <w:sz w:val="24"/>
          <w:szCs w:val="24"/>
        </w:rPr>
        <w:t>The matter before the Supreme Court was not a constitutional matter</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 xml:space="preserve">and the order given by the Supreme Court is not on </w:t>
      </w:r>
      <w:r>
        <w:rPr>
          <w:rFonts w:ascii="Times New Roman" w:cs="Times New Roman" w:eastAsia="Times New Roman" w:hAnsi="Times New Roman"/>
          <w:bCs/>
          <w:sz w:val="24"/>
          <w:szCs w:val="24"/>
        </w:rPr>
        <w:t>any</w:t>
      </w:r>
      <w:r>
        <w:rPr>
          <w:rFonts w:ascii="Times New Roman" w:cs="Times New Roman" w:eastAsia="Times New Roman" w:hAnsi="Times New Roman"/>
          <w:bCs/>
          <w:sz w:val="24"/>
          <w:szCs w:val="24"/>
        </w:rPr>
        <w:t xml:space="preserve"> constitutional issue. </w:t>
      </w:r>
      <w:r>
        <w:rPr>
          <w:rFonts w:ascii="Times New Roman" w:cs="Times New Roman" w:eastAsia="Times New Roman" w:hAnsi="Times New Roman"/>
          <w:bCs/>
          <w:sz w:val="24"/>
          <w:szCs w:val="24"/>
        </w:rPr>
        <w:t>It is trite that the</w:t>
      </w:r>
      <w:r>
        <w:rPr>
          <w:rFonts w:ascii="Times New Roman" w:cs="Times New Roman" w:eastAsia="Times New Roman" w:hAnsi="Times New Roman"/>
          <w:bCs/>
          <w:sz w:val="24"/>
          <w:szCs w:val="24"/>
        </w:rPr>
        <w:t xml:space="preserve"> Supreme Court is the final court </w:t>
      </w:r>
      <w:r>
        <w:rPr>
          <w:rFonts w:ascii="Times New Roman" w:cs="Times New Roman" w:eastAsia="Times New Roman" w:hAnsi="Times New Roman"/>
          <w:bCs/>
          <w:sz w:val="24"/>
          <w:szCs w:val="24"/>
        </w:rPr>
        <w:t>of</w:t>
      </w:r>
      <w:r>
        <w:rPr>
          <w:rFonts w:ascii="Times New Roman" w:cs="Times New Roman" w:eastAsia="Times New Roman" w:hAnsi="Times New Roman"/>
          <w:bCs/>
          <w:sz w:val="24"/>
          <w:szCs w:val="24"/>
        </w:rPr>
        <w:t xml:space="preserve"> appeal </w:t>
      </w:r>
      <w:r>
        <w:rPr>
          <w:rFonts w:ascii="Times New Roman" w:cs="Times New Roman" w:eastAsia="Times New Roman" w:hAnsi="Times New Roman"/>
          <w:bCs/>
          <w:sz w:val="24"/>
          <w:szCs w:val="24"/>
        </w:rPr>
        <w:t>in</w:t>
      </w:r>
      <w:r>
        <w:rPr>
          <w:rFonts w:ascii="Times New Roman" w:cs="Times New Roman" w:eastAsia="Times New Roman" w:hAnsi="Times New Roman"/>
          <w:bCs/>
          <w:sz w:val="24"/>
          <w:szCs w:val="24"/>
        </w:rPr>
        <w:t xml:space="preserve"> all matters except those that are constitutional in nature. </w:t>
      </w:r>
      <w:r>
        <w:rPr>
          <w:rFonts w:ascii="Times New Roman" w:cs="Times New Roman" w:eastAsia="Times New Roman" w:hAnsi="Times New Roman"/>
          <w:bCs/>
          <w:sz w:val="24"/>
          <w:szCs w:val="24"/>
        </w:rPr>
        <w:t>T</w:t>
      </w:r>
      <w:r>
        <w:rPr>
          <w:rFonts w:ascii="Times New Roman" w:cs="Times New Roman" w:eastAsia="Times New Roman" w:hAnsi="Times New Roman"/>
          <w:bCs/>
          <w:sz w:val="24"/>
          <w:szCs w:val="24"/>
        </w:rPr>
        <w:t>he applicant</w:t>
      </w:r>
      <w:r>
        <w:rPr>
          <w:rFonts w:ascii="Times New Roman" w:cs="Times New Roman" w:eastAsia="Times New Roman" w:hAnsi="Times New Roman"/>
          <w:bCs/>
          <w:sz w:val="24"/>
          <w:szCs w:val="24"/>
        </w:rPr>
        <w:t>s’</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principal contention</w:t>
      </w:r>
      <w:r>
        <w:rPr>
          <w:rFonts w:ascii="Times New Roman" w:cs="Times New Roman" w:eastAsia="Times New Roman" w:hAnsi="Times New Roman"/>
          <w:bCs/>
          <w:sz w:val="24"/>
          <w:szCs w:val="24"/>
        </w:rPr>
        <w:t xml:space="preserve"> is that the Supreme Court, in its decision, interpreted the provisions of the Labour Act in the wrong way and</w:t>
      </w:r>
      <w:r>
        <w:rPr>
          <w:rFonts w:ascii="Times New Roman" w:cs="Times New Roman" w:eastAsia="Times New Roman" w:hAnsi="Times New Roman"/>
          <w:bCs/>
          <w:sz w:val="24"/>
          <w:szCs w:val="24"/>
        </w:rPr>
        <w:t xml:space="preserve"> that,</w:t>
      </w:r>
      <w:r>
        <w:rPr>
          <w:rFonts w:ascii="Times New Roman" w:cs="Times New Roman" w:eastAsia="Times New Roman" w:hAnsi="Times New Roman"/>
          <w:bCs/>
          <w:sz w:val="24"/>
          <w:szCs w:val="24"/>
        </w:rPr>
        <w:t xml:space="preserve"> because it was wrong, its decision infringed the applicant</w:t>
      </w:r>
      <w:r>
        <w:rPr>
          <w:rFonts w:ascii="Times New Roman" w:cs="Times New Roman" w:eastAsia="Times New Roman" w:hAnsi="Times New Roman"/>
          <w:bCs/>
          <w:sz w:val="24"/>
          <w:szCs w:val="24"/>
        </w:rPr>
        <w:t>s’</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 xml:space="preserve">fundamental </w:t>
      </w:r>
      <w:r>
        <w:rPr>
          <w:rFonts w:ascii="Times New Roman" w:cs="Times New Roman" w:eastAsia="Times New Roman" w:hAnsi="Times New Roman"/>
          <w:bCs/>
          <w:sz w:val="24"/>
          <w:szCs w:val="24"/>
        </w:rPr>
        <w:t>rights. It is on this basis that the applicant</w:t>
      </w:r>
      <w:r>
        <w:rPr>
          <w:rFonts w:ascii="Times New Roman" w:cs="Times New Roman" w:eastAsia="Times New Roman" w:hAnsi="Times New Roman"/>
          <w:bCs/>
          <w:sz w:val="24"/>
          <w:szCs w:val="24"/>
        </w:rPr>
        <w:t>s</w:t>
      </w:r>
      <w:r>
        <w:rPr>
          <w:rFonts w:ascii="Times New Roman" w:cs="Times New Roman" w:eastAsia="Times New Roman" w:hAnsi="Times New Roman"/>
          <w:bCs/>
          <w:sz w:val="24"/>
          <w:szCs w:val="24"/>
        </w:rPr>
        <w:t xml:space="preserve"> call upon this Court to intervene and interfere with the Supreme Court decision.</w:t>
      </w:r>
    </w:p>
    <w:p w14:paraId="00000030">
      <w:pPr>
        <w:spacing w:before="240" w:after="0" w:line="480" w:lineRule="auto"/>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It is trite that a matter does not become constitutional merely because a court is asked to consider it in that way. The invitation by the applicants to the Supreme Court to look at the matter through a constitutional perspex does not </w:t>
      </w:r>
      <w:r>
        <w:rPr>
          <w:rFonts w:ascii="Times New Roman" w:cs="Times New Roman" w:eastAsia="Times New Roman" w:hAnsi="Times New Roman"/>
          <w:bCs/>
          <w:i/>
          <w:iCs/>
          <w:sz w:val="24"/>
          <w:szCs w:val="24"/>
        </w:rPr>
        <w:t xml:space="preserve">ipso facto </w:t>
      </w:r>
      <w:r>
        <w:rPr>
          <w:rFonts w:ascii="Times New Roman" w:cs="Times New Roman" w:eastAsia="Times New Roman" w:hAnsi="Times New Roman"/>
          <w:bCs/>
          <w:sz w:val="24"/>
          <w:szCs w:val="24"/>
        </w:rPr>
        <w:t xml:space="preserve">convert the matter into a constitutional one. </w:t>
      </w:r>
      <w:r>
        <w:rPr>
          <w:rFonts w:ascii="Times New Roman" w:cs="Times New Roman" w:eastAsia="Times New Roman" w:hAnsi="Times New Roman"/>
          <w:bCs/>
          <w:sz w:val="24"/>
          <w:szCs w:val="24"/>
        </w:rPr>
        <w:t>Moreover</w:t>
      </w:r>
      <w:r>
        <w:rPr>
          <w:rFonts w:ascii="Times New Roman" w:cs="Times New Roman" w:eastAsia="Times New Roman" w:hAnsi="Times New Roman"/>
          <w:bCs/>
          <w:sz w:val="24"/>
          <w:szCs w:val="24"/>
        </w:rPr>
        <w:t>, the applicants have failed to demonstrate that the relief that they seek is only obtainable through the Constitution and not from the relevant provisions of the Labour Act.</w:t>
      </w:r>
      <w:r>
        <w:rPr>
          <w:rFonts w:ascii="Times New Roman" w:cs="Times New Roman" w:eastAsia="Times New Roman" w:hAnsi="Times New Roman"/>
          <w:bCs/>
          <w:sz w:val="24"/>
          <w:szCs w:val="24"/>
        </w:rPr>
        <w:t xml:space="preserve"> In short, there is no constitutional matter before this Court. </w:t>
      </w:r>
    </w:p>
    <w:p w14:paraId="00000031">
      <w:pPr>
        <w:spacing w:after="0" w:line="480" w:lineRule="auto"/>
        <w:jc w:val="both"/>
        <w:rPr>
          <w:rFonts w:ascii="Times New Roman" w:cs="Times New Roman" w:eastAsia="Times New Roman" w:hAnsi="Times New Roman"/>
          <w:bCs/>
          <w:sz w:val="24"/>
          <w:szCs w:val="24"/>
        </w:rPr>
      </w:pPr>
    </w:p>
    <w:p w14:paraId="00000032">
      <w:pPr>
        <w:spacing w:after="0" w:line="480" w:lineRule="auto"/>
        <w:jc w:val="both"/>
        <w:rPr>
          <w:rFonts w:ascii="Times New Roman" w:cs="Times New Roman" w:eastAsia="Times New Roman" w:hAnsi="Times New Roman"/>
          <w:bCs/>
          <w:sz w:val="24"/>
          <w:szCs w:val="24"/>
        </w:rPr>
      </w:pPr>
      <w:r>
        <w:rPr>
          <w:rFonts w:ascii="Times New Roman" w:cs="Times New Roman" w:eastAsia="Times New Roman" w:hAnsi="Times New Roman"/>
          <w:b/>
          <w:sz w:val="24"/>
          <w:szCs w:val="24"/>
        </w:rPr>
        <w:t>Limited Review of Supreme Court Judgments</w:t>
      </w:r>
    </w:p>
    <w:p w14:paraId="00000033">
      <w:pPr>
        <w:spacing w:after="0" w:line="480" w:lineRule="auto"/>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The jurisprudence of this Court is clear </w:t>
      </w:r>
      <w:r>
        <w:rPr>
          <w:rFonts w:ascii="Times New Roman" w:cs="Times New Roman" w:eastAsia="Times New Roman" w:hAnsi="Times New Roman"/>
          <w:bCs/>
          <w:sz w:val="24"/>
          <w:szCs w:val="24"/>
        </w:rPr>
        <w:t>as to</w:t>
      </w:r>
      <w:r>
        <w:rPr>
          <w:rFonts w:ascii="Times New Roman" w:cs="Times New Roman" w:eastAsia="Times New Roman" w:hAnsi="Times New Roman"/>
          <w:bCs/>
          <w:sz w:val="24"/>
          <w:szCs w:val="24"/>
        </w:rPr>
        <w:t xml:space="preserve"> when the Court’s </w:t>
      </w:r>
      <w:r>
        <w:rPr>
          <w:rFonts w:ascii="Times New Roman" w:cs="Times New Roman" w:eastAsia="Times New Roman" w:hAnsi="Times New Roman"/>
          <w:bCs/>
          <w:sz w:val="24"/>
          <w:szCs w:val="24"/>
        </w:rPr>
        <w:t xml:space="preserve">review </w:t>
      </w:r>
      <w:r>
        <w:rPr>
          <w:rFonts w:ascii="Times New Roman" w:cs="Times New Roman" w:eastAsia="Times New Roman" w:hAnsi="Times New Roman"/>
          <w:bCs/>
          <w:sz w:val="24"/>
          <w:szCs w:val="24"/>
        </w:rPr>
        <w:t xml:space="preserve">jurisdiction is triggered in relation to Supreme Court judgments. In </w:t>
      </w:r>
      <w:r>
        <w:rPr>
          <w:rFonts w:ascii="Times New Roman" w:cs="Times New Roman" w:eastAsia="Times New Roman" w:hAnsi="Times New Roman"/>
          <w:i/>
          <w:iCs/>
          <w:sz w:val="24"/>
          <w:szCs w:val="24"/>
        </w:rPr>
        <w:t xml:space="preserve">Zimbabwe Consolidated Diamond </w:t>
      </w:r>
      <w:r>
        <w:rPr>
          <w:rFonts w:ascii="Times New Roman" w:cs="Times New Roman" w:eastAsia="Times New Roman" w:hAnsi="Times New Roman"/>
          <w:i/>
          <w:iCs/>
          <w:sz w:val="24"/>
          <w:szCs w:val="24"/>
        </w:rPr>
        <w:t xml:space="preserve">Company (Pvt) Ltd </w:t>
      </w:r>
      <w:r>
        <w:rPr>
          <w:rFonts w:ascii="Times New Roman" w:cs="Times New Roman" w:eastAsia="Times New Roman" w:hAnsi="Times New Roman"/>
          <w:sz w:val="24"/>
          <w:szCs w:val="24"/>
        </w:rPr>
        <w:t xml:space="preserve">v </w:t>
      </w:r>
      <w:r>
        <w:rPr>
          <w:rFonts w:ascii="Times New Roman" w:cs="Times New Roman" w:eastAsia="Times New Roman" w:hAnsi="Times New Roman"/>
          <w:i/>
          <w:iCs/>
          <w:sz w:val="24"/>
          <w:szCs w:val="24"/>
        </w:rPr>
        <w:t>Adelcraft</w:t>
      </w:r>
      <w:r>
        <w:rPr>
          <w:rFonts w:ascii="Times New Roman" w:cs="Times New Roman" w:eastAsia="Times New Roman" w:hAnsi="Times New Roman"/>
          <w:i/>
          <w:iCs/>
          <w:sz w:val="24"/>
          <w:szCs w:val="24"/>
        </w:rPr>
        <w:t xml:space="preserve"> Investments (Pvt) Ltd </w:t>
      </w:r>
      <w:r>
        <w:rPr>
          <w:rFonts w:ascii="Times New Roman" w:cs="Times New Roman" w:eastAsia="Times New Roman" w:hAnsi="Times New Roman"/>
          <w:sz w:val="24"/>
          <w:szCs w:val="24"/>
        </w:rPr>
        <w:t>CCZ 2-24</w:t>
      </w:r>
      <w:r>
        <w:rPr>
          <w:rFonts w:ascii="Times New Roman" w:cs="Times New Roman" w:eastAsia="Times New Roman" w:hAnsi="Times New Roman"/>
          <w:b/>
          <w:bCs/>
          <w:sz w:val="24"/>
          <w:szCs w:val="24"/>
        </w:rPr>
        <w:t>,</w:t>
      </w:r>
      <w:r>
        <w:rPr>
          <w:rFonts w:ascii="Times New Roman" w:cs="Times New Roman" w:eastAsia="Times New Roman" w:hAnsi="Times New Roman"/>
          <w:b/>
          <w:bCs/>
          <w:i/>
          <w:iCs/>
          <w:sz w:val="24"/>
          <w:szCs w:val="24"/>
        </w:rPr>
        <w:t xml:space="preserve"> </w:t>
      </w:r>
      <w:r>
        <w:rPr>
          <w:rFonts w:ascii="Times New Roman" w:cs="Times New Roman" w:eastAsia="Times New Roman" w:hAnsi="Times New Roman"/>
          <w:bCs/>
          <w:sz w:val="24"/>
          <w:szCs w:val="24"/>
        </w:rPr>
        <w:t>it was held as follows</w:t>
      </w:r>
      <w:r>
        <w:rPr>
          <w:rFonts w:ascii="Times New Roman" w:cs="Times New Roman" w:eastAsia="Times New Roman" w:hAnsi="Times New Roman"/>
          <w:bCs/>
          <w:sz w:val="24"/>
          <w:szCs w:val="24"/>
        </w:rPr>
        <w:t>,</w:t>
      </w:r>
      <w:r>
        <w:rPr>
          <w:rFonts w:ascii="Times New Roman" w:cs="Times New Roman" w:eastAsia="Times New Roman" w:hAnsi="Times New Roman"/>
          <w:bCs/>
          <w:sz w:val="24"/>
          <w:szCs w:val="24"/>
        </w:rPr>
        <w:t xml:space="preserve"> at pp. 10-</w:t>
      </w:r>
      <w:r>
        <w:rPr>
          <w:rFonts w:ascii="Times New Roman" w:cs="Times New Roman" w:eastAsia="Times New Roman" w:hAnsi="Times New Roman"/>
          <w:bCs/>
          <w:sz w:val="24"/>
          <w:szCs w:val="24"/>
        </w:rPr>
        <w:t>1</w:t>
      </w:r>
      <w:r>
        <w:rPr>
          <w:rFonts w:ascii="Times New Roman" w:cs="Times New Roman" w:eastAsia="Times New Roman" w:hAnsi="Times New Roman"/>
          <w:bCs/>
          <w:sz w:val="24"/>
          <w:szCs w:val="24"/>
        </w:rPr>
        <w:t>1:</w:t>
      </w:r>
    </w:p>
    <w:p w14:paraId="00000034">
      <w:pPr>
        <w:spacing w:after="0" w:line="240" w:lineRule="auto"/>
        <w:ind w:left="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“It must be emphasised that the decision of the Supreme Court in a non-constitutional matter is final and that its correctness cannot be challenged simply on the basis that it might be wrong. See </w:t>
      </w:r>
      <w:r>
        <w:rPr>
          <w:rFonts w:ascii="Times New Roman" w:cs="Times New Roman" w:eastAsia="Times New Roman" w:hAnsi="Times New Roman"/>
          <w:bCs/>
          <w:i/>
          <w:iCs/>
          <w:sz w:val="24"/>
          <w:szCs w:val="24"/>
        </w:rPr>
        <w:t>Williams &amp; Anor</w:t>
      </w:r>
      <w:r>
        <w:rPr>
          <w:rFonts w:ascii="Times New Roman" w:cs="Times New Roman" w:eastAsia="Times New Roman" w:hAnsi="Times New Roman"/>
          <w:bCs/>
          <w:sz w:val="24"/>
          <w:szCs w:val="24"/>
        </w:rPr>
        <w:t xml:space="preserve"> v </w:t>
      </w:r>
      <w:r>
        <w:rPr>
          <w:rFonts w:ascii="Times New Roman" w:cs="Times New Roman" w:eastAsia="Times New Roman" w:hAnsi="Times New Roman"/>
          <w:bCs/>
          <w:i/>
          <w:iCs/>
          <w:sz w:val="24"/>
          <w:szCs w:val="24"/>
        </w:rPr>
        <w:t>Msipa N.O. &amp; Ors</w:t>
      </w:r>
      <w:r>
        <w:rPr>
          <w:rFonts w:ascii="Times New Roman" w:cs="Times New Roman" w:eastAsia="Times New Roman" w:hAnsi="Times New Roman"/>
          <w:bCs/>
          <w:sz w:val="24"/>
          <w:szCs w:val="24"/>
        </w:rPr>
        <w:t xml:space="preserve"> 2010 (2) ZLR 552 (S), at 567B-C; the </w:t>
      </w:r>
      <w:r>
        <w:rPr>
          <w:rFonts w:ascii="Times New Roman" w:cs="Times New Roman" w:eastAsia="Times New Roman" w:hAnsi="Times New Roman"/>
          <w:bCs/>
          <w:i/>
          <w:iCs/>
          <w:sz w:val="24"/>
          <w:szCs w:val="24"/>
        </w:rPr>
        <w:t>Lytton Investments</w:t>
      </w:r>
      <w:r>
        <w:rPr>
          <w:rFonts w:ascii="Times New Roman" w:cs="Times New Roman" w:eastAsia="Times New Roman" w:hAnsi="Times New Roman"/>
          <w:bCs/>
          <w:sz w:val="24"/>
          <w:szCs w:val="24"/>
        </w:rPr>
        <w:t xml:space="preserve"> case, </w:t>
      </w:r>
      <w:r>
        <w:rPr>
          <w:rFonts w:ascii="Times New Roman" w:cs="Times New Roman" w:eastAsia="Times New Roman" w:hAnsi="Times New Roman"/>
          <w:bCs/>
          <w:i/>
          <w:iCs/>
          <w:sz w:val="24"/>
          <w:szCs w:val="24"/>
        </w:rPr>
        <w:t>supra</w:t>
      </w:r>
      <w:r>
        <w:rPr>
          <w:rFonts w:ascii="Times New Roman" w:cs="Times New Roman" w:eastAsia="Times New Roman" w:hAnsi="Times New Roman"/>
          <w:bCs/>
          <w:sz w:val="24"/>
          <w:szCs w:val="24"/>
        </w:rPr>
        <w:t xml:space="preserve">, at p 23; </w:t>
      </w:r>
      <w:r>
        <w:rPr>
          <w:rFonts w:ascii="Times New Roman" w:cs="Times New Roman" w:eastAsia="Times New Roman" w:hAnsi="Times New Roman"/>
          <w:bCs/>
          <w:i/>
          <w:iCs/>
          <w:sz w:val="24"/>
          <w:szCs w:val="24"/>
        </w:rPr>
        <w:t>Machine</w:t>
      </w:r>
      <w:r>
        <w:rPr>
          <w:rFonts w:ascii="Times New Roman" w:cs="Times New Roman" w:eastAsia="Times New Roman" w:hAnsi="Times New Roman"/>
          <w:bCs/>
          <w:sz w:val="24"/>
          <w:szCs w:val="24"/>
        </w:rPr>
        <w:t xml:space="preserve"> v </w:t>
      </w:r>
      <w:r>
        <w:rPr>
          <w:rFonts w:ascii="Times New Roman" w:cs="Times New Roman" w:eastAsia="Times New Roman" w:hAnsi="Times New Roman"/>
          <w:bCs/>
          <w:i/>
          <w:iCs/>
          <w:sz w:val="24"/>
          <w:szCs w:val="24"/>
        </w:rPr>
        <w:t>Sheriff for Zimbabwe &amp; Ors</w:t>
      </w:r>
      <w:r>
        <w:rPr>
          <w:rFonts w:ascii="Times New Roman" w:cs="Times New Roman" w:eastAsia="Times New Roman" w:hAnsi="Times New Roman"/>
          <w:bCs/>
          <w:sz w:val="24"/>
          <w:szCs w:val="24"/>
        </w:rPr>
        <w:t xml:space="preserve"> CCZ 8-23, at p 9. The tests to be applied in scrutinising the final determination of the Supreme Court in a non-constitutional matter were lucidly articulated in the </w:t>
      </w:r>
      <w:r>
        <w:rPr>
          <w:rFonts w:ascii="Times New Roman" w:cs="Times New Roman" w:eastAsia="Times New Roman" w:hAnsi="Times New Roman"/>
          <w:bCs/>
          <w:i/>
          <w:iCs/>
          <w:sz w:val="24"/>
          <w:szCs w:val="24"/>
        </w:rPr>
        <w:t>Lytton Investments</w:t>
      </w:r>
      <w:r>
        <w:rPr>
          <w:rFonts w:ascii="Times New Roman" w:cs="Times New Roman" w:eastAsia="Times New Roman" w:hAnsi="Times New Roman"/>
          <w:bCs/>
          <w:sz w:val="24"/>
          <w:szCs w:val="24"/>
        </w:rPr>
        <w:t xml:space="preserve"> case, </w:t>
      </w:r>
      <w:r>
        <w:rPr>
          <w:rFonts w:ascii="Times New Roman" w:cs="Times New Roman" w:eastAsia="Times New Roman" w:hAnsi="Times New Roman"/>
          <w:bCs/>
          <w:i/>
          <w:iCs/>
          <w:sz w:val="24"/>
          <w:szCs w:val="24"/>
        </w:rPr>
        <w:t>supra</w:t>
      </w:r>
      <w:r>
        <w:rPr>
          <w:rFonts w:ascii="Times New Roman" w:cs="Times New Roman" w:eastAsia="Times New Roman" w:hAnsi="Times New Roman"/>
          <w:bCs/>
          <w:sz w:val="24"/>
          <w:szCs w:val="24"/>
        </w:rPr>
        <w:t>, at pp 19-20, as follows:</w:t>
      </w:r>
    </w:p>
    <w:p w14:paraId="00000035">
      <w:pPr>
        <w:spacing w:before="240" w:after="0" w:line="240" w:lineRule="auto"/>
        <w:ind w:left="144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w:t>
      </w:r>
      <w:r>
        <w:rPr>
          <w:rFonts w:ascii="Times New Roman" w:cs="Times New Roman" w:eastAsia="Times New Roman" w:hAnsi="Times New Roman"/>
          <w:bCs/>
          <w:sz w:val="24"/>
          <w:szCs w:val="24"/>
        </w:rPr>
        <w:t>The facts must show that there is a real likelihood of the Court finding that the Supreme Court infringed the applicant’s right to judicial protection. The Supreme Court must have failed to act in accordance with the requirements of the law governing the proceedings or prescribing the rights and obligations subject to determination. The failure to act lawfully would have to be shown to have disabled the court from making a decision on the non-constitutional issue.</w:t>
      </w:r>
    </w:p>
    <w:p w14:paraId="00000036">
      <w:pPr>
        <w:spacing w:before="240" w:after="0" w:line="240" w:lineRule="auto"/>
        <w:ind w:left="144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The theory of constitutional review of a decision of the Supreme Court in a case involving a non-constitutional matter is based on the principle of loss of rights in such proceedings because of the court’s failure to act in terms of the law, thereby producing an irrational decision. There must, therefore, be proof of the failure to comply with the law. The failure must be shown to have produced an arbitrary decision.</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w:t>
      </w:r>
    </w:p>
    <w:p w14:paraId="00000037">
      <w:pPr>
        <w:spacing w:before="240" w:after="0" w:line="480" w:lineRule="auto"/>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In</w:t>
      </w:r>
      <w:r>
        <w:rPr>
          <w:rFonts w:ascii="Times New Roman" w:cs="Times New Roman" w:eastAsia="Times New Roman" w:hAnsi="Times New Roman"/>
          <w:bCs/>
          <w:sz w:val="24"/>
          <w:szCs w:val="24"/>
        </w:rPr>
        <w:t xml:space="preserve"> </w:t>
      </w:r>
      <w:r>
        <w:rPr>
          <w:rFonts w:ascii="Times New Roman" w:cs="Times New Roman" w:eastAsia="Times New Roman" w:hAnsi="Times New Roman"/>
          <w:i/>
          <w:iCs/>
          <w:sz w:val="24"/>
          <w:szCs w:val="24"/>
        </w:rPr>
        <w:t>Unifreight</w:t>
      </w:r>
      <w:r>
        <w:rPr>
          <w:rFonts w:ascii="Times New Roman" w:cs="Times New Roman" w:eastAsia="Times New Roman" w:hAnsi="Times New Roman"/>
          <w:i/>
          <w:iCs/>
          <w:sz w:val="24"/>
          <w:szCs w:val="24"/>
        </w:rPr>
        <w:t xml:space="preserve"> Africa Limited </w:t>
      </w:r>
      <w:r>
        <w:rPr>
          <w:rFonts w:ascii="Times New Roman" w:cs="Times New Roman" w:eastAsia="Times New Roman" w:hAnsi="Times New Roman"/>
          <w:sz w:val="24"/>
          <w:szCs w:val="24"/>
        </w:rPr>
        <w:t xml:space="preserve">v </w:t>
      </w:r>
      <w:r>
        <w:rPr>
          <w:rFonts w:ascii="Times New Roman" w:cs="Times New Roman" w:eastAsia="Times New Roman" w:hAnsi="Times New Roman"/>
          <w:i/>
          <w:iCs/>
          <w:sz w:val="24"/>
          <w:szCs w:val="24"/>
        </w:rPr>
        <w:t>Mashinya</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CCZ 13-24,</w:t>
      </w:r>
      <w:r>
        <w:rPr>
          <w:rFonts w:ascii="Times New Roman" w:cs="Times New Roman" w:eastAsia="Times New Roman" w:hAnsi="Times New Roman"/>
          <w:bCs/>
          <w:i/>
          <w:iCs/>
          <w:sz w:val="24"/>
          <w:szCs w:val="24"/>
        </w:rPr>
        <w:t xml:space="preserve"> </w:t>
      </w:r>
      <w:r>
        <w:rPr>
          <w:rFonts w:ascii="Times New Roman" w:cs="Times New Roman" w:eastAsia="Times New Roman" w:hAnsi="Times New Roman"/>
          <w:bCs/>
          <w:sz w:val="24"/>
          <w:szCs w:val="24"/>
        </w:rPr>
        <w:t>it was held as follows</w:t>
      </w:r>
      <w:r>
        <w:rPr>
          <w:rFonts w:ascii="Times New Roman" w:cs="Times New Roman" w:eastAsia="Times New Roman" w:hAnsi="Times New Roman"/>
          <w:bCs/>
          <w:sz w:val="24"/>
          <w:szCs w:val="24"/>
        </w:rPr>
        <w:t>,</w:t>
      </w:r>
      <w:r>
        <w:rPr>
          <w:rFonts w:ascii="Times New Roman" w:cs="Times New Roman" w:eastAsia="Times New Roman" w:hAnsi="Times New Roman"/>
          <w:bCs/>
          <w:sz w:val="24"/>
          <w:szCs w:val="24"/>
        </w:rPr>
        <w:t xml:space="preserve"> at p.</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11:</w:t>
      </w:r>
    </w:p>
    <w:p w14:paraId="00000038">
      <w:pPr>
        <w:spacing w:after="0" w:line="240" w:lineRule="auto"/>
        <w:ind w:left="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“It is important to emphasise at this juncture that the matter in the court </w:t>
      </w:r>
      <w:r>
        <w:rPr>
          <w:rFonts w:ascii="Times New Roman" w:cs="Times New Roman" w:eastAsia="Times New Roman" w:hAnsi="Times New Roman"/>
          <w:bCs/>
          <w:i/>
          <w:iCs/>
          <w:sz w:val="24"/>
          <w:szCs w:val="24"/>
        </w:rPr>
        <w:t>a quo</w:t>
      </w:r>
      <w:r>
        <w:rPr>
          <w:rFonts w:ascii="Times New Roman" w:cs="Times New Roman" w:eastAsia="Times New Roman" w:hAnsi="Times New Roman"/>
          <w:bCs/>
          <w:sz w:val="24"/>
          <w:szCs w:val="24"/>
        </w:rPr>
        <w:t xml:space="preserve"> was not premised on the interpretation, protection or enforcement of the Constitution. In other words, there was no constitutional question for determination before the court. Rather, the main issue was whether the respondent’s damages were to be paid using the interbank rate of exchange or the rate of one United States dollar to one Zimbabwean dollar.</w:t>
      </w:r>
    </w:p>
    <w:p w14:paraId="00000039">
      <w:pPr>
        <w:spacing w:before="240" w:after="0" w:line="240" w:lineRule="auto"/>
        <w:ind w:left="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Generally speaking, the jurisdiction of this Court in relation to any decision of the Supreme Court is ordinarily only triggered where there is evidence to demonstrate that such decision violated one or more of the applicant’s fundamental rights. The mere allegation of an infringement of a human right does not necessarily mean that a constitutional issue has arisen.”</w:t>
      </w:r>
    </w:p>
    <w:p w14:paraId="0000003A">
      <w:pPr>
        <w:spacing w:before="240" w:after="0" w:line="480" w:lineRule="auto"/>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Thus, it is clear that the mere allegation that the decision of the Supreme Court infringed the applicant’s right is not enough. </w:t>
      </w:r>
      <w:r>
        <w:rPr>
          <w:rFonts w:ascii="Times New Roman" w:cs="Times New Roman" w:eastAsia="Times New Roman" w:hAnsi="Times New Roman"/>
          <w:bCs/>
          <w:sz w:val="24"/>
          <w:szCs w:val="24"/>
        </w:rPr>
        <w:t>What has to be demonstrated is</w:t>
      </w:r>
      <w:r>
        <w:rPr>
          <w:rFonts w:ascii="Times New Roman" w:cs="Times New Roman" w:eastAsia="Times New Roman" w:hAnsi="Times New Roman"/>
          <w:bCs/>
          <w:sz w:val="24"/>
          <w:szCs w:val="24"/>
        </w:rPr>
        <w:t xml:space="preserve"> how that right was infringed and whether it has </w:t>
      </w:r>
      <w:r>
        <w:rPr>
          <w:rFonts w:ascii="Times New Roman" w:cs="Times New Roman" w:eastAsia="Times New Roman" w:hAnsi="Times New Roman"/>
          <w:bCs/>
          <w:sz w:val="24"/>
          <w:szCs w:val="24"/>
        </w:rPr>
        <w:t xml:space="preserve">actually </w:t>
      </w:r>
      <w:r>
        <w:rPr>
          <w:rFonts w:ascii="Times New Roman" w:cs="Times New Roman" w:eastAsia="Times New Roman" w:hAnsi="Times New Roman"/>
          <w:bCs/>
          <w:sz w:val="24"/>
          <w:szCs w:val="24"/>
        </w:rPr>
        <w:t>been infringed</w:t>
      </w:r>
      <w:r>
        <w:rPr>
          <w:rFonts w:ascii="Times New Roman" w:cs="Times New Roman" w:eastAsia="Times New Roman" w:hAnsi="Times New Roman"/>
          <w:bCs/>
          <w:sz w:val="24"/>
          <w:szCs w:val="24"/>
        </w:rPr>
        <w:t>.</w:t>
      </w:r>
    </w:p>
    <w:p w14:paraId="0000003B">
      <w:pPr>
        <w:spacing w:before="240" w:after="0" w:line="480" w:lineRule="auto"/>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As already stated earlier, t</w:t>
      </w:r>
      <w:r>
        <w:rPr>
          <w:rFonts w:ascii="Times New Roman" w:cs="Times New Roman" w:eastAsia="Times New Roman" w:hAnsi="Times New Roman"/>
          <w:bCs/>
          <w:sz w:val="24"/>
          <w:szCs w:val="24"/>
        </w:rPr>
        <w:t xml:space="preserve">he matter before the Supreme Court was not a constitutional matter and the order given by the Supreme Court </w:t>
      </w:r>
      <w:r>
        <w:rPr>
          <w:rFonts w:ascii="Times New Roman" w:cs="Times New Roman" w:eastAsia="Times New Roman" w:hAnsi="Times New Roman"/>
          <w:bCs/>
          <w:sz w:val="24"/>
          <w:szCs w:val="24"/>
        </w:rPr>
        <w:t>did not engage any</w:t>
      </w:r>
      <w:r>
        <w:rPr>
          <w:rFonts w:ascii="Times New Roman" w:cs="Times New Roman" w:eastAsia="Times New Roman" w:hAnsi="Times New Roman"/>
          <w:bCs/>
          <w:sz w:val="24"/>
          <w:szCs w:val="24"/>
        </w:rPr>
        <w:t xml:space="preserve"> constitutional issue. Even </w:t>
      </w:r>
      <w:r>
        <w:rPr>
          <w:rFonts w:ascii="Times New Roman" w:cs="Times New Roman" w:eastAsia="Times New Roman" w:hAnsi="Times New Roman"/>
          <w:bCs/>
          <w:sz w:val="24"/>
          <w:szCs w:val="24"/>
        </w:rPr>
        <w:t>though the applicant</w:t>
      </w:r>
      <w:r>
        <w:rPr>
          <w:rFonts w:ascii="Times New Roman" w:cs="Times New Roman" w:eastAsia="Times New Roman" w:hAnsi="Times New Roman"/>
          <w:bCs/>
          <w:sz w:val="24"/>
          <w:szCs w:val="24"/>
        </w:rPr>
        <w:t>s</w:t>
      </w:r>
      <w:r>
        <w:rPr>
          <w:rFonts w:ascii="Times New Roman" w:cs="Times New Roman" w:eastAsia="Times New Roman" w:hAnsi="Times New Roman"/>
          <w:bCs/>
          <w:sz w:val="24"/>
          <w:szCs w:val="24"/>
        </w:rPr>
        <w:t xml:space="preserve"> seek to bring an application in terms of s 85 of the Constitution alleging</w:t>
      </w:r>
      <w:r>
        <w:rPr>
          <w:rFonts w:ascii="Times New Roman" w:cs="Times New Roman" w:eastAsia="Times New Roman" w:hAnsi="Times New Roman"/>
          <w:bCs/>
          <w:sz w:val="24"/>
          <w:szCs w:val="24"/>
        </w:rPr>
        <w:t xml:space="preserve"> the</w:t>
      </w:r>
      <w:r>
        <w:rPr>
          <w:rFonts w:ascii="Times New Roman" w:cs="Times New Roman" w:eastAsia="Times New Roman" w:hAnsi="Times New Roman"/>
          <w:bCs/>
          <w:sz w:val="24"/>
          <w:szCs w:val="24"/>
        </w:rPr>
        <w:t xml:space="preserve"> infringement of a number of rights, it does not automatically </w:t>
      </w:r>
      <w:r>
        <w:rPr>
          <w:rFonts w:ascii="Times New Roman" w:cs="Times New Roman" w:eastAsia="Times New Roman" w:hAnsi="Times New Roman"/>
          <w:bCs/>
          <w:sz w:val="24"/>
          <w:szCs w:val="24"/>
        </w:rPr>
        <w:t>follow that</w:t>
      </w:r>
      <w:r>
        <w:rPr>
          <w:rFonts w:ascii="Times New Roman" w:cs="Times New Roman" w:eastAsia="Times New Roman" w:hAnsi="Times New Roman"/>
          <w:bCs/>
          <w:sz w:val="24"/>
          <w:szCs w:val="24"/>
        </w:rPr>
        <w:t xml:space="preserve"> there is a constitutional issue that will trigger the jurisdiction of this Court. This position was </w:t>
      </w:r>
      <w:r>
        <w:rPr>
          <w:rFonts w:ascii="Times New Roman" w:cs="Times New Roman" w:eastAsia="Times New Roman" w:hAnsi="Times New Roman"/>
          <w:bCs/>
          <w:sz w:val="24"/>
          <w:szCs w:val="24"/>
        </w:rPr>
        <w:t xml:space="preserve">firmly </w:t>
      </w:r>
      <w:r>
        <w:rPr>
          <w:rFonts w:ascii="Times New Roman" w:cs="Times New Roman" w:eastAsia="Times New Roman" w:hAnsi="Times New Roman"/>
          <w:bCs/>
          <w:sz w:val="24"/>
          <w:szCs w:val="24"/>
        </w:rPr>
        <w:t xml:space="preserve">set out in </w:t>
      </w:r>
      <w:r>
        <w:rPr>
          <w:rFonts w:ascii="Times New Roman" w:cs="Times New Roman" w:eastAsia="Times New Roman" w:hAnsi="Times New Roman"/>
          <w:i/>
          <w:sz w:val="24"/>
          <w:szCs w:val="24"/>
        </w:rPr>
        <w:t>Chani</w:t>
      </w:r>
      <w:r>
        <w:rPr>
          <w:rFonts w:ascii="Times New Roman" w:cs="Times New Roman" w:eastAsia="Times New Roman" w:hAnsi="Times New Roman"/>
          <w:i/>
          <w:sz w:val="24"/>
          <w:szCs w:val="24"/>
        </w:rPr>
        <w:t xml:space="preserve"> </w:t>
      </w:r>
      <w:r>
        <w:rPr>
          <w:rFonts w:ascii="Times New Roman" w:cs="Times New Roman" w:eastAsia="Times New Roman" w:hAnsi="Times New Roman"/>
          <w:sz w:val="24"/>
          <w:szCs w:val="24"/>
        </w:rPr>
        <w:t>v</w:t>
      </w:r>
      <w:r>
        <w:rPr>
          <w:rFonts w:ascii="Times New Roman" w:cs="Times New Roman" w:eastAsia="Times New Roman" w:hAnsi="Times New Roman"/>
          <w:i/>
          <w:sz w:val="24"/>
          <w:szCs w:val="24"/>
        </w:rPr>
        <w:t xml:space="preserve"> </w:t>
      </w:r>
      <w:r>
        <w:rPr>
          <w:rFonts w:ascii="Times New Roman" w:cs="Times New Roman" w:eastAsia="Times New Roman" w:hAnsi="Times New Roman"/>
          <w:i/>
          <w:sz w:val="24"/>
          <w:szCs w:val="24"/>
        </w:rPr>
        <w:t>Mwayera</w:t>
      </w:r>
      <w:r>
        <w:rPr>
          <w:rFonts w:ascii="Times New Roman" w:cs="Times New Roman" w:eastAsia="Times New Roman" w:hAnsi="Times New Roman"/>
          <w:i/>
          <w:sz w:val="24"/>
          <w:szCs w:val="24"/>
        </w:rPr>
        <w:t xml:space="preserve"> NO &amp; </w:t>
      </w:r>
      <w:r>
        <w:rPr>
          <w:rFonts w:ascii="Times New Roman" w:cs="Times New Roman" w:eastAsia="Times New Roman" w:hAnsi="Times New Roman"/>
          <w:i/>
          <w:sz w:val="24"/>
          <w:szCs w:val="24"/>
        </w:rPr>
        <w:t>Ors</w:t>
      </w:r>
      <w:r>
        <w:rPr>
          <w:rFonts w:ascii="Times New Roman" w:cs="Times New Roman" w:eastAsia="Times New Roman" w:hAnsi="Times New Roman"/>
          <w:i/>
          <w:sz w:val="24"/>
          <w:szCs w:val="24"/>
        </w:rPr>
        <w:t xml:space="preserve"> </w:t>
      </w:r>
      <w:r>
        <w:rPr>
          <w:rFonts w:ascii="Times New Roman" w:cs="Times New Roman" w:eastAsia="Times New Roman" w:hAnsi="Times New Roman"/>
          <w:iCs/>
          <w:sz w:val="24"/>
          <w:szCs w:val="24"/>
        </w:rPr>
        <w:t>2020 (1) ZLR 17 (CC)</w:t>
      </w:r>
      <w:r>
        <w:rPr>
          <w:rFonts w:ascii="Times New Roman" w:cs="Times New Roman" w:eastAsia="Times New Roman" w:hAnsi="Times New Roman"/>
          <w:iCs/>
          <w:sz w:val="24"/>
          <w:szCs w:val="24"/>
        </w:rPr>
        <w:t>,</w:t>
      </w:r>
      <w:r>
        <w:rPr>
          <w:rFonts w:ascii="Times New Roman" w:cs="Times New Roman" w:eastAsia="Times New Roman" w:hAnsi="Times New Roman"/>
          <w:bCs/>
          <w:sz w:val="24"/>
          <w:szCs w:val="24"/>
        </w:rPr>
        <w:t xml:space="preserve"> at 20G</w:t>
      </w:r>
      <w:r>
        <w:rPr>
          <w:rFonts w:ascii="Times New Roman" w:cs="Times New Roman" w:eastAsia="Times New Roman" w:hAnsi="Times New Roman"/>
          <w:bCs/>
          <w:sz w:val="24"/>
          <w:szCs w:val="24"/>
        </w:rPr>
        <w:t>.</w:t>
      </w:r>
      <w:r>
        <w:rPr>
          <w:rFonts w:ascii="Times New Roman" w:cs="Times New Roman" w:eastAsia="Times New Roman" w:hAnsi="Times New Roman"/>
          <w:bCs/>
          <w:sz w:val="24"/>
          <w:szCs w:val="24"/>
        </w:rPr>
        <w:t xml:space="preserve"> In</w:t>
      </w:r>
      <w:r>
        <w:rPr>
          <w:rFonts w:ascii="Times New Roman" w:cs="Times New Roman" w:eastAsia="Times New Roman" w:hAnsi="Times New Roman"/>
          <w:bCs/>
          <w:sz w:val="24"/>
          <w:szCs w:val="24"/>
        </w:rPr>
        <w:t xml:space="preserve"> order to approach this Court in terms of s 85 of the Constitution, </w:t>
      </w:r>
      <w:r>
        <w:rPr>
          <w:rFonts w:ascii="Times New Roman" w:cs="Times New Roman" w:eastAsia="Times New Roman" w:hAnsi="Times New Roman"/>
          <w:bCs/>
          <w:sz w:val="24"/>
          <w:szCs w:val="24"/>
        </w:rPr>
        <w:t>the applicants must</w:t>
      </w:r>
      <w:r>
        <w:rPr>
          <w:rFonts w:ascii="Times New Roman" w:cs="Times New Roman" w:eastAsia="Times New Roman" w:hAnsi="Times New Roman"/>
          <w:bCs/>
          <w:sz w:val="24"/>
          <w:szCs w:val="24"/>
        </w:rPr>
        <w:t xml:space="preserve"> establish that the Supreme Court acted in a manner that is contrary to the law. That is the only basis upon which the judgment of the court </w:t>
      </w:r>
      <w:r>
        <w:rPr>
          <w:rFonts w:ascii="Times New Roman" w:cs="Times New Roman" w:eastAsia="Times New Roman" w:hAnsi="Times New Roman"/>
          <w:bCs/>
          <w:i/>
          <w:iCs/>
          <w:sz w:val="24"/>
          <w:szCs w:val="24"/>
        </w:rPr>
        <w:t xml:space="preserve">a quo </w:t>
      </w:r>
      <w:r>
        <w:rPr>
          <w:rFonts w:ascii="Times New Roman" w:cs="Times New Roman" w:eastAsia="Times New Roman" w:hAnsi="Times New Roman"/>
          <w:bCs/>
          <w:sz w:val="24"/>
          <w:szCs w:val="24"/>
        </w:rPr>
        <w:t>can be set aside at this stage.</w:t>
      </w:r>
    </w:p>
    <w:p w14:paraId="0000003C">
      <w:pPr>
        <w:spacing w:after="0" w:line="480" w:lineRule="auto"/>
        <w:jc w:val="both"/>
        <w:rPr>
          <w:rFonts w:ascii="Times New Roman" w:cs="Times New Roman" w:eastAsia="Times New Roman" w:hAnsi="Times New Roman"/>
          <w:b/>
          <w:sz w:val="24"/>
          <w:szCs w:val="24"/>
        </w:rPr>
      </w:pPr>
    </w:p>
    <w:p w14:paraId="0000003D">
      <w:pPr>
        <w:spacing w:after="0" w:line="480" w:lineRule="auto"/>
        <w:jc w:val="both"/>
        <w:rPr>
          <w:rFonts w:ascii="Times New Roman" w:cs="Times New Roman" w:eastAsia="Times New Roman" w:hAnsi="Times New Roman"/>
          <w:bCs/>
          <w:sz w:val="24"/>
          <w:szCs w:val="24"/>
        </w:rPr>
      </w:pPr>
      <w:r>
        <w:rPr>
          <w:rFonts w:ascii="Times New Roman" w:cs="Times New Roman" w:eastAsia="Times New Roman" w:hAnsi="Times New Roman"/>
          <w:b/>
          <w:sz w:val="24"/>
          <w:szCs w:val="24"/>
        </w:rPr>
        <w:t>Alleged Failure to Act in Accordance with the Law</w:t>
      </w:r>
    </w:p>
    <w:p w14:paraId="0000003E">
      <w:pPr>
        <w:spacing w:after="0" w:line="480" w:lineRule="auto"/>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A consideration of the proceedings before the court </w:t>
      </w:r>
      <w:r>
        <w:rPr>
          <w:rFonts w:ascii="Times New Roman" w:cs="Times New Roman" w:eastAsia="Times New Roman" w:hAnsi="Times New Roman"/>
          <w:bCs/>
          <w:i/>
          <w:iCs/>
          <w:sz w:val="24"/>
          <w:szCs w:val="24"/>
        </w:rPr>
        <w:t>a quo</w:t>
      </w:r>
      <w:r>
        <w:rPr>
          <w:rFonts w:ascii="Times New Roman" w:cs="Times New Roman" w:eastAsia="Times New Roman" w:hAnsi="Times New Roman"/>
          <w:bCs/>
          <w:sz w:val="24"/>
          <w:szCs w:val="24"/>
        </w:rPr>
        <w:t xml:space="preserve"> reveals that the applicants’ appeal </w:t>
      </w:r>
      <w:r>
        <w:rPr>
          <w:rFonts w:ascii="Times New Roman" w:cs="Times New Roman" w:eastAsia="Times New Roman" w:hAnsi="Times New Roman"/>
          <w:bCs/>
          <w:sz w:val="24"/>
          <w:szCs w:val="24"/>
        </w:rPr>
        <w:t xml:space="preserve">before that court </w:t>
      </w:r>
      <w:r>
        <w:rPr>
          <w:rFonts w:ascii="Times New Roman" w:cs="Times New Roman" w:eastAsia="Times New Roman" w:hAnsi="Times New Roman"/>
          <w:bCs/>
          <w:sz w:val="24"/>
          <w:szCs w:val="24"/>
        </w:rPr>
        <w:t xml:space="preserve">rested on two principal grounds. The first ground was directed at the Labour Court’s interpretation of the proviso to s </w:t>
      </w:r>
      <w:r>
        <w:rPr>
          <w:rFonts w:ascii="Times New Roman" w:cs="Times New Roman" w:eastAsia="Times New Roman" w:hAnsi="Times New Roman"/>
          <w:bCs/>
          <w:sz w:val="24"/>
          <w:szCs w:val="24"/>
        </w:rPr>
        <w:t>25A(</w:t>
      </w:r>
      <w:r>
        <w:rPr>
          <w:rFonts w:ascii="Times New Roman" w:cs="Times New Roman" w:eastAsia="Times New Roman" w:hAnsi="Times New Roman"/>
          <w:bCs/>
          <w:sz w:val="24"/>
          <w:szCs w:val="24"/>
        </w:rPr>
        <w:t xml:space="preserve">5) of the Labour Act, which, according to the applicants, had the effect of excluding the employer’s obligation to consult the </w:t>
      </w:r>
      <w:r>
        <w:rPr>
          <w:rFonts w:ascii="Times New Roman" w:cs="Times New Roman" w:eastAsia="Times New Roman" w:hAnsi="Times New Roman"/>
          <w:bCs/>
          <w:sz w:val="24"/>
          <w:szCs w:val="24"/>
        </w:rPr>
        <w:t>works council</w:t>
      </w:r>
      <w:r>
        <w:rPr>
          <w:rFonts w:ascii="Times New Roman" w:cs="Times New Roman" w:eastAsia="Times New Roman" w:hAnsi="Times New Roman"/>
          <w:bCs/>
          <w:sz w:val="24"/>
          <w:szCs w:val="24"/>
        </w:rPr>
        <w:t xml:space="preserve">. The second ground assailed the finding of the Labour Court that s </w:t>
      </w:r>
      <w:r>
        <w:rPr>
          <w:rFonts w:ascii="Times New Roman" w:cs="Times New Roman" w:eastAsia="Times New Roman" w:hAnsi="Times New Roman"/>
          <w:bCs/>
          <w:sz w:val="24"/>
          <w:szCs w:val="24"/>
        </w:rPr>
        <w:t>12C(</w:t>
      </w:r>
      <w:r>
        <w:rPr>
          <w:rFonts w:ascii="Times New Roman" w:cs="Times New Roman" w:eastAsia="Times New Roman" w:hAnsi="Times New Roman"/>
          <w:bCs/>
          <w:sz w:val="24"/>
          <w:szCs w:val="24"/>
        </w:rPr>
        <w:t>1) of the Act does not impose a mandatory requirement of consultation, nor does it give rise to an implied necessity for consultation under s 12C(1)(b).</w:t>
      </w:r>
    </w:p>
    <w:p w14:paraId="0000003F">
      <w:pPr>
        <w:spacing w:before="240" w:after="0" w:line="480" w:lineRule="auto"/>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The applicants contended before the </w:t>
      </w:r>
      <w:r>
        <w:rPr>
          <w:rFonts w:ascii="Times New Roman" w:cs="Times New Roman" w:eastAsia="Times New Roman" w:hAnsi="Times New Roman"/>
          <w:bCs/>
          <w:sz w:val="24"/>
          <w:szCs w:val="24"/>
        </w:rPr>
        <w:t>Supreme Court</w:t>
      </w:r>
      <w:r>
        <w:rPr>
          <w:rFonts w:ascii="Times New Roman" w:cs="Times New Roman" w:eastAsia="Times New Roman" w:hAnsi="Times New Roman"/>
          <w:bCs/>
          <w:sz w:val="24"/>
          <w:szCs w:val="24"/>
        </w:rPr>
        <w:t xml:space="preserve"> that the respondent was enjoined, by virtue of </w:t>
      </w:r>
      <w:r>
        <w:rPr>
          <w:rFonts w:ascii="Times New Roman" w:cs="Times New Roman" w:eastAsia="Times New Roman" w:hAnsi="Times New Roman"/>
          <w:sz w:val="24"/>
          <w:szCs w:val="24"/>
        </w:rPr>
        <w:t>s 25A(5)(f)</w:t>
      </w:r>
      <w:r>
        <w:rPr>
          <w:rFonts w:ascii="Times New Roman" w:cs="Times New Roman" w:eastAsia="Times New Roman" w:hAnsi="Times New Roman"/>
          <w:bCs/>
          <w:sz w:val="24"/>
          <w:szCs w:val="24"/>
        </w:rPr>
        <w:t xml:space="preserve"> of the Act, to consult the </w:t>
      </w:r>
      <w:r>
        <w:rPr>
          <w:rFonts w:ascii="Times New Roman" w:cs="Times New Roman" w:eastAsia="Times New Roman" w:hAnsi="Times New Roman"/>
          <w:bCs/>
          <w:sz w:val="24"/>
          <w:szCs w:val="24"/>
        </w:rPr>
        <w:t>works council</w:t>
      </w:r>
      <w:r>
        <w:rPr>
          <w:rFonts w:ascii="Times New Roman" w:cs="Times New Roman" w:eastAsia="Times New Roman" w:hAnsi="Times New Roman"/>
          <w:bCs/>
          <w:sz w:val="24"/>
          <w:szCs w:val="24"/>
        </w:rPr>
        <w:t xml:space="preserve"> prior to implementing its decision to retrench them. They further argued that the process adopted was in contravention of </w:t>
      </w:r>
      <w:r>
        <w:rPr>
          <w:rFonts w:ascii="Times New Roman" w:cs="Times New Roman" w:eastAsia="Times New Roman" w:hAnsi="Times New Roman"/>
          <w:sz w:val="24"/>
          <w:szCs w:val="24"/>
        </w:rPr>
        <w:t xml:space="preserve">s </w:t>
      </w:r>
      <w:r>
        <w:rPr>
          <w:rFonts w:ascii="Times New Roman" w:cs="Times New Roman" w:eastAsia="Times New Roman" w:hAnsi="Times New Roman"/>
          <w:sz w:val="24"/>
          <w:szCs w:val="24"/>
        </w:rPr>
        <w:t>12D(</w:t>
      </w:r>
      <w:r>
        <w:rPr>
          <w:rFonts w:ascii="Times New Roman" w:cs="Times New Roman" w:eastAsia="Times New Roman" w:hAnsi="Times New Roman"/>
          <w:sz w:val="24"/>
          <w:szCs w:val="24"/>
        </w:rPr>
        <w:t>2)</w:t>
      </w:r>
      <w:r>
        <w:rPr>
          <w:rFonts w:ascii="Times New Roman" w:cs="Times New Roman" w:eastAsia="Times New Roman" w:hAnsi="Times New Roman"/>
          <w:bCs/>
          <w:sz w:val="24"/>
          <w:szCs w:val="24"/>
        </w:rPr>
        <w:t xml:space="preserve"> of the Act, which obliges an employer to propose measures to avoid retrenchment before issuing a notice of intention to retrench. It was their case that the provisions of </w:t>
      </w:r>
      <w:r>
        <w:rPr>
          <w:rFonts w:ascii="Times New Roman" w:cs="Times New Roman" w:eastAsia="Times New Roman" w:hAnsi="Times New Roman"/>
          <w:sz w:val="24"/>
          <w:szCs w:val="24"/>
        </w:rPr>
        <w:t>s</w:t>
      </w:r>
      <w:r>
        <w:rPr>
          <w:rFonts w:ascii="Times New Roman" w:cs="Times New Roman" w:eastAsia="Times New Roman" w:hAnsi="Times New Roman"/>
          <w:sz w:val="24"/>
          <w:szCs w:val="24"/>
        </w:rPr>
        <w:t>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25A(</w:t>
      </w:r>
      <w:r>
        <w:rPr>
          <w:rFonts w:ascii="Times New Roman" w:cs="Times New Roman" w:eastAsia="Times New Roman" w:hAnsi="Times New Roman"/>
          <w:sz w:val="24"/>
          <w:szCs w:val="24"/>
        </w:rPr>
        <w:t>5)(f)</w:t>
      </w:r>
      <w:r>
        <w:rPr>
          <w:rFonts w:ascii="Times New Roman" w:cs="Times New Roman" w:eastAsia="Times New Roman" w:hAnsi="Times New Roman"/>
          <w:bCs/>
          <w:sz w:val="24"/>
          <w:szCs w:val="24"/>
        </w:rPr>
        <w:t xml:space="preserve"> and </w:t>
      </w:r>
      <w:r>
        <w:rPr>
          <w:rFonts w:ascii="Times New Roman" w:cs="Times New Roman" w:eastAsia="Times New Roman" w:hAnsi="Times New Roman"/>
          <w:sz w:val="24"/>
          <w:szCs w:val="24"/>
        </w:rPr>
        <w:t>25A(6),</w:t>
      </w:r>
      <w:r>
        <w:rPr>
          <w:rFonts w:ascii="Times New Roman" w:cs="Times New Roman" w:eastAsia="Times New Roman" w:hAnsi="Times New Roman"/>
          <w:bCs/>
          <w:sz w:val="24"/>
          <w:szCs w:val="24"/>
        </w:rPr>
        <w:t xml:space="preserve"> when read together with the purposive directive in </w:t>
      </w:r>
      <w:r>
        <w:rPr>
          <w:rFonts w:ascii="Times New Roman" w:cs="Times New Roman" w:eastAsia="Times New Roman" w:hAnsi="Times New Roman"/>
          <w:sz w:val="24"/>
          <w:szCs w:val="24"/>
        </w:rPr>
        <w:t>s 2A(1)</w:t>
      </w:r>
      <w:r>
        <w:rPr>
          <w:rFonts w:ascii="Times New Roman" w:cs="Times New Roman" w:eastAsia="Times New Roman" w:hAnsi="Times New Roman"/>
          <w:bCs/>
          <w:sz w:val="24"/>
          <w:szCs w:val="24"/>
        </w:rPr>
        <w:t xml:space="preserve"> of the Act, </w:t>
      </w:r>
      <w:r>
        <w:rPr>
          <w:rFonts w:ascii="Times New Roman" w:cs="Times New Roman" w:eastAsia="Times New Roman" w:hAnsi="Times New Roman"/>
          <w:bCs/>
          <w:sz w:val="24"/>
          <w:szCs w:val="24"/>
        </w:rPr>
        <w:t>render it mandatory</w:t>
      </w:r>
      <w:r>
        <w:rPr>
          <w:rFonts w:ascii="Times New Roman" w:cs="Times New Roman" w:eastAsia="Times New Roman" w:hAnsi="Times New Roman"/>
          <w:bCs/>
          <w:sz w:val="24"/>
          <w:szCs w:val="24"/>
        </w:rPr>
        <w:t xml:space="preserve"> for an employer to consult the </w:t>
      </w:r>
      <w:r>
        <w:rPr>
          <w:rFonts w:ascii="Times New Roman" w:cs="Times New Roman" w:eastAsia="Times New Roman" w:hAnsi="Times New Roman"/>
          <w:bCs/>
          <w:sz w:val="24"/>
          <w:szCs w:val="24"/>
        </w:rPr>
        <w:t>works council</w:t>
      </w:r>
      <w:r>
        <w:rPr>
          <w:rFonts w:ascii="Times New Roman" w:cs="Times New Roman" w:eastAsia="Times New Roman" w:hAnsi="Times New Roman"/>
          <w:bCs/>
          <w:sz w:val="24"/>
          <w:szCs w:val="24"/>
        </w:rPr>
        <w:t xml:space="preserve"> before effecting retrenchments. They urged </w:t>
      </w:r>
      <w:r>
        <w:rPr>
          <w:rFonts w:ascii="Times New Roman" w:cs="Times New Roman" w:eastAsia="Times New Roman" w:hAnsi="Times New Roman"/>
          <w:bCs/>
          <w:sz w:val="24"/>
          <w:szCs w:val="24"/>
        </w:rPr>
        <w:t xml:space="preserve">the court </w:t>
      </w:r>
      <w:r>
        <w:rPr>
          <w:rFonts w:ascii="Times New Roman" w:cs="Times New Roman" w:eastAsia="Times New Roman" w:hAnsi="Times New Roman"/>
          <w:bCs/>
          <w:sz w:val="24"/>
          <w:szCs w:val="24"/>
        </w:rPr>
        <w:t xml:space="preserve">that the proviso to </w:t>
      </w:r>
      <w:r>
        <w:rPr>
          <w:rFonts w:ascii="Times New Roman" w:cs="Times New Roman" w:eastAsia="Times New Roman" w:hAnsi="Times New Roman"/>
          <w:sz w:val="24"/>
          <w:szCs w:val="24"/>
        </w:rPr>
        <w:t xml:space="preserve">s </w:t>
      </w:r>
      <w:r>
        <w:rPr>
          <w:rFonts w:ascii="Times New Roman" w:cs="Times New Roman" w:eastAsia="Times New Roman" w:hAnsi="Times New Roman"/>
          <w:sz w:val="24"/>
          <w:szCs w:val="24"/>
        </w:rPr>
        <w:t>25A(</w:t>
      </w:r>
      <w:r>
        <w:rPr>
          <w:rFonts w:ascii="Times New Roman" w:cs="Times New Roman" w:eastAsia="Times New Roman" w:hAnsi="Times New Roman"/>
          <w:sz w:val="24"/>
          <w:szCs w:val="24"/>
        </w:rPr>
        <w:t>5)</w:t>
      </w:r>
      <w:r>
        <w:rPr>
          <w:rFonts w:ascii="Times New Roman" w:cs="Times New Roman" w:eastAsia="Times New Roman" w:hAnsi="Times New Roman"/>
          <w:bCs/>
          <w:sz w:val="24"/>
          <w:szCs w:val="24"/>
        </w:rPr>
        <w:t xml:space="preserve"> be accorded a purposive </w:t>
      </w:r>
      <w:r>
        <w:rPr>
          <w:rFonts w:ascii="Times New Roman" w:cs="Times New Roman" w:eastAsia="Times New Roman" w:hAnsi="Times New Roman"/>
          <w:bCs/>
          <w:sz w:val="24"/>
          <w:szCs w:val="24"/>
        </w:rPr>
        <w:t xml:space="preserve">interpretation, </w:t>
      </w:r>
      <w:r>
        <w:rPr>
          <w:rFonts w:ascii="Times New Roman" w:cs="Times New Roman" w:eastAsia="Times New Roman" w:hAnsi="Times New Roman"/>
          <w:bCs/>
          <w:sz w:val="24"/>
          <w:szCs w:val="24"/>
        </w:rPr>
        <w:t xml:space="preserve">so as to align it with the underlying spirit and objectives of the Act, </w:t>
      </w:r>
      <w:r>
        <w:rPr>
          <w:rFonts w:ascii="Times New Roman" w:cs="Times New Roman" w:eastAsia="Times New Roman" w:hAnsi="Times New Roman"/>
          <w:bCs/>
          <w:sz w:val="24"/>
          <w:szCs w:val="24"/>
        </w:rPr>
        <w:t>in order to safeguard the consultative rights of employees faced with retrenchment.</w:t>
      </w:r>
      <w:r>
        <w:rPr>
          <w:rFonts w:ascii="Times New Roman" w:cs="Times New Roman" w:eastAsia="Times New Roman" w:hAnsi="Times New Roman"/>
          <w:bCs/>
          <w:sz w:val="24"/>
          <w:szCs w:val="24"/>
        </w:rPr>
        <w:t xml:space="preserve"> </w:t>
      </w:r>
    </w:p>
    <w:p w14:paraId="00000040">
      <w:pPr>
        <w:spacing w:before="240" w:after="0" w:line="480" w:lineRule="auto"/>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In arriving at its decision, the </w:t>
      </w:r>
      <w:r>
        <w:rPr>
          <w:rFonts w:ascii="Times New Roman" w:cs="Times New Roman" w:eastAsia="Times New Roman" w:hAnsi="Times New Roman"/>
          <w:bCs/>
          <w:sz w:val="24"/>
          <w:szCs w:val="24"/>
        </w:rPr>
        <w:t>Supreme Court</w:t>
      </w:r>
      <w:r>
        <w:rPr>
          <w:rFonts w:ascii="Times New Roman" w:cs="Times New Roman" w:eastAsia="Times New Roman" w:hAnsi="Times New Roman"/>
          <w:bCs/>
          <w:sz w:val="24"/>
          <w:szCs w:val="24"/>
        </w:rPr>
        <w:t xml:space="preserve"> held that the proper approach to statutory interpretation is to apply the grammatical and ordinary meaning of the words used, unless doing so would lead to an absurd result. The court further undertook a detailed discussion of the nature and effect of a </w:t>
      </w:r>
      <w:r>
        <w:rPr>
          <w:rFonts w:ascii="Times New Roman" w:cs="Times New Roman" w:eastAsia="Times New Roman" w:hAnsi="Times New Roman"/>
          <w:bCs/>
          <w:sz w:val="24"/>
          <w:szCs w:val="24"/>
        </w:rPr>
        <w:t>proviso in general</w:t>
      </w:r>
      <w:r>
        <w:rPr>
          <w:rFonts w:ascii="Times New Roman" w:cs="Times New Roman" w:eastAsia="Times New Roman" w:hAnsi="Times New Roman"/>
          <w:bCs/>
          <w:sz w:val="24"/>
          <w:szCs w:val="24"/>
        </w:rPr>
        <w:t xml:space="preserve">. It </w:t>
      </w:r>
      <w:r>
        <w:rPr>
          <w:rFonts w:ascii="Times New Roman" w:cs="Times New Roman" w:eastAsia="Times New Roman" w:hAnsi="Times New Roman"/>
          <w:bCs/>
          <w:sz w:val="24"/>
          <w:szCs w:val="24"/>
        </w:rPr>
        <w:t xml:space="preserve">then </w:t>
      </w:r>
      <w:r>
        <w:rPr>
          <w:rFonts w:ascii="Times New Roman" w:cs="Times New Roman" w:eastAsia="Times New Roman" w:hAnsi="Times New Roman"/>
          <w:bCs/>
          <w:sz w:val="24"/>
          <w:szCs w:val="24"/>
        </w:rPr>
        <w:t xml:space="preserve">found that the provisions in question were clear and unambiguous. In its view, the applicants were effectively inviting the court to amend s </w:t>
      </w:r>
      <w:r>
        <w:rPr>
          <w:rFonts w:ascii="Times New Roman" w:cs="Times New Roman" w:eastAsia="Times New Roman" w:hAnsi="Times New Roman"/>
          <w:bCs/>
          <w:sz w:val="24"/>
          <w:szCs w:val="24"/>
        </w:rPr>
        <w:t>25A(</w:t>
      </w:r>
      <w:r>
        <w:rPr>
          <w:rFonts w:ascii="Times New Roman" w:cs="Times New Roman" w:eastAsia="Times New Roman" w:hAnsi="Times New Roman"/>
          <w:bCs/>
          <w:sz w:val="24"/>
          <w:szCs w:val="24"/>
        </w:rPr>
        <w:t xml:space="preserve">5) of the Labour Act by deleting the proviso and retaining only the main provision. The court emphasised that it had no authority to do so, as such an approach would amount to usurping the legislative function. The court also concluded that </w:t>
      </w:r>
      <w:r>
        <w:rPr>
          <w:rFonts w:ascii="Times New Roman" w:cs="Times New Roman" w:eastAsia="Times New Roman" w:hAnsi="Times New Roman"/>
          <w:sz w:val="24"/>
          <w:szCs w:val="24"/>
        </w:rPr>
        <w:t xml:space="preserve">s 12C was equally clear and unambiguous. The court </w:t>
      </w:r>
      <w:r>
        <w:rPr>
          <w:rFonts w:ascii="Times New Roman" w:cs="Times New Roman" w:eastAsia="Times New Roman" w:hAnsi="Times New Roman"/>
          <w:i/>
          <w:iCs/>
          <w:sz w:val="24"/>
          <w:szCs w:val="24"/>
        </w:rPr>
        <w:t>a quo</w:t>
      </w:r>
      <w:r>
        <w:rPr>
          <w:rFonts w:ascii="Times New Roman" w:cs="Times New Roman" w:eastAsia="Times New Roman" w:hAnsi="Times New Roman"/>
          <w:sz w:val="24"/>
          <w:szCs w:val="24"/>
        </w:rPr>
        <w:t xml:space="preserve"> went further to trace the legislative history of s 12C, ulti</w:t>
      </w:r>
      <w:r>
        <w:rPr>
          <w:rFonts w:ascii="Times New Roman" w:cs="Times New Roman" w:eastAsia="Times New Roman" w:hAnsi="Times New Roman"/>
          <w:bCs/>
          <w:sz w:val="24"/>
          <w:szCs w:val="24"/>
        </w:rPr>
        <w:t xml:space="preserve">mately finding that the section was couched in </w:t>
      </w:r>
      <w:r>
        <w:rPr>
          <w:rFonts w:ascii="Times New Roman" w:cs="Times New Roman" w:eastAsia="Times New Roman" w:hAnsi="Times New Roman"/>
          <w:bCs/>
          <w:sz w:val="24"/>
          <w:szCs w:val="24"/>
        </w:rPr>
        <w:t xml:space="preserve">clear and </w:t>
      </w:r>
      <w:r>
        <w:rPr>
          <w:rFonts w:ascii="Times New Roman" w:cs="Times New Roman" w:eastAsia="Times New Roman" w:hAnsi="Times New Roman"/>
          <w:bCs/>
          <w:sz w:val="24"/>
          <w:szCs w:val="24"/>
        </w:rPr>
        <w:t>precise terms and that there was therefore no need to adopt a purposive approach in its interpretation.</w:t>
      </w:r>
    </w:p>
    <w:p w14:paraId="00000041">
      <w:pPr>
        <w:spacing w:before="240" w:after="0" w:line="480" w:lineRule="auto"/>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As rightly held by the Supreme Court, a court can only rely on other canons of interpretation where reliance on the literal interpretation of a provision leads to an absurdity.</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 xml:space="preserve">All in all, </w:t>
      </w:r>
      <w:r>
        <w:rPr>
          <w:rFonts w:ascii="Times New Roman" w:cs="Times New Roman" w:eastAsia="Times New Roman" w:hAnsi="Times New Roman"/>
          <w:bCs/>
          <w:sz w:val="24"/>
          <w:szCs w:val="24"/>
        </w:rPr>
        <w:t xml:space="preserve">I find no reason </w:t>
      </w:r>
      <w:r>
        <w:rPr>
          <w:rFonts w:ascii="Times New Roman" w:cs="Times New Roman" w:eastAsia="Times New Roman" w:hAnsi="Times New Roman"/>
          <w:bCs/>
          <w:sz w:val="24"/>
          <w:szCs w:val="24"/>
        </w:rPr>
        <w:t xml:space="preserve">to fault the analysis </w:t>
      </w:r>
      <w:r>
        <w:rPr>
          <w:rFonts w:ascii="Times New Roman" w:cs="Times New Roman" w:eastAsia="Times New Roman" w:hAnsi="Times New Roman"/>
          <w:bCs/>
          <w:sz w:val="24"/>
          <w:szCs w:val="24"/>
        </w:rPr>
        <w:t>of</w:t>
      </w:r>
      <w:r>
        <w:rPr>
          <w:rFonts w:ascii="Times New Roman" w:cs="Times New Roman" w:eastAsia="Times New Roman" w:hAnsi="Times New Roman"/>
          <w:bCs/>
          <w:sz w:val="24"/>
          <w:szCs w:val="24"/>
        </w:rPr>
        <w:t xml:space="preserve"> the Supreme Court. A plethora of case law has explained </w:t>
      </w:r>
      <w:r>
        <w:rPr>
          <w:rFonts w:ascii="Times New Roman" w:cs="Times New Roman" w:eastAsia="Times New Roman" w:hAnsi="Times New Roman"/>
          <w:bCs/>
          <w:sz w:val="24"/>
          <w:szCs w:val="24"/>
        </w:rPr>
        <w:t xml:space="preserve">the </w:t>
      </w:r>
      <w:r>
        <w:rPr>
          <w:rFonts w:ascii="Times New Roman" w:cs="Times New Roman" w:eastAsia="Times New Roman" w:hAnsi="Times New Roman"/>
          <w:bCs/>
          <w:iCs/>
          <w:sz w:val="24"/>
          <w:szCs w:val="24"/>
        </w:rPr>
        <w:t>golden rule of interpretation</w:t>
      </w:r>
      <w:r>
        <w:rPr>
          <w:rFonts w:ascii="Times New Roman" w:cs="Times New Roman" w:eastAsia="Times New Roman" w:hAnsi="Times New Roman"/>
          <w:bCs/>
          <w:iCs/>
          <w:sz w:val="24"/>
          <w:szCs w:val="24"/>
        </w:rPr>
        <w:t>. It postulates</w:t>
      </w:r>
      <w:r>
        <w:rPr>
          <w:rFonts w:ascii="Times New Roman" w:cs="Times New Roman" w:eastAsia="Times New Roman" w:hAnsi="Times New Roman"/>
          <w:bCs/>
          <w:iCs/>
          <w:sz w:val="24"/>
          <w:szCs w:val="24"/>
        </w:rPr>
        <w:t xml:space="preserve"> that</w:t>
      </w:r>
      <w:r>
        <w:rPr>
          <w:rFonts w:ascii="Times New Roman" w:cs="Times New Roman" w:eastAsia="Times New Roman" w:hAnsi="Times New Roman"/>
          <w:bCs/>
          <w:iCs/>
          <w:sz w:val="24"/>
          <w:szCs w:val="24"/>
        </w:rPr>
        <w:t>,</w:t>
      </w:r>
      <w:r>
        <w:rPr>
          <w:rFonts w:ascii="Times New Roman" w:cs="Times New Roman" w:eastAsia="Times New Roman" w:hAnsi="Times New Roman"/>
          <w:bCs/>
          <w:iCs/>
          <w:sz w:val="24"/>
          <w:szCs w:val="24"/>
        </w:rPr>
        <w:t xml:space="preserve"> in the absence of any ambiguity</w:t>
      </w:r>
      <w:r>
        <w:rPr>
          <w:rFonts w:ascii="Times New Roman" w:cs="Times New Roman" w:eastAsia="Times New Roman" w:hAnsi="Times New Roman"/>
          <w:bCs/>
          <w:iCs/>
          <w:sz w:val="24"/>
          <w:szCs w:val="24"/>
        </w:rPr>
        <w:t>,</w:t>
      </w:r>
      <w:r>
        <w:rPr>
          <w:rFonts w:ascii="Times New Roman" w:cs="Times New Roman" w:eastAsia="Times New Roman" w:hAnsi="Times New Roman"/>
          <w:bCs/>
          <w:iCs/>
          <w:sz w:val="24"/>
          <w:szCs w:val="24"/>
        </w:rPr>
        <w:t xml:space="preserve"> absurdity</w:t>
      </w:r>
      <w:r>
        <w:rPr>
          <w:rFonts w:ascii="Times New Roman" w:cs="Times New Roman" w:eastAsia="Times New Roman" w:hAnsi="Times New Roman"/>
          <w:bCs/>
          <w:iCs/>
          <w:sz w:val="24"/>
          <w:szCs w:val="24"/>
        </w:rPr>
        <w:t xml:space="preserve"> or repugnance</w:t>
      </w:r>
      <w:r>
        <w:rPr>
          <w:rFonts w:ascii="Times New Roman" w:cs="Times New Roman" w:eastAsia="Times New Roman" w:hAnsi="Times New Roman"/>
          <w:bCs/>
          <w:iCs/>
          <w:sz w:val="24"/>
          <w:szCs w:val="24"/>
        </w:rPr>
        <w:t>, the language used in a statute should be given its primary</w:t>
      </w:r>
      <w:r>
        <w:rPr>
          <w:rFonts w:ascii="Times New Roman" w:cs="Times New Roman" w:eastAsia="Times New Roman" w:hAnsi="Times New Roman"/>
          <w:bCs/>
          <w:iCs/>
          <w:sz w:val="24"/>
          <w:szCs w:val="24"/>
        </w:rPr>
        <w:t xml:space="preserve"> grammatical and</w:t>
      </w:r>
      <w:r>
        <w:rPr>
          <w:rFonts w:ascii="Times New Roman" w:cs="Times New Roman" w:eastAsia="Times New Roman" w:hAnsi="Times New Roman"/>
          <w:bCs/>
          <w:iCs/>
          <w:sz w:val="24"/>
          <w:szCs w:val="24"/>
        </w:rPr>
        <w:t xml:space="preserve"> ordinary meaning.  This was aptly </w:t>
      </w:r>
      <w:r>
        <w:rPr>
          <w:rFonts w:ascii="Times New Roman" w:cs="Times New Roman" w:eastAsia="Times New Roman" w:hAnsi="Times New Roman"/>
          <w:bCs/>
          <w:iCs/>
          <w:sz w:val="24"/>
          <w:szCs w:val="24"/>
        </w:rPr>
        <w:t>elaborated</w:t>
      </w:r>
      <w:r>
        <w:rPr>
          <w:rFonts w:ascii="Times New Roman" w:cs="Times New Roman" w:eastAsia="Times New Roman" w:hAnsi="Times New Roman"/>
          <w:bCs/>
          <w:iCs/>
          <w:sz w:val="24"/>
          <w:szCs w:val="24"/>
        </w:rPr>
        <w:t xml:space="preserve"> in </w:t>
      </w:r>
      <w:r>
        <w:rPr>
          <w:rFonts w:ascii="Times New Roman" w:cs="Times New Roman" w:eastAsia="Times New Roman" w:hAnsi="Times New Roman"/>
          <w:bCs/>
          <w:i/>
          <w:iCs/>
          <w:sz w:val="24"/>
          <w:szCs w:val="24"/>
        </w:rPr>
        <w:t>Chegutu</w:t>
      </w:r>
      <w:r>
        <w:rPr>
          <w:rFonts w:ascii="Times New Roman" w:cs="Times New Roman" w:eastAsia="Times New Roman" w:hAnsi="Times New Roman"/>
          <w:bCs/>
          <w:i/>
          <w:iCs/>
          <w:sz w:val="24"/>
          <w:szCs w:val="24"/>
        </w:rPr>
        <w:t xml:space="preserve"> Municipality</w:t>
      </w:r>
      <w:r>
        <w:rPr>
          <w:rFonts w:ascii="Times New Roman" w:cs="Times New Roman" w:eastAsia="Times New Roman" w:hAnsi="Times New Roman"/>
          <w:bCs/>
          <w:iCs/>
          <w:sz w:val="24"/>
          <w:szCs w:val="24"/>
        </w:rPr>
        <w:t xml:space="preserve"> v </w:t>
      </w:r>
      <w:r>
        <w:rPr>
          <w:rFonts w:ascii="Times New Roman" w:cs="Times New Roman" w:eastAsia="Times New Roman" w:hAnsi="Times New Roman"/>
          <w:bCs/>
          <w:i/>
          <w:iCs/>
          <w:sz w:val="24"/>
          <w:szCs w:val="24"/>
        </w:rPr>
        <w:t>Manyora</w:t>
      </w:r>
      <w:r>
        <w:rPr>
          <w:rFonts w:ascii="Times New Roman" w:cs="Times New Roman" w:eastAsia="Times New Roman" w:hAnsi="Times New Roman"/>
          <w:bCs/>
          <w:iCs/>
          <w:sz w:val="24"/>
          <w:szCs w:val="24"/>
        </w:rPr>
        <w:t xml:space="preserve"> 1996(1) ZLR 262 (S)</w:t>
      </w:r>
      <w:r>
        <w:rPr>
          <w:rFonts w:ascii="Times New Roman" w:cs="Times New Roman" w:eastAsia="Times New Roman" w:hAnsi="Times New Roman"/>
          <w:bCs/>
          <w:iCs/>
          <w:sz w:val="24"/>
          <w:szCs w:val="24"/>
        </w:rPr>
        <w:t>,</w:t>
      </w:r>
      <w:r>
        <w:rPr>
          <w:rFonts w:ascii="Times New Roman" w:cs="Times New Roman" w:eastAsia="Times New Roman" w:hAnsi="Times New Roman"/>
          <w:bCs/>
          <w:iCs/>
          <w:sz w:val="24"/>
          <w:szCs w:val="24"/>
        </w:rPr>
        <w:t xml:space="preserve"> at 264 D-E</w:t>
      </w:r>
      <w:r>
        <w:rPr>
          <w:rFonts w:ascii="Times New Roman" w:cs="Times New Roman" w:eastAsia="Times New Roman" w:hAnsi="Times New Roman"/>
          <w:bCs/>
          <w:iCs/>
          <w:sz w:val="24"/>
          <w:szCs w:val="24"/>
        </w:rPr>
        <w:t xml:space="preserve"> as follows</w:t>
      </w:r>
      <w:r>
        <w:rPr>
          <w:rFonts w:ascii="Times New Roman" w:cs="Times New Roman" w:eastAsia="Times New Roman" w:hAnsi="Times New Roman"/>
          <w:bCs/>
          <w:iCs/>
          <w:sz w:val="24"/>
          <w:szCs w:val="24"/>
        </w:rPr>
        <w:t>:</w:t>
      </w:r>
    </w:p>
    <w:p w14:paraId="00000042">
      <w:pPr>
        <w:spacing w:line="240" w:lineRule="auto"/>
        <w:ind w:left="720"/>
        <w:jc w:val="both"/>
        <w:rPr>
          <w:rFonts w:ascii="Times New Roman" w:cs="Times New Roman" w:eastAsia="Times New Roman" w:hAnsi="Times New Roman"/>
          <w:bCs/>
          <w:sz w:val="24"/>
          <w:szCs w:val="24"/>
        </w:rPr>
      </w:pPr>
      <w:r>
        <w:rPr>
          <w:rFonts w:ascii="Times New Roman" w:cs="Times New Roman" w:eastAsia="Times New Roman" w:hAnsi="Times New Roman"/>
          <w:bCs/>
          <w:iCs/>
          <w:sz w:val="24"/>
          <w:szCs w:val="24"/>
        </w:rPr>
        <w:t xml:space="preserve">“There is no magic about interpretation. Words must be taken in their context. The grammatical and ordinary sense of the words is to be adhered to, as Lord Wensleydale said in </w:t>
      </w:r>
      <w:r>
        <w:rPr>
          <w:rFonts w:ascii="Times New Roman" w:cs="Times New Roman" w:eastAsia="Times New Roman" w:hAnsi="Times New Roman"/>
          <w:bCs/>
          <w:i/>
          <w:sz w:val="24"/>
          <w:szCs w:val="24"/>
        </w:rPr>
        <w:t>Grey v Pearson</w:t>
      </w:r>
      <w:r>
        <w:rPr>
          <w:rFonts w:ascii="Times New Roman" w:cs="Times New Roman" w:eastAsia="Times New Roman" w:hAnsi="Times New Roman"/>
          <w:bCs/>
          <w:iCs/>
          <w:sz w:val="24"/>
          <w:szCs w:val="24"/>
        </w:rPr>
        <w:t xml:space="preserve"> (1857) 10 ER 1216 at 1234, unless that would lead to some absurdity, or some repugnance or inconsistency with the rest of the instrument, in which case the grammatical and ordinary sense of the words may be modified so as to avoid that absurdity and inconsistency, but no further.”</w:t>
      </w:r>
      <w:r>
        <w:rPr>
          <w:rFonts w:ascii="Times New Roman" w:cs="Times New Roman" w:eastAsia="Times New Roman" w:hAnsi="Times New Roman"/>
          <w:bCs/>
          <w:sz w:val="24"/>
          <w:szCs w:val="24"/>
        </w:rPr>
        <w:t xml:space="preserve"> </w:t>
      </w:r>
    </w:p>
    <w:p w14:paraId="00000043">
      <w:pPr>
        <w:spacing w:before="240" w:after="0" w:line="480" w:lineRule="auto"/>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Again, in</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i/>
          <w:sz w:val="24"/>
          <w:szCs w:val="24"/>
        </w:rPr>
        <w:t>Lungu &amp; Ors</w:t>
      </w:r>
      <w:r>
        <w:rPr>
          <w:rFonts w:ascii="Times New Roman" w:cs="Times New Roman" w:eastAsia="Times New Roman" w:hAnsi="Times New Roman"/>
          <w:bCs/>
          <w:sz w:val="24"/>
          <w:szCs w:val="24"/>
        </w:rPr>
        <w:t xml:space="preserve"> v </w:t>
      </w:r>
      <w:r>
        <w:rPr>
          <w:rFonts w:ascii="Times New Roman" w:cs="Times New Roman" w:eastAsia="Times New Roman" w:hAnsi="Times New Roman"/>
          <w:bCs/>
          <w:i/>
          <w:sz w:val="24"/>
          <w:szCs w:val="24"/>
        </w:rPr>
        <w:t>Reserve Bank of Zimbabwe</w:t>
      </w:r>
      <w:r>
        <w:rPr>
          <w:rFonts w:ascii="Times New Roman" w:cs="Times New Roman" w:eastAsia="Times New Roman" w:hAnsi="Times New Roman"/>
          <w:bCs/>
          <w:sz w:val="24"/>
          <w:szCs w:val="24"/>
        </w:rPr>
        <w:t xml:space="preserve"> SC 04-24</w:t>
      </w:r>
      <w:r>
        <w:rPr>
          <w:rFonts w:ascii="Times New Roman" w:cs="Times New Roman" w:eastAsia="Times New Roman" w:hAnsi="Times New Roman"/>
          <w:bCs/>
          <w:sz w:val="24"/>
          <w:szCs w:val="24"/>
        </w:rPr>
        <w:t>, at</w:t>
      </w:r>
      <w:r>
        <w:rPr>
          <w:rFonts w:ascii="Times New Roman" w:cs="Times New Roman" w:eastAsia="Times New Roman" w:hAnsi="Times New Roman"/>
          <w:bCs/>
          <w:sz w:val="24"/>
          <w:szCs w:val="24"/>
        </w:rPr>
        <w:t xml:space="preserve"> p.</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11</w:t>
      </w:r>
      <w:r>
        <w:rPr>
          <w:rFonts w:ascii="Times New Roman" w:cs="Times New Roman" w:eastAsia="Times New Roman" w:hAnsi="Times New Roman"/>
          <w:bCs/>
          <w:sz w:val="24"/>
          <w:szCs w:val="24"/>
        </w:rPr>
        <w:t>,</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 xml:space="preserve">it was </w:t>
      </w:r>
      <w:r>
        <w:rPr>
          <w:rFonts w:ascii="Times New Roman" w:cs="Times New Roman" w:eastAsia="Times New Roman" w:hAnsi="Times New Roman"/>
          <w:bCs/>
          <w:sz w:val="24"/>
          <w:szCs w:val="24"/>
        </w:rPr>
        <w:t>emphasised</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as follows:</w:t>
      </w:r>
    </w:p>
    <w:p w14:paraId="00000044">
      <w:pPr>
        <w:spacing w:line="240" w:lineRule="auto"/>
        <w:ind w:left="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“It is trite that words in any document, statute, or contract must be given their ordinary dictionary meaning unless this would lead to an absurdity.   In the absence of a contrary definition within the document, statute, or contract such words must be given their plain, ordinary and literal meaning.  This is the literal or golden rule of interpretation.  Only when ambiguity arises in the interpretation of such words can there be a departure from this rule.”</w:t>
      </w:r>
    </w:p>
    <w:p w14:paraId="00000045">
      <w:pPr>
        <w:spacing w:before="240" w:line="480" w:lineRule="auto"/>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The applicants’ argument before this Court is essentially twofold. </w:t>
      </w:r>
      <w:r>
        <w:rPr>
          <w:rFonts w:ascii="Times New Roman" w:cs="Times New Roman" w:eastAsia="Times New Roman" w:hAnsi="Times New Roman"/>
          <w:bCs/>
          <w:sz w:val="24"/>
          <w:szCs w:val="24"/>
        </w:rPr>
        <w:t xml:space="preserve">The first argument is that the Supreme Court did not accord a purposive interpretation to the relevant provisions of the Labour Act. This is indeed correct as the court </w:t>
      </w:r>
      <w:r>
        <w:rPr>
          <w:rFonts w:ascii="Times New Roman" w:cs="Times New Roman" w:eastAsia="Times New Roman" w:hAnsi="Times New Roman"/>
          <w:bCs/>
          <w:i/>
          <w:iCs/>
          <w:sz w:val="24"/>
          <w:szCs w:val="24"/>
        </w:rPr>
        <w:t>a quo</w:t>
      </w:r>
      <w:r>
        <w:rPr>
          <w:rFonts w:ascii="Times New Roman" w:cs="Times New Roman" w:eastAsia="Times New Roman" w:hAnsi="Times New Roman"/>
          <w:bCs/>
          <w:sz w:val="24"/>
          <w:szCs w:val="24"/>
        </w:rPr>
        <w:t xml:space="preserve"> did not find those provisions to be ambiguous or as requiring anything other than their ordinary or grammatical construction. The second argument is that the Supreme Court should have approached the matter as if the constitutionality of the provisions in question had been challenged. The two arguments are made in the same breath as if they are synonymous. </w:t>
      </w:r>
      <w:r>
        <w:rPr>
          <w:rFonts w:ascii="Times New Roman" w:cs="Times New Roman" w:eastAsia="Times New Roman" w:hAnsi="Times New Roman"/>
          <w:bCs/>
          <w:sz w:val="24"/>
          <w:szCs w:val="24"/>
        </w:rPr>
        <w:t>T</w:t>
      </w:r>
      <w:r>
        <w:rPr>
          <w:rFonts w:ascii="Times New Roman" w:cs="Times New Roman" w:eastAsia="Times New Roman" w:hAnsi="Times New Roman"/>
          <w:bCs/>
          <w:sz w:val="24"/>
          <w:szCs w:val="24"/>
        </w:rPr>
        <w:t>hey are clearly not the same</w:t>
      </w:r>
      <w:r>
        <w:rPr>
          <w:rFonts w:ascii="Times New Roman" w:cs="Times New Roman" w:eastAsia="Times New Roman" w:hAnsi="Times New Roman"/>
          <w:bCs/>
          <w:sz w:val="24"/>
          <w:szCs w:val="24"/>
        </w:rPr>
        <w:t>.</w:t>
      </w:r>
    </w:p>
    <w:p w14:paraId="00000046">
      <w:pPr>
        <w:spacing w:before="240" w:line="480" w:lineRule="auto"/>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In my opinion, </w:t>
      </w:r>
      <w:r>
        <w:rPr>
          <w:rFonts w:ascii="Times New Roman" w:cs="Times New Roman" w:eastAsia="Times New Roman" w:hAnsi="Times New Roman"/>
          <w:bCs/>
          <w:sz w:val="24"/>
          <w:szCs w:val="24"/>
        </w:rPr>
        <w:t xml:space="preserve">a purposive interpretation is not necessarily a constitutional one. The former involves a consideration of the underlying purpose or objective of the </w:t>
      </w:r>
      <w:r>
        <w:rPr>
          <w:rFonts w:ascii="Times New Roman" w:cs="Times New Roman" w:eastAsia="Times New Roman" w:hAnsi="Times New Roman"/>
          <w:bCs/>
          <w:sz w:val="24"/>
          <w:szCs w:val="24"/>
        </w:rPr>
        <w:t>provision</w:t>
      </w:r>
      <w:r>
        <w:rPr>
          <w:rFonts w:ascii="Times New Roman" w:cs="Times New Roman" w:eastAsia="Times New Roman" w:hAnsi="Times New Roman"/>
          <w:bCs/>
          <w:sz w:val="24"/>
          <w:szCs w:val="24"/>
        </w:rPr>
        <w:t xml:space="preserve"> concerned</w:t>
      </w:r>
      <w:r>
        <w:rPr>
          <w:rFonts w:ascii="Times New Roman" w:cs="Times New Roman" w:eastAsia="Times New Roman" w:hAnsi="Times New Roman"/>
          <w:bCs/>
          <w:sz w:val="24"/>
          <w:szCs w:val="24"/>
        </w:rPr>
        <w:t>, having regard to its context and the related provisions of the statute in which it appears</w:t>
      </w:r>
      <w:r>
        <w:rPr>
          <w:rFonts w:ascii="Times New Roman" w:cs="Times New Roman" w:eastAsia="Times New Roman" w:hAnsi="Times New Roman"/>
          <w:bCs/>
          <w:sz w:val="24"/>
          <w:szCs w:val="24"/>
        </w:rPr>
        <w:t>. The latter, on the other hand, invariably engages one or more provisions of the Constitution</w:t>
      </w:r>
      <w:r>
        <w:rPr>
          <w:rFonts w:ascii="Times New Roman" w:cs="Times New Roman" w:eastAsia="Times New Roman" w:hAnsi="Times New Roman"/>
          <w:bCs/>
          <w:sz w:val="24"/>
          <w:szCs w:val="24"/>
        </w:rPr>
        <w:t xml:space="preserve"> as the supreme law of the land. </w:t>
      </w:r>
      <w:r>
        <w:rPr>
          <w:rFonts w:ascii="Times New Roman" w:cs="Times New Roman" w:eastAsia="Times New Roman" w:hAnsi="Times New Roman"/>
          <w:bCs/>
          <w:sz w:val="24"/>
          <w:szCs w:val="24"/>
        </w:rPr>
        <w:t xml:space="preserve"> The two are very different modes of interpretation and call for different conceptual considerations. The applicants have improperly and incompetently conflated the</w:t>
      </w:r>
      <w:r>
        <w:rPr>
          <w:rFonts w:ascii="Times New Roman" w:cs="Times New Roman" w:eastAsia="Times New Roman" w:hAnsi="Times New Roman"/>
          <w:bCs/>
          <w:sz w:val="24"/>
          <w:szCs w:val="24"/>
        </w:rPr>
        <w:t>se</w:t>
      </w:r>
      <w:r>
        <w:rPr>
          <w:rFonts w:ascii="Times New Roman" w:cs="Times New Roman" w:eastAsia="Times New Roman" w:hAnsi="Times New Roman"/>
          <w:bCs/>
          <w:sz w:val="24"/>
          <w:szCs w:val="24"/>
        </w:rPr>
        <w:t xml:space="preserve"> two </w:t>
      </w:r>
      <w:r>
        <w:rPr>
          <w:rFonts w:ascii="Times New Roman" w:cs="Times New Roman" w:eastAsia="Times New Roman" w:hAnsi="Times New Roman"/>
          <w:bCs/>
          <w:sz w:val="24"/>
          <w:szCs w:val="24"/>
        </w:rPr>
        <w:t xml:space="preserve">distinctive </w:t>
      </w:r>
      <w:r>
        <w:rPr>
          <w:rFonts w:ascii="Times New Roman" w:cs="Times New Roman" w:eastAsia="Times New Roman" w:hAnsi="Times New Roman"/>
          <w:bCs/>
          <w:sz w:val="24"/>
          <w:szCs w:val="24"/>
        </w:rPr>
        <w:t>interpretive approaches.</w:t>
      </w:r>
    </w:p>
    <w:p w14:paraId="00000047">
      <w:pPr>
        <w:spacing w:before="240" w:after="0" w:line="480" w:lineRule="auto"/>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In short, the applicants could not competently have challenged the provisions of the Labour Act in the manner that they did. </w:t>
      </w:r>
      <w:r>
        <w:rPr>
          <w:rFonts w:ascii="Times New Roman" w:cs="Times New Roman" w:eastAsia="Times New Roman" w:hAnsi="Times New Roman"/>
          <w:bCs/>
          <w:sz w:val="24"/>
          <w:szCs w:val="24"/>
        </w:rPr>
        <w:t xml:space="preserve">If it was the intention of the applicants, which it seems to have been, to challenge the constitutionality of the contentious provisions, they should have done so explicitly and </w:t>
      </w:r>
      <w:r>
        <w:rPr>
          <w:rFonts w:ascii="Times New Roman" w:cs="Times New Roman" w:eastAsia="Times New Roman" w:hAnsi="Times New Roman"/>
          <w:bCs/>
          <w:sz w:val="24"/>
          <w:szCs w:val="24"/>
        </w:rPr>
        <w:t xml:space="preserve">at the appropriate time </w:t>
      </w:r>
      <w:r>
        <w:rPr>
          <w:rFonts w:ascii="Times New Roman" w:cs="Times New Roman" w:eastAsia="Times New Roman" w:hAnsi="Times New Roman"/>
          <w:bCs/>
          <w:sz w:val="24"/>
          <w:szCs w:val="24"/>
        </w:rPr>
        <w:t>before the appropriate forum.</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 xml:space="preserve">They needed to adopt a </w:t>
      </w:r>
      <w:r>
        <w:rPr>
          <w:rFonts w:ascii="Times New Roman" w:cs="Times New Roman" w:eastAsia="Times New Roman" w:hAnsi="Times New Roman"/>
          <w:bCs/>
          <w:sz w:val="24"/>
          <w:szCs w:val="24"/>
        </w:rPr>
        <w:t xml:space="preserve">head-on </w:t>
      </w:r>
      <w:r>
        <w:rPr>
          <w:rFonts w:ascii="Times New Roman" w:cs="Times New Roman" w:eastAsia="Times New Roman" w:hAnsi="Times New Roman"/>
          <w:bCs/>
          <w:sz w:val="24"/>
          <w:szCs w:val="24"/>
        </w:rPr>
        <w:t xml:space="preserve">frontal attack instead of seeking “a purposive interpretation through a </w:t>
      </w:r>
      <w:r>
        <w:rPr>
          <w:rFonts w:ascii="Times New Roman" w:cs="Times New Roman" w:eastAsia="Times New Roman" w:hAnsi="Times New Roman"/>
          <w:bCs/>
          <w:sz w:val="24"/>
          <w:szCs w:val="24"/>
        </w:rPr>
        <w:t xml:space="preserve">purposive lens”. Their </w:t>
      </w:r>
      <w:r>
        <w:rPr>
          <w:rFonts w:ascii="Times New Roman" w:cs="Times New Roman" w:eastAsia="Times New Roman" w:hAnsi="Times New Roman"/>
          <w:bCs/>
          <w:sz w:val="24"/>
          <w:szCs w:val="24"/>
        </w:rPr>
        <w:t xml:space="preserve">indirect and </w:t>
      </w:r>
      <w:r>
        <w:rPr>
          <w:rFonts w:ascii="Times New Roman" w:cs="Times New Roman" w:eastAsia="Times New Roman" w:hAnsi="Times New Roman"/>
          <w:bCs/>
          <w:sz w:val="24"/>
          <w:szCs w:val="24"/>
        </w:rPr>
        <w:t xml:space="preserve">tangential approach </w:t>
      </w:r>
      <w:r>
        <w:rPr>
          <w:rFonts w:ascii="Times New Roman" w:cs="Times New Roman" w:eastAsia="Times New Roman" w:hAnsi="Times New Roman"/>
          <w:bCs/>
          <w:i/>
          <w:iCs/>
          <w:sz w:val="24"/>
          <w:szCs w:val="24"/>
        </w:rPr>
        <w:t xml:space="preserve">in </w:t>
      </w:r>
      <w:r>
        <w:rPr>
          <w:rFonts w:ascii="Times New Roman" w:cs="Times New Roman" w:eastAsia="Times New Roman" w:hAnsi="Times New Roman"/>
          <w:bCs/>
          <w:i/>
          <w:iCs/>
          <w:sz w:val="24"/>
          <w:szCs w:val="24"/>
        </w:rPr>
        <w:t>casu</w:t>
      </w:r>
      <w:r>
        <w:rPr>
          <w:rFonts w:ascii="Times New Roman" w:cs="Times New Roman" w:eastAsia="Times New Roman" w:hAnsi="Times New Roman"/>
          <w:bCs/>
          <w:sz w:val="24"/>
          <w:szCs w:val="24"/>
        </w:rPr>
        <w:t xml:space="preserve"> appears to be legally inept and incompetent on the facts of this matter.</w:t>
      </w:r>
    </w:p>
    <w:p w14:paraId="00000048">
      <w:pPr>
        <w:spacing w:after="0" w:line="480" w:lineRule="auto"/>
        <w:jc w:val="both"/>
        <w:rPr>
          <w:rFonts w:ascii="Times New Roman" w:cs="Times New Roman" w:eastAsia="Times New Roman" w:hAnsi="Times New Roman"/>
          <w:bCs/>
          <w:sz w:val="24"/>
          <w:szCs w:val="24"/>
        </w:rPr>
      </w:pPr>
    </w:p>
    <w:p w14:paraId="00000049">
      <w:pPr>
        <w:spacing w:after="0" w:line="480" w:lineRule="auto"/>
        <w:jc w:val="both"/>
        <w:rPr>
          <w:rFonts w:ascii="Times New Roman" w:cs="Times New Roman" w:eastAsia="Times New Roman" w:hAnsi="Times New Roman"/>
          <w:bCs/>
          <w:sz w:val="24"/>
          <w:szCs w:val="24"/>
        </w:rPr>
      </w:pPr>
      <w:r>
        <w:rPr>
          <w:rFonts w:ascii="Times New Roman" w:cs="Times New Roman" w:eastAsia="Times New Roman" w:hAnsi="Times New Roman"/>
          <w:b/>
          <w:sz w:val="24"/>
          <w:szCs w:val="24"/>
        </w:rPr>
        <w:t>Alleged Error in Interpretation</w:t>
      </w:r>
    </w:p>
    <w:p w14:paraId="0000004A">
      <w:pPr>
        <w:spacing w:after="0" w:line="480" w:lineRule="auto"/>
        <w:ind w:left="-142" w:firstLine="862"/>
        <w:jc w:val="both"/>
        <w:rPr>
          <w:rFonts w:ascii="Times New Roman" w:cs="Times New Roman" w:eastAsia="Times New Roman" w:hAnsi="Times New Roman"/>
          <w:bCs/>
          <w:iCs/>
          <w:sz w:val="24"/>
          <w:szCs w:val="24"/>
        </w:rPr>
      </w:pPr>
      <w:r>
        <w:rPr>
          <w:rFonts w:ascii="Times New Roman" w:cs="Times New Roman" w:eastAsia="Times New Roman" w:hAnsi="Times New Roman"/>
          <w:bCs/>
          <w:sz w:val="24"/>
          <w:szCs w:val="24"/>
        </w:rPr>
        <w:t xml:space="preserve">For </w:t>
      </w:r>
      <w:r>
        <w:rPr>
          <w:rFonts w:ascii="Times New Roman" w:cs="Times New Roman" w:eastAsia="Times New Roman" w:hAnsi="Times New Roman"/>
          <w:bCs/>
          <w:sz w:val="24"/>
          <w:szCs w:val="24"/>
        </w:rPr>
        <w:t xml:space="preserve">the sake of </w:t>
      </w:r>
      <w:r>
        <w:rPr>
          <w:rFonts w:ascii="Times New Roman" w:cs="Times New Roman" w:eastAsia="Times New Roman" w:hAnsi="Times New Roman"/>
          <w:bCs/>
          <w:sz w:val="24"/>
          <w:szCs w:val="24"/>
        </w:rPr>
        <w:t xml:space="preserve">completeness, </w:t>
      </w:r>
      <w:r>
        <w:rPr>
          <w:rFonts w:ascii="Times New Roman" w:cs="Times New Roman" w:eastAsia="Times New Roman" w:hAnsi="Times New Roman"/>
          <w:bCs/>
          <w:sz w:val="24"/>
          <w:szCs w:val="24"/>
        </w:rPr>
        <w:t xml:space="preserve">it seems necessary to examine </w:t>
      </w:r>
      <w:r>
        <w:rPr>
          <w:rFonts w:ascii="Times New Roman" w:cs="Times New Roman" w:eastAsia="Times New Roman" w:hAnsi="Times New Roman"/>
          <w:bCs/>
          <w:sz w:val="24"/>
          <w:szCs w:val="24"/>
        </w:rPr>
        <w:t xml:space="preserve">the </w:t>
      </w:r>
      <w:r>
        <w:rPr>
          <w:rFonts w:ascii="Times New Roman" w:cs="Times New Roman" w:eastAsia="Times New Roman" w:hAnsi="Times New Roman"/>
          <w:bCs/>
          <w:sz w:val="24"/>
          <w:szCs w:val="24"/>
        </w:rPr>
        <w:t>three</w:t>
      </w:r>
      <w:r>
        <w:rPr>
          <w:rFonts w:ascii="Times New Roman" w:cs="Times New Roman" w:eastAsia="Times New Roman" w:hAnsi="Times New Roman"/>
          <w:bCs/>
          <w:sz w:val="24"/>
          <w:szCs w:val="24"/>
        </w:rPr>
        <w:t xml:space="preserve"> sections</w:t>
      </w:r>
      <w:r>
        <w:rPr>
          <w:rFonts w:ascii="Times New Roman" w:cs="Times New Roman" w:eastAsia="Times New Roman" w:hAnsi="Times New Roman"/>
          <w:bCs/>
          <w:sz w:val="24"/>
          <w:szCs w:val="24"/>
        </w:rPr>
        <w:t xml:space="preserve"> under consideration</w:t>
      </w:r>
      <w:r>
        <w:rPr>
          <w:rFonts w:ascii="Times New Roman" w:cs="Times New Roman" w:eastAsia="Times New Roman" w:hAnsi="Times New Roman"/>
          <w:bCs/>
          <w:sz w:val="24"/>
          <w:szCs w:val="24"/>
        </w:rPr>
        <w:t xml:space="preserve"> so as to ascertain whether the court</w:t>
      </w:r>
      <w:r>
        <w:rPr>
          <w:rFonts w:ascii="Times New Roman" w:cs="Times New Roman" w:eastAsia="Times New Roman" w:hAnsi="Times New Roman"/>
          <w:bCs/>
          <w:i/>
          <w:iCs/>
          <w:sz w:val="24"/>
          <w:szCs w:val="24"/>
        </w:rPr>
        <w:t xml:space="preserve"> a quo </w:t>
      </w:r>
      <w:r>
        <w:rPr>
          <w:rFonts w:ascii="Times New Roman" w:cs="Times New Roman" w:eastAsia="Times New Roman" w:hAnsi="Times New Roman"/>
          <w:bCs/>
          <w:sz w:val="24"/>
          <w:szCs w:val="24"/>
        </w:rPr>
        <w:t>erred in its interpretation</w:t>
      </w:r>
      <w:r>
        <w:rPr>
          <w:rFonts w:ascii="Times New Roman" w:cs="Times New Roman" w:eastAsia="Times New Roman" w:hAnsi="Times New Roman"/>
          <w:bCs/>
          <w:sz w:val="24"/>
          <w:szCs w:val="24"/>
        </w:rPr>
        <w:t xml:space="preserve"> of those provisions</w:t>
      </w:r>
      <w:r>
        <w:rPr>
          <w:rFonts w:ascii="Times New Roman" w:cs="Times New Roman" w:eastAsia="Times New Roman" w:hAnsi="Times New Roman"/>
          <w:bCs/>
          <w:sz w:val="24"/>
          <w:szCs w:val="24"/>
        </w:rPr>
        <w:t xml:space="preserve">, resulting in </w:t>
      </w:r>
      <w:r>
        <w:rPr>
          <w:rFonts w:ascii="Times New Roman" w:cs="Times New Roman" w:eastAsia="Times New Roman" w:hAnsi="Times New Roman"/>
          <w:bCs/>
          <w:sz w:val="24"/>
          <w:szCs w:val="24"/>
        </w:rPr>
        <w:t xml:space="preserve">the alleged </w:t>
      </w:r>
      <w:r>
        <w:rPr>
          <w:rFonts w:ascii="Times New Roman" w:cs="Times New Roman" w:eastAsia="Times New Roman" w:hAnsi="Times New Roman"/>
          <w:bCs/>
          <w:sz w:val="24"/>
          <w:szCs w:val="24"/>
        </w:rPr>
        <w:t xml:space="preserve">infringement of the applicants’ rights. </w:t>
      </w:r>
      <w:r>
        <w:rPr>
          <w:rFonts w:ascii="Times New Roman" w:cs="Times New Roman" w:eastAsia="Times New Roman" w:hAnsi="Times New Roman"/>
          <w:bCs/>
          <w:sz w:val="24"/>
          <w:szCs w:val="24"/>
        </w:rPr>
        <w:t>The applicants were retrenched with effect from 31 August 2019. At that time, before the Labour Act was amended by Act No. 11 of 2023</w:t>
      </w:r>
      <w:r>
        <w:rPr>
          <w:rFonts w:ascii="Times New Roman" w:cs="Times New Roman" w:eastAsia="Times New Roman" w:hAnsi="Times New Roman"/>
          <w:bCs/>
          <w:sz w:val="24"/>
          <w:szCs w:val="24"/>
        </w:rPr>
        <w:t>, s</w:t>
      </w:r>
      <w:r>
        <w:rPr>
          <w:rFonts w:ascii="Times New Roman" w:cs="Times New Roman" w:eastAsia="Times New Roman" w:hAnsi="Times New Roman"/>
          <w:bCs/>
          <w:iCs/>
          <w:sz w:val="24"/>
          <w:szCs w:val="24"/>
        </w:rPr>
        <w:t xml:space="preserve"> </w:t>
      </w:r>
      <w:r>
        <w:rPr>
          <w:rFonts w:ascii="Times New Roman" w:cs="Times New Roman" w:eastAsia="Times New Roman" w:hAnsi="Times New Roman"/>
          <w:bCs/>
          <w:iCs/>
          <w:sz w:val="24"/>
          <w:szCs w:val="24"/>
        </w:rPr>
        <w:t>25A(</w:t>
      </w:r>
      <w:r>
        <w:rPr>
          <w:rFonts w:ascii="Times New Roman" w:cs="Times New Roman" w:eastAsia="Times New Roman" w:hAnsi="Times New Roman"/>
          <w:bCs/>
          <w:iCs/>
          <w:sz w:val="24"/>
          <w:szCs w:val="24"/>
        </w:rPr>
        <w:t xml:space="preserve">5) </w:t>
      </w:r>
      <w:r>
        <w:rPr>
          <w:rFonts w:ascii="Times New Roman" w:cs="Times New Roman" w:eastAsia="Times New Roman" w:hAnsi="Times New Roman"/>
          <w:bCs/>
          <w:iCs/>
          <w:sz w:val="24"/>
          <w:szCs w:val="24"/>
        </w:rPr>
        <w:t xml:space="preserve">of the Act </w:t>
      </w:r>
      <w:r>
        <w:rPr>
          <w:rFonts w:ascii="Times New Roman" w:cs="Times New Roman" w:eastAsia="Times New Roman" w:hAnsi="Times New Roman"/>
          <w:bCs/>
          <w:iCs/>
          <w:sz w:val="24"/>
          <w:szCs w:val="24"/>
        </w:rPr>
        <w:t>provide</w:t>
      </w:r>
      <w:r>
        <w:rPr>
          <w:rFonts w:ascii="Times New Roman" w:cs="Times New Roman" w:eastAsia="Times New Roman" w:hAnsi="Times New Roman"/>
          <w:bCs/>
          <w:iCs/>
          <w:sz w:val="24"/>
          <w:szCs w:val="24"/>
        </w:rPr>
        <w:t>d</w:t>
      </w:r>
      <w:r>
        <w:rPr>
          <w:rFonts w:ascii="Times New Roman" w:cs="Times New Roman" w:eastAsia="Times New Roman" w:hAnsi="Times New Roman"/>
          <w:bCs/>
          <w:iCs/>
          <w:sz w:val="24"/>
          <w:szCs w:val="24"/>
        </w:rPr>
        <w:t xml:space="preserve"> </w:t>
      </w:r>
      <w:r>
        <w:rPr>
          <w:rFonts w:ascii="Times New Roman" w:cs="Times New Roman" w:eastAsia="Times New Roman" w:hAnsi="Times New Roman"/>
          <w:bCs/>
          <w:iCs/>
          <w:sz w:val="24"/>
          <w:szCs w:val="24"/>
        </w:rPr>
        <w:t>as follows</w:t>
      </w:r>
      <w:r>
        <w:rPr>
          <w:rFonts w:ascii="Times New Roman" w:cs="Times New Roman" w:eastAsia="Times New Roman" w:hAnsi="Times New Roman"/>
          <w:bCs/>
          <w:iCs/>
          <w:sz w:val="24"/>
          <w:szCs w:val="24"/>
        </w:rPr>
        <w:t>:</w:t>
      </w:r>
    </w:p>
    <w:p w14:paraId="0000004B">
      <w:pPr>
        <w:spacing w:after="0" w:line="240" w:lineRule="auto"/>
        <w:ind w:left="720"/>
        <w:jc w:val="both"/>
        <w:rPr>
          <w:rFonts w:ascii="Times New Roman" w:cs="Times New Roman" w:eastAsia="Times New Roman" w:hAnsi="Times New Roman"/>
          <w:bCs/>
          <w:iCs/>
          <w:sz w:val="24"/>
          <w:szCs w:val="24"/>
        </w:rPr>
      </w:pPr>
      <w:r>
        <w:rPr>
          <w:rFonts w:ascii="Times New Roman" w:cs="Times New Roman" w:eastAsia="Times New Roman" w:hAnsi="Times New Roman"/>
          <w:bCs/>
          <w:iCs/>
          <w:sz w:val="24"/>
          <w:szCs w:val="24"/>
        </w:rPr>
        <w:t xml:space="preserve">“(5) Without prejudice to the provisions of any collective bargaining agreement that may be applicable to the establishment concerned, a </w:t>
      </w:r>
      <w:r>
        <w:rPr>
          <w:rFonts w:ascii="Times New Roman" w:cs="Times New Roman" w:eastAsia="Times New Roman" w:hAnsi="Times New Roman"/>
          <w:bCs/>
          <w:iCs/>
          <w:sz w:val="24"/>
          <w:szCs w:val="24"/>
        </w:rPr>
        <w:t>works council</w:t>
      </w:r>
      <w:r>
        <w:rPr>
          <w:rFonts w:ascii="Times New Roman" w:cs="Times New Roman" w:eastAsia="Times New Roman" w:hAnsi="Times New Roman"/>
          <w:bCs/>
          <w:iCs/>
          <w:sz w:val="24"/>
          <w:szCs w:val="24"/>
        </w:rPr>
        <w:t xml:space="preserve"> shall be entitled to be consulted by the employer about proposals relating to any of the following matters: </w:t>
      </w:r>
    </w:p>
    <w:p w14:paraId="0000004C">
      <w:pPr>
        <w:numPr>
          <w:ilvl w:val="0"/>
          <w:numId w:val="4"/>
        </w:numPr>
        <w:spacing w:after="0" w:line="240" w:lineRule="auto"/>
        <w:ind w:left="1800"/>
        <w:jc w:val="both"/>
        <w:rPr>
          <w:rFonts w:ascii="Times New Roman" w:cs="Times New Roman" w:eastAsia="Times New Roman" w:hAnsi="Times New Roman"/>
          <w:bCs/>
          <w:iCs/>
          <w:sz w:val="24"/>
          <w:szCs w:val="24"/>
        </w:rPr>
      </w:pPr>
      <w:r>
        <w:rPr>
          <w:rFonts w:ascii="Times New Roman" w:cs="Times New Roman" w:eastAsia="Times New Roman" w:hAnsi="Times New Roman"/>
          <w:bCs/>
          <w:iCs/>
          <w:sz w:val="24"/>
          <w:szCs w:val="24"/>
        </w:rPr>
        <w:t>…</w:t>
      </w:r>
    </w:p>
    <w:p w14:paraId="0000004D">
      <w:pPr>
        <w:numPr>
          <w:ilvl w:val="0"/>
          <w:numId w:val="4"/>
        </w:numPr>
        <w:spacing w:after="0" w:line="240" w:lineRule="auto"/>
        <w:ind w:left="1800"/>
        <w:jc w:val="both"/>
        <w:rPr>
          <w:rFonts w:ascii="Times New Roman" w:cs="Times New Roman" w:eastAsia="Times New Roman" w:hAnsi="Times New Roman"/>
          <w:bCs/>
          <w:iCs/>
          <w:sz w:val="24"/>
          <w:szCs w:val="24"/>
        </w:rPr>
      </w:pPr>
      <w:r>
        <w:rPr>
          <w:rFonts w:ascii="Times New Roman" w:cs="Times New Roman" w:eastAsia="Times New Roman" w:hAnsi="Times New Roman"/>
          <w:bCs/>
          <w:iCs/>
          <w:sz w:val="24"/>
          <w:szCs w:val="24"/>
        </w:rPr>
        <w:t>…</w:t>
      </w:r>
    </w:p>
    <w:p w14:paraId="0000004E">
      <w:pPr>
        <w:numPr>
          <w:ilvl w:val="0"/>
          <w:numId w:val="4"/>
        </w:numPr>
        <w:spacing w:after="0" w:line="240" w:lineRule="auto"/>
        <w:ind w:left="1800"/>
        <w:jc w:val="both"/>
        <w:rPr>
          <w:rFonts w:ascii="Times New Roman" w:cs="Times New Roman" w:eastAsia="Times New Roman" w:hAnsi="Times New Roman"/>
          <w:bCs/>
          <w:iCs/>
          <w:sz w:val="24"/>
          <w:szCs w:val="24"/>
        </w:rPr>
      </w:pPr>
      <w:r>
        <w:rPr>
          <w:rFonts w:ascii="Times New Roman" w:cs="Times New Roman" w:eastAsia="Times New Roman" w:hAnsi="Times New Roman"/>
          <w:bCs/>
          <w:iCs/>
          <w:sz w:val="24"/>
          <w:szCs w:val="24"/>
        </w:rPr>
        <w:t>…</w:t>
      </w:r>
    </w:p>
    <w:p w14:paraId="0000004F">
      <w:pPr>
        <w:numPr>
          <w:ilvl w:val="0"/>
          <w:numId w:val="4"/>
        </w:numPr>
        <w:spacing w:after="0" w:line="240" w:lineRule="auto"/>
        <w:ind w:left="1800"/>
        <w:jc w:val="both"/>
        <w:rPr>
          <w:rFonts w:ascii="Times New Roman" w:cs="Times New Roman" w:eastAsia="Times New Roman" w:hAnsi="Times New Roman"/>
          <w:bCs/>
          <w:iCs/>
          <w:sz w:val="24"/>
          <w:szCs w:val="24"/>
        </w:rPr>
      </w:pPr>
      <w:r>
        <w:rPr>
          <w:rFonts w:ascii="Times New Roman" w:cs="Times New Roman" w:eastAsia="Times New Roman" w:hAnsi="Times New Roman"/>
          <w:bCs/>
          <w:iCs/>
          <w:sz w:val="24"/>
          <w:szCs w:val="24"/>
        </w:rPr>
        <w:t>…</w:t>
      </w:r>
    </w:p>
    <w:p w14:paraId="00000050">
      <w:pPr>
        <w:numPr>
          <w:ilvl w:val="0"/>
          <w:numId w:val="4"/>
        </w:numPr>
        <w:spacing w:after="0" w:line="240" w:lineRule="auto"/>
        <w:ind w:left="1800"/>
        <w:jc w:val="both"/>
        <w:rPr>
          <w:rFonts w:ascii="Times New Roman" w:cs="Times New Roman" w:eastAsia="Times New Roman" w:hAnsi="Times New Roman"/>
          <w:bCs/>
          <w:iCs/>
          <w:sz w:val="24"/>
          <w:szCs w:val="24"/>
        </w:rPr>
      </w:pPr>
      <w:r>
        <w:rPr>
          <w:rFonts w:ascii="Times New Roman" w:cs="Times New Roman" w:eastAsia="Times New Roman" w:hAnsi="Times New Roman"/>
          <w:bCs/>
          <w:iCs/>
          <w:sz w:val="24"/>
          <w:szCs w:val="24"/>
        </w:rPr>
        <w:t>…</w:t>
      </w:r>
    </w:p>
    <w:p w14:paraId="00000051">
      <w:pPr>
        <w:numPr>
          <w:ilvl w:val="0"/>
          <w:numId w:val="4"/>
        </w:numPr>
        <w:spacing w:after="0" w:line="240" w:lineRule="auto"/>
        <w:ind w:left="1800"/>
        <w:jc w:val="both"/>
        <w:rPr>
          <w:rFonts w:ascii="Times New Roman" w:cs="Times New Roman" w:eastAsia="Times New Roman" w:hAnsi="Times New Roman"/>
          <w:bCs/>
          <w:iCs/>
          <w:sz w:val="24"/>
          <w:szCs w:val="24"/>
          <w:u w:val="single"/>
        </w:rPr>
      </w:pPr>
      <w:r>
        <w:rPr>
          <w:rFonts w:ascii="Times New Roman" w:cs="Times New Roman" w:eastAsia="Times New Roman" w:hAnsi="Times New Roman"/>
          <w:bCs/>
          <w:iCs/>
          <w:sz w:val="24"/>
          <w:szCs w:val="24"/>
        </w:rPr>
        <w:t xml:space="preserve">the retrenchment of employees, whether voluntary or compulsory: </w:t>
      </w:r>
    </w:p>
    <w:p w14:paraId="00000052">
      <w:pPr>
        <w:spacing w:line="240" w:lineRule="auto"/>
        <w:ind w:left="720" w:firstLine="720"/>
        <w:jc w:val="both"/>
        <w:rPr>
          <w:rFonts w:ascii="Times New Roman" w:cs="Times New Roman" w:eastAsia="Times New Roman" w:hAnsi="Times New Roman"/>
          <w:bCs/>
          <w:iCs/>
          <w:sz w:val="24"/>
          <w:szCs w:val="24"/>
        </w:rPr>
      </w:pPr>
      <w:r>
        <w:rPr>
          <w:rFonts w:ascii="Times New Roman" w:cs="Times New Roman" w:eastAsia="Times New Roman" w:hAnsi="Times New Roman"/>
          <w:bCs/>
          <w:iCs/>
          <w:sz w:val="24"/>
          <w:szCs w:val="24"/>
        </w:rPr>
        <w:t xml:space="preserve">Provided that any matter involving the retrenchment of five or more employees within a period of six months shall be governed by sections twelve C and twelve D, unless otherwise agreed by the employer with the members of the </w:t>
      </w:r>
      <w:r>
        <w:rPr>
          <w:rFonts w:ascii="Times New Roman" w:cs="Times New Roman" w:eastAsia="Times New Roman" w:hAnsi="Times New Roman"/>
          <w:bCs/>
          <w:iCs/>
          <w:sz w:val="24"/>
          <w:szCs w:val="24"/>
        </w:rPr>
        <w:t>works council</w:t>
      </w:r>
      <w:r>
        <w:rPr>
          <w:rFonts w:ascii="Times New Roman" w:cs="Times New Roman" w:eastAsia="Times New Roman" w:hAnsi="Times New Roman"/>
          <w:bCs/>
          <w:iCs/>
          <w:sz w:val="24"/>
          <w:szCs w:val="24"/>
        </w:rPr>
        <w:t xml:space="preserve"> representing the workers' committee.”</w:t>
      </w:r>
    </w:p>
    <w:p w14:paraId="00000053">
      <w:pPr>
        <w:spacing w:before="240" w:line="480" w:lineRule="auto"/>
        <w:jc w:val="both"/>
        <w:rPr>
          <w:rFonts w:ascii="Times New Roman" w:cs="Times New Roman" w:eastAsia="Times New Roman" w:hAnsi="Times New Roman"/>
          <w:bCs/>
          <w:iCs/>
          <w:sz w:val="24"/>
          <w:szCs w:val="24"/>
        </w:rPr>
      </w:pPr>
      <w:r>
        <w:rPr>
          <w:rFonts w:ascii="Times New Roman" w:cs="Times New Roman" w:eastAsia="Times New Roman" w:hAnsi="Times New Roman"/>
          <w:bCs/>
          <w:iCs/>
          <w:sz w:val="24"/>
          <w:szCs w:val="24"/>
        </w:rPr>
        <w:tab/>
      </w:r>
      <w:r>
        <w:rPr>
          <w:rFonts w:ascii="Times New Roman" w:cs="Times New Roman" w:eastAsia="Times New Roman" w:hAnsi="Times New Roman"/>
          <w:bCs/>
          <w:iCs/>
          <w:sz w:val="24"/>
          <w:szCs w:val="24"/>
        </w:rPr>
        <w:t xml:space="preserve">Section </w:t>
      </w:r>
      <w:r>
        <w:rPr>
          <w:rFonts w:ascii="Times New Roman" w:cs="Times New Roman" w:eastAsia="Times New Roman" w:hAnsi="Times New Roman"/>
          <w:bCs/>
          <w:iCs/>
          <w:sz w:val="24"/>
          <w:szCs w:val="24"/>
        </w:rPr>
        <w:t>12C</w:t>
      </w:r>
      <w:r>
        <w:rPr>
          <w:rFonts w:ascii="Times New Roman" w:cs="Times New Roman" w:eastAsia="Times New Roman" w:hAnsi="Times New Roman"/>
          <w:bCs/>
          <w:iCs/>
          <w:sz w:val="24"/>
          <w:szCs w:val="24"/>
        </w:rPr>
        <w:t>(</w:t>
      </w:r>
      <w:r>
        <w:rPr>
          <w:rFonts w:ascii="Times New Roman" w:cs="Times New Roman" w:eastAsia="Times New Roman" w:hAnsi="Times New Roman"/>
          <w:bCs/>
          <w:iCs/>
          <w:sz w:val="24"/>
          <w:szCs w:val="24"/>
        </w:rPr>
        <w:t>1)</w:t>
      </w:r>
      <w:r>
        <w:rPr>
          <w:rFonts w:ascii="Times New Roman" w:cs="Times New Roman" w:eastAsia="Times New Roman" w:hAnsi="Times New Roman"/>
          <w:bCs/>
          <w:iCs/>
          <w:sz w:val="24"/>
          <w:szCs w:val="24"/>
        </w:rPr>
        <w:t xml:space="preserve"> of the Act</w:t>
      </w:r>
      <w:r>
        <w:rPr>
          <w:rFonts w:ascii="Times New Roman" w:cs="Times New Roman" w:eastAsia="Times New Roman" w:hAnsi="Times New Roman"/>
          <w:bCs/>
          <w:iCs/>
          <w:sz w:val="24"/>
          <w:szCs w:val="24"/>
        </w:rPr>
        <w:t>, in its relevant portions,</w:t>
      </w:r>
      <w:r>
        <w:rPr>
          <w:rFonts w:ascii="Times New Roman" w:cs="Times New Roman" w:eastAsia="Times New Roman" w:hAnsi="Times New Roman"/>
          <w:bCs/>
          <w:iCs/>
          <w:sz w:val="24"/>
          <w:szCs w:val="24"/>
        </w:rPr>
        <w:t xml:space="preserve"> </w:t>
      </w:r>
      <w:r>
        <w:rPr>
          <w:rFonts w:ascii="Times New Roman" w:cs="Times New Roman" w:eastAsia="Times New Roman" w:hAnsi="Times New Roman"/>
          <w:bCs/>
          <w:iCs/>
          <w:sz w:val="24"/>
          <w:szCs w:val="24"/>
        </w:rPr>
        <w:t>enjoined</w:t>
      </w:r>
      <w:r>
        <w:rPr>
          <w:rFonts w:ascii="Times New Roman" w:cs="Times New Roman" w:eastAsia="Times New Roman" w:hAnsi="Times New Roman"/>
          <w:bCs/>
          <w:iCs/>
          <w:sz w:val="24"/>
          <w:szCs w:val="24"/>
        </w:rPr>
        <w:t xml:space="preserve"> a</w:t>
      </w:r>
      <w:r>
        <w:rPr>
          <w:rFonts w:ascii="Times New Roman" w:cs="Times New Roman" w:eastAsia="Times New Roman" w:hAnsi="Times New Roman"/>
          <w:bCs/>
          <w:iCs/>
          <w:sz w:val="24"/>
          <w:szCs w:val="24"/>
        </w:rPr>
        <w:t>n employer who wishe</w:t>
      </w:r>
      <w:r>
        <w:rPr>
          <w:rFonts w:ascii="Times New Roman" w:cs="Times New Roman" w:eastAsia="Times New Roman" w:hAnsi="Times New Roman"/>
          <w:bCs/>
          <w:iCs/>
          <w:sz w:val="24"/>
          <w:szCs w:val="24"/>
        </w:rPr>
        <w:t>d</w:t>
      </w:r>
      <w:r>
        <w:rPr>
          <w:rFonts w:ascii="Times New Roman" w:cs="Times New Roman" w:eastAsia="Times New Roman" w:hAnsi="Times New Roman"/>
          <w:bCs/>
          <w:iCs/>
          <w:sz w:val="24"/>
          <w:szCs w:val="24"/>
        </w:rPr>
        <w:t xml:space="preserve"> to retrench any one or more employees </w:t>
      </w:r>
      <w:r>
        <w:rPr>
          <w:rFonts w:ascii="Times New Roman" w:cs="Times New Roman" w:eastAsia="Times New Roman" w:hAnsi="Times New Roman"/>
          <w:bCs/>
          <w:iCs/>
          <w:sz w:val="24"/>
          <w:szCs w:val="24"/>
        </w:rPr>
        <w:t xml:space="preserve">to </w:t>
      </w:r>
      <w:r>
        <w:rPr>
          <w:rFonts w:ascii="Times New Roman" w:cs="Times New Roman" w:eastAsia="Times New Roman" w:hAnsi="Times New Roman"/>
          <w:bCs/>
          <w:iCs/>
          <w:sz w:val="24"/>
          <w:szCs w:val="24"/>
        </w:rPr>
        <w:t xml:space="preserve">give written notice of </w:t>
      </w:r>
      <w:r>
        <w:rPr>
          <w:rFonts w:ascii="Times New Roman" w:cs="Times New Roman" w:eastAsia="Times New Roman" w:hAnsi="Times New Roman"/>
          <w:bCs/>
          <w:iCs/>
          <w:sz w:val="24"/>
          <w:szCs w:val="24"/>
        </w:rPr>
        <w:t>its</w:t>
      </w:r>
      <w:r>
        <w:rPr>
          <w:rFonts w:ascii="Times New Roman" w:cs="Times New Roman" w:eastAsia="Times New Roman" w:hAnsi="Times New Roman"/>
          <w:bCs/>
          <w:iCs/>
          <w:sz w:val="24"/>
          <w:szCs w:val="24"/>
        </w:rPr>
        <w:t xml:space="preserve"> intention</w:t>
      </w:r>
      <w:r>
        <w:rPr>
          <w:rFonts w:ascii="Times New Roman" w:cs="Times New Roman" w:eastAsia="Times New Roman" w:hAnsi="Times New Roman"/>
          <w:bCs/>
          <w:iCs/>
          <w:sz w:val="24"/>
          <w:szCs w:val="24"/>
        </w:rPr>
        <w:t xml:space="preserve"> to do so, firstly,</w:t>
      </w:r>
      <w:r>
        <w:rPr>
          <w:rFonts w:ascii="Times New Roman" w:cs="Times New Roman" w:eastAsia="Times New Roman" w:hAnsi="Times New Roman"/>
          <w:bCs/>
          <w:iCs/>
          <w:sz w:val="24"/>
          <w:szCs w:val="24"/>
        </w:rPr>
        <w:t xml:space="preserve"> </w:t>
      </w:r>
      <w:r>
        <w:rPr>
          <w:rFonts w:ascii="Times New Roman" w:cs="Times New Roman" w:eastAsia="Times New Roman" w:hAnsi="Times New Roman"/>
          <w:bCs/>
          <w:iCs/>
          <w:sz w:val="24"/>
          <w:szCs w:val="24"/>
        </w:rPr>
        <w:t xml:space="preserve">to the </w:t>
      </w:r>
      <w:r>
        <w:rPr>
          <w:rFonts w:ascii="Times New Roman" w:cs="Times New Roman" w:eastAsia="Times New Roman" w:hAnsi="Times New Roman"/>
          <w:bCs/>
          <w:iCs/>
          <w:sz w:val="24"/>
          <w:szCs w:val="24"/>
        </w:rPr>
        <w:t>works council</w:t>
      </w:r>
      <w:r>
        <w:rPr>
          <w:rFonts w:ascii="Times New Roman" w:cs="Times New Roman" w:eastAsia="Times New Roman" w:hAnsi="Times New Roman"/>
          <w:bCs/>
          <w:iCs/>
          <w:sz w:val="24"/>
          <w:szCs w:val="24"/>
        </w:rPr>
        <w:t xml:space="preserve"> </w:t>
      </w:r>
      <w:r>
        <w:rPr>
          <w:rFonts w:ascii="Times New Roman" w:cs="Times New Roman" w:eastAsia="Times New Roman" w:hAnsi="Times New Roman"/>
          <w:bCs/>
          <w:iCs/>
          <w:sz w:val="24"/>
          <w:szCs w:val="24"/>
        </w:rPr>
        <w:t>or</w:t>
      </w:r>
      <w:r>
        <w:rPr>
          <w:rFonts w:ascii="Times New Roman" w:cs="Times New Roman" w:eastAsia="Times New Roman" w:hAnsi="Times New Roman"/>
          <w:bCs/>
          <w:iCs/>
          <w:sz w:val="24"/>
          <w:szCs w:val="24"/>
        </w:rPr>
        <w:t>, secondly, to</w:t>
      </w:r>
      <w:r>
        <w:rPr>
          <w:rFonts w:ascii="Times New Roman" w:cs="Times New Roman" w:eastAsia="Times New Roman" w:hAnsi="Times New Roman"/>
          <w:bCs/>
          <w:iCs/>
          <w:sz w:val="24"/>
          <w:szCs w:val="24"/>
        </w:rPr>
        <w:t xml:space="preserve"> the employment council or</w:t>
      </w:r>
      <w:r>
        <w:rPr>
          <w:rFonts w:ascii="Times New Roman" w:cs="Times New Roman" w:eastAsia="Times New Roman" w:hAnsi="Times New Roman"/>
          <w:bCs/>
          <w:iCs/>
          <w:sz w:val="24"/>
          <w:szCs w:val="24"/>
        </w:rPr>
        <w:t>, ultimately</w:t>
      </w:r>
      <w:r>
        <w:rPr>
          <w:rFonts w:ascii="Times New Roman" w:cs="Times New Roman" w:eastAsia="Times New Roman" w:hAnsi="Times New Roman"/>
          <w:bCs/>
          <w:iCs/>
          <w:sz w:val="24"/>
          <w:szCs w:val="24"/>
        </w:rPr>
        <w:t>,</w:t>
      </w:r>
      <w:r>
        <w:rPr>
          <w:rFonts w:ascii="Times New Roman" w:cs="Times New Roman" w:eastAsia="Times New Roman" w:hAnsi="Times New Roman"/>
          <w:bCs/>
          <w:iCs/>
          <w:sz w:val="24"/>
          <w:szCs w:val="24"/>
        </w:rPr>
        <w:t xml:space="preserve"> in the absence of a works council or employment council </w:t>
      </w:r>
      <w:r>
        <w:rPr>
          <w:rFonts w:ascii="Times New Roman" w:cs="Times New Roman" w:eastAsia="Times New Roman" w:hAnsi="Times New Roman"/>
          <w:bCs/>
          <w:iCs/>
          <w:sz w:val="24"/>
          <w:szCs w:val="24"/>
        </w:rPr>
        <w:t>established for the undertaking or industry</w:t>
      </w:r>
      <w:r>
        <w:rPr>
          <w:rFonts w:ascii="Times New Roman" w:cs="Times New Roman" w:eastAsia="Times New Roman" w:hAnsi="Times New Roman"/>
          <w:bCs/>
          <w:iCs/>
          <w:sz w:val="24"/>
          <w:szCs w:val="24"/>
        </w:rPr>
        <w:t>,</w:t>
      </w:r>
      <w:r>
        <w:rPr>
          <w:rFonts w:ascii="Times New Roman" w:cs="Times New Roman" w:eastAsia="Times New Roman" w:hAnsi="Times New Roman"/>
          <w:bCs/>
          <w:iCs/>
          <w:sz w:val="24"/>
          <w:szCs w:val="24"/>
        </w:rPr>
        <w:t xml:space="preserve"> </w:t>
      </w:r>
      <w:r>
        <w:rPr>
          <w:rFonts w:ascii="Times New Roman" w:cs="Times New Roman" w:eastAsia="Times New Roman" w:hAnsi="Times New Roman"/>
          <w:bCs/>
          <w:iCs/>
          <w:sz w:val="24"/>
          <w:szCs w:val="24"/>
        </w:rPr>
        <w:t>to the Retrenchment Board</w:t>
      </w:r>
      <w:r>
        <w:rPr>
          <w:rFonts w:ascii="Times New Roman" w:cs="Times New Roman" w:eastAsia="Times New Roman" w:hAnsi="Times New Roman"/>
          <w:bCs/>
          <w:iCs/>
          <w:sz w:val="24"/>
          <w:szCs w:val="24"/>
        </w:rPr>
        <w:t>. It also required the employer to</w:t>
      </w:r>
      <w:r>
        <w:rPr>
          <w:rFonts w:ascii="Times New Roman" w:cs="Times New Roman" w:eastAsia="Times New Roman" w:hAnsi="Times New Roman"/>
          <w:bCs/>
          <w:iCs/>
          <w:sz w:val="24"/>
          <w:szCs w:val="24"/>
        </w:rPr>
        <w:t xml:space="preserve"> </w:t>
      </w:r>
      <w:r>
        <w:rPr>
          <w:rFonts w:ascii="Times New Roman" w:cs="Times New Roman" w:eastAsia="Times New Roman" w:hAnsi="Times New Roman"/>
          <w:bCs/>
          <w:iCs/>
          <w:sz w:val="24"/>
          <w:szCs w:val="24"/>
        </w:rPr>
        <w:t xml:space="preserve">provide details of every employee whom </w:t>
      </w:r>
      <w:r>
        <w:rPr>
          <w:rFonts w:ascii="Times New Roman" w:cs="Times New Roman" w:eastAsia="Times New Roman" w:hAnsi="Times New Roman"/>
          <w:bCs/>
          <w:iCs/>
          <w:sz w:val="24"/>
          <w:szCs w:val="24"/>
        </w:rPr>
        <w:t>it</w:t>
      </w:r>
      <w:r>
        <w:rPr>
          <w:rFonts w:ascii="Times New Roman" w:cs="Times New Roman" w:eastAsia="Times New Roman" w:hAnsi="Times New Roman"/>
          <w:bCs/>
          <w:iCs/>
          <w:sz w:val="24"/>
          <w:szCs w:val="24"/>
        </w:rPr>
        <w:t xml:space="preserve"> wishe</w:t>
      </w:r>
      <w:r>
        <w:rPr>
          <w:rFonts w:ascii="Times New Roman" w:cs="Times New Roman" w:eastAsia="Times New Roman" w:hAnsi="Times New Roman"/>
          <w:bCs/>
          <w:iCs/>
          <w:sz w:val="24"/>
          <w:szCs w:val="24"/>
        </w:rPr>
        <w:t>d</w:t>
      </w:r>
      <w:r>
        <w:rPr>
          <w:rFonts w:ascii="Times New Roman" w:cs="Times New Roman" w:eastAsia="Times New Roman" w:hAnsi="Times New Roman"/>
          <w:bCs/>
          <w:iCs/>
          <w:sz w:val="24"/>
          <w:szCs w:val="24"/>
        </w:rPr>
        <w:t xml:space="preserve"> to retrench and the reasons for the proposed retrenchment</w:t>
      </w:r>
      <w:r>
        <w:rPr>
          <w:rFonts w:ascii="Times New Roman" w:cs="Times New Roman" w:eastAsia="Times New Roman" w:hAnsi="Times New Roman"/>
          <w:bCs/>
          <w:iCs/>
          <w:sz w:val="24"/>
          <w:szCs w:val="24"/>
        </w:rPr>
        <w:t>.</w:t>
      </w:r>
      <w:r>
        <w:rPr>
          <w:rFonts w:ascii="Times New Roman" w:cs="Times New Roman" w:eastAsia="Times New Roman" w:hAnsi="Times New Roman"/>
          <w:bCs/>
          <w:iCs/>
          <w:sz w:val="24"/>
          <w:szCs w:val="24"/>
        </w:rPr>
        <w:t xml:space="preserve"> </w:t>
      </w:r>
      <w:r>
        <w:rPr>
          <w:rFonts w:ascii="Times New Roman" w:cs="Times New Roman" w:eastAsia="Times New Roman" w:hAnsi="Times New Roman"/>
          <w:bCs/>
          <w:iCs/>
          <w:sz w:val="24"/>
          <w:szCs w:val="24"/>
        </w:rPr>
        <w:t>Very importantly, s</w:t>
      </w:r>
      <w:r>
        <w:rPr>
          <w:rFonts w:ascii="Times New Roman" w:cs="Times New Roman" w:eastAsia="Times New Roman" w:hAnsi="Times New Roman"/>
          <w:bCs/>
          <w:iCs/>
          <w:sz w:val="24"/>
          <w:szCs w:val="24"/>
        </w:rPr>
        <w:t xml:space="preserve"> 12C(2) stipulated the payment </w:t>
      </w:r>
      <w:r>
        <w:rPr>
          <w:rFonts w:ascii="Times New Roman" w:cs="Times New Roman" w:eastAsia="Times New Roman" w:hAnsi="Times New Roman"/>
          <w:bCs/>
          <w:iCs/>
          <w:sz w:val="24"/>
          <w:szCs w:val="24"/>
        </w:rPr>
        <w:t xml:space="preserve">to every </w:t>
      </w:r>
      <w:r>
        <w:rPr>
          <w:rFonts w:ascii="Times New Roman" w:cs="Times New Roman" w:eastAsia="Times New Roman" w:hAnsi="Times New Roman"/>
          <w:bCs/>
          <w:iCs/>
          <w:sz w:val="24"/>
          <w:szCs w:val="24"/>
        </w:rPr>
        <w:t>retrenchee</w:t>
      </w:r>
      <w:r>
        <w:rPr>
          <w:rFonts w:ascii="Times New Roman" w:cs="Times New Roman" w:eastAsia="Times New Roman" w:hAnsi="Times New Roman"/>
          <w:bCs/>
          <w:iCs/>
          <w:sz w:val="24"/>
          <w:szCs w:val="24"/>
        </w:rPr>
        <w:t xml:space="preserve"> </w:t>
      </w:r>
      <w:r>
        <w:rPr>
          <w:rFonts w:ascii="Times New Roman" w:cs="Times New Roman" w:eastAsia="Times New Roman" w:hAnsi="Times New Roman"/>
          <w:bCs/>
          <w:iCs/>
          <w:sz w:val="24"/>
          <w:szCs w:val="24"/>
        </w:rPr>
        <w:t>by the employer of a minimum retrenchment package</w:t>
      </w:r>
      <w:r>
        <w:rPr>
          <w:rFonts w:ascii="Times New Roman" w:cs="Times New Roman" w:eastAsia="Times New Roman" w:hAnsi="Times New Roman"/>
          <w:bCs/>
          <w:iCs/>
          <w:sz w:val="24"/>
          <w:szCs w:val="24"/>
        </w:rPr>
        <w:t>,</w:t>
      </w:r>
      <w:r>
        <w:rPr>
          <w:rFonts w:ascii="Times New Roman" w:cs="Times New Roman" w:eastAsia="Times New Roman" w:hAnsi="Times New Roman"/>
          <w:bCs/>
          <w:iCs/>
          <w:sz w:val="24"/>
          <w:szCs w:val="24"/>
        </w:rPr>
        <w:t xml:space="preserve"> </w:t>
      </w:r>
      <w:r>
        <w:rPr>
          <w:rFonts w:ascii="Times New Roman" w:cs="Times New Roman" w:eastAsia="Times New Roman" w:hAnsi="Times New Roman"/>
          <w:bCs/>
          <w:i/>
          <w:sz w:val="24"/>
          <w:szCs w:val="24"/>
        </w:rPr>
        <w:t>i.e.</w:t>
      </w:r>
      <w:r>
        <w:rPr>
          <w:rFonts w:ascii="Times New Roman" w:cs="Times New Roman" w:eastAsia="Times New Roman" w:hAnsi="Times New Roman"/>
          <w:bCs/>
          <w:iCs/>
          <w:sz w:val="24"/>
          <w:szCs w:val="24"/>
        </w:rPr>
        <w:t xml:space="preserve"> </w:t>
      </w:r>
      <w:r>
        <w:rPr>
          <w:rFonts w:ascii="Times New Roman" w:cs="Times New Roman" w:eastAsia="Times New Roman" w:hAnsi="Times New Roman"/>
          <w:bCs/>
          <w:iCs/>
          <w:sz w:val="24"/>
          <w:szCs w:val="24"/>
        </w:rPr>
        <w:t>not less than one month’s salary or wages for every two years of service</w:t>
      </w:r>
      <w:r>
        <w:rPr>
          <w:rFonts w:ascii="Times New Roman" w:cs="Times New Roman" w:eastAsia="Times New Roman" w:hAnsi="Times New Roman"/>
          <w:bCs/>
          <w:iCs/>
          <w:sz w:val="24"/>
          <w:szCs w:val="24"/>
        </w:rPr>
        <w:t>, u</w:t>
      </w:r>
      <w:r>
        <w:rPr>
          <w:rFonts w:ascii="Times New Roman" w:cs="Times New Roman" w:eastAsia="Times New Roman" w:hAnsi="Times New Roman"/>
          <w:bCs/>
          <w:iCs/>
          <w:sz w:val="24"/>
          <w:szCs w:val="24"/>
        </w:rPr>
        <w:t xml:space="preserve">nless better terms </w:t>
      </w:r>
      <w:r>
        <w:rPr>
          <w:rFonts w:ascii="Times New Roman" w:cs="Times New Roman" w:eastAsia="Times New Roman" w:hAnsi="Times New Roman"/>
          <w:bCs/>
          <w:iCs/>
          <w:sz w:val="24"/>
          <w:szCs w:val="24"/>
        </w:rPr>
        <w:t>were</w:t>
      </w:r>
      <w:r>
        <w:rPr>
          <w:rFonts w:ascii="Times New Roman" w:cs="Times New Roman" w:eastAsia="Times New Roman" w:hAnsi="Times New Roman"/>
          <w:bCs/>
          <w:iCs/>
          <w:sz w:val="24"/>
          <w:szCs w:val="24"/>
        </w:rPr>
        <w:t xml:space="preserve"> agreed between the employer and employees concerned</w:t>
      </w:r>
      <w:r>
        <w:rPr>
          <w:rFonts w:ascii="Times New Roman" w:cs="Times New Roman" w:eastAsia="Times New Roman" w:hAnsi="Times New Roman"/>
          <w:bCs/>
          <w:iCs/>
          <w:sz w:val="24"/>
          <w:szCs w:val="24"/>
        </w:rPr>
        <w:t>.</w:t>
      </w:r>
    </w:p>
    <w:p w14:paraId="00000054">
      <w:pPr>
        <w:spacing w:before="240" w:line="480" w:lineRule="auto"/>
        <w:ind w:firstLine="720"/>
        <w:jc w:val="both"/>
        <w:rPr>
          <w:rFonts w:ascii="Times New Roman" w:cs="Times New Roman" w:eastAsia="Times New Roman" w:hAnsi="Times New Roman"/>
          <w:bCs/>
          <w:iCs/>
          <w:sz w:val="24"/>
          <w:szCs w:val="24"/>
        </w:rPr>
      </w:pPr>
      <w:r>
        <w:rPr>
          <w:rFonts w:ascii="Times New Roman" w:cs="Times New Roman" w:eastAsia="Times New Roman" w:hAnsi="Times New Roman"/>
          <w:bCs/>
          <w:iCs/>
          <w:sz w:val="24"/>
          <w:szCs w:val="24"/>
        </w:rPr>
        <w:t xml:space="preserve">In turn, s </w:t>
      </w:r>
      <w:r>
        <w:rPr>
          <w:rFonts w:ascii="Times New Roman" w:cs="Times New Roman" w:eastAsia="Times New Roman" w:hAnsi="Times New Roman"/>
          <w:bCs/>
          <w:iCs/>
          <w:sz w:val="24"/>
          <w:szCs w:val="24"/>
        </w:rPr>
        <w:t>12D</w:t>
      </w:r>
      <w:r>
        <w:rPr>
          <w:rFonts w:ascii="Times New Roman" w:cs="Times New Roman" w:eastAsia="Times New Roman" w:hAnsi="Times New Roman"/>
          <w:bCs/>
          <w:iCs/>
          <w:sz w:val="24"/>
          <w:szCs w:val="24"/>
        </w:rPr>
        <w:t>(1)</w:t>
      </w:r>
      <w:r>
        <w:rPr>
          <w:rFonts w:ascii="Times New Roman" w:cs="Times New Roman" w:eastAsia="Times New Roman" w:hAnsi="Times New Roman"/>
          <w:bCs/>
          <w:iCs/>
          <w:sz w:val="24"/>
          <w:szCs w:val="24"/>
        </w:rPr>
        <w:t xml:space="preserve"> </w:t>
      </w:r>
      <w:r>
        <w:rPr>
          <w:rFonts w:ascii="Times New Roman" w:cs="Times New Roman" w:eastAsia="Times New Roman" w:hAnsi="Times New Roman"/>
          <w:bCs/>
          <w:iCs/>
          <w:sz w:val="24"/>
          <w:szCs w:val="24"/>
        </w:rPr>
        <w:t>of the Act, prescribed s</w:t>
      </w:r>
      <w:r>
        <w:rPr>
          <w:rFonts w:ascii="Times New Roman" w:cs="Times New Roman" w:eastAsia="Times New Roman" w:hAnsi="Times New Roman"/>
          <w:bCs/>
          <w:iCs/>
          <w:sz w:val="24"/>
          <w:szCs w:val="24"/>
        </w:rPr>
        <w:t>pecial measures to avoid retrenchment</w:t>
      </w:r>
      <w:r>
        <w:rPr>
          <w:rFonts w:ascii="Times New Roman" w:cs="Times New Roman" w:eastAsia="Times New Roman" w:hAnsi="Times New Roman"/>
          <w:bCs/>
          <w:iCs/>
          <w:sz w:val="24"/>
          <w:szCs w:val="24"/>
        </w:rPr>
        <w:t>, including</w:t>
      </w:r>
      <w:r>
        <w:rPr>
          <w:rFonts w:ascii="Times New Roman" w:cs="Times New Roman" w:eastAsia="Times New Roman" w:hAnsi="Times New Roman"/>
          <w:bCs/>
          <w:iCs/>
          <w:sz w:val="24"/>
          <w:szCs w:val="24"/>
        </w:rPr>
        <w:t xml:space="preserve">, </w:t>
      </w:r>
      <w:r>
        <w:rPr>
          <w:rFonts w:ascii="Times New Roman" w:cs="Times New Roman" w:eastAsia="Times New Roman" w:hAnsi="Times New Roman"/>
          <w:bCs/>
          <w:i/>
          <w:sz w:val="24"/>
          <w:szCs w:val="24"/>
        </w:rPr>
        <w:t>inter alia</w:t>
      </w:r>
      <w:r>
        <w:rPr>
          <w:rFonts w:ascii="Times New Roman" w:cs="Times New Roman" w:eastAsia="Times New Roman" w:hAnsi="Times New Roman"/>
          <w:bCs/>
          <w:iCs/>
          <w:sz w:val="24"/>
          <w:szCs w:val="24"/>
        </w:rPr>
        <w:t>,</w:t>
      </w:r>
      <w:r>
        <w:rPr>
          <w:rFonts w:ascii="Times New Roman" w:cs="Times New Roman" w:eastAsia="Times New Roman" w:hAnsi="Times New Roman"/>
          <w:bCs/>
          <w:iCs/>
          <w:sz w:val="24"/>
          <w:szCs w:val="24"/>
        </w:rPr>
        <w:t xml:space="preserve"> </w:t>
      </w:r>
      <w:r>
        <w:rPr>
          <w:rFonts w:ascii="Times New Roman" w:cs="Times New Roman" w:eastAsia="Times New Roman" w:hAnsi="Times New Roman"/>
          <w:bCs/>
          <w:iCs/>
          <w:sz w:val="24"/>
          <w:szCs w:val="24"/>
        </w:rPr>
        <w:t xml:space="preserve">the provision of relevant information on </w:t>
      </w:r>
      <w:r>
        <w:rPr>
          <w:rFonts w:ascii="Times New Roman" w:cs="Times New Roman" w:eastAsia="Times New Roman" w:hAnsi="Times New Roman"/>
          <w:bCs/>
          <w:iCs/>
          <w:sz w:val="24"/>
          <w:szCs w:val="24"/>
        </w:rPr>
        <w:t xml:space="preserve">any major changes in production, programmes, organisation or technology that </w:t>
      </w:r>
      <w:r>
        <w:rPr>
          <w:rFonts w:ascii="Times New Roman" w:cs="Times New Roman" w:eastAsia="Times New Roman" w:hAnsi="Times New Roman"/>
          <w:bCs/>
          <w:iCs/>
          <w:sz w:val="24"/>
          <w:szCs w:val="24"/>
        </w:rPr>
        <w:t>were</w:t>
      </w:r>
      <w:r>
        <w:rPr>
          <w:rFonts w:ascii="Times New Roman" w:cs="Times New Roman" w:eastAsia="Times New Roman" w:hAnsi="Times New Roman"/>
          <w:bCs/>
          <w:iCs/>
          <w:sz w:val="24"/>
          <w:szCs w:val="24"/>
        </w:rPr>
        <w:t xml:space="preserve"> likely to entail the retrenchment of any employees</w:t>
      </w:r>
      <w:r>
        <w:rPr>
          <w:rFonts w:ascii="Times New Roman" w:cs="Times New Roman" w:eastAsia="Times New Roman" w:hAnsi="Times New Roman"/>
          <w:bCs/>
          <w:iCs/>
          <w:sz w:val="24"/>
          <w:szCs w:val="24"/>
        </w:rPr>
        <w:t xml:space="preserve">. </w:t>
      </w:r>
      <w:r>
        <w:rPr>
          <w:rFonts w:ascii="Times New Roman" w:cs="Times New Roman" w:eastAsia="Times New Roman" w:hAnsi="Times New Roman"/>
          <w:bCs/>
          <w:iCs/>
          <w:sz w:val="24"/>
          <w:szCs w:val="24"/>
        </w:rPr>
        <w:t xml:space="preserve">Section </w:t>
      </w:r>
      <w:r>
        <w:rPr>
          <w:rFonts w:ascii="Times New Roman" w:cs="Times New Roman" w:eastAsia="Times New Roman" w:hAnsi="Times New Roman"/>
          <w:bCs/>
          <w:iCs/>
          <w:sz w:val="24"/>
          <w:szCs w:val="24"/>
        </w:rPr>
        <w:t>12D(</w:t>
      </w:r>
      <w:r>
        <w:rPr>
          <w:rFonts w:ascii="Times New Roman" w:cs="Times New Roman" w:eastAsia="Times New Roman" w:hAnsi="Times New Roman"/>
          <w:bCs/>
          <w:iCs/>
          <w:sz w:val="24"/>
          <w:szCs w:val="24"/>
        </w:rPr>
        <w:t xml:space="preserve">2) </w:t>
      </w:r>
      <w:r>
        <w:rPr>
          <w:rFonts w:ascii="Times New Roman" w:cs="Times New Roman" w:eastAsia="Times New Roman" w:hAnsi="Times New Roman"/>
          <w:bCs/>
          <w:iCs/>
          <w:sz w:val="24"/>
          <w:szCs w:val="24"/>
        </w:rPr>
        <w:t xml:space="preserve">enabled </w:t>
      </w:r>
      <w:r>
        <w:rPr>
          <w:rFonts w:ascii="Times New Roman" w:cs="Times New Roman" w:eastAsia="Times New Roman" w:hAnsi="Times New Roman"/>
          <w:bCs/>
          <w:iCs/>
          <w:sz w:val="24"/>
          <w:szCs w:val="24"/>
        </w:rPr>
        <w:t xml:space="preserve">the parties to agree on </w:t>
      </w:r>
      <w:r>
        <w:rPr>
          <w:rFonts w:ascii="Times New Roman" w:cs="Times New Roman" w:eastAsia="Times New Roman" w:hAnsi="Times New Roman"/>
          <w:bCs/>
          <w:iCs/>
          <w:sz w:val="24"/>
          <w:szCs w:val="24"/>
        </w:rPr>
        <w:t xml:space="preserve">certain </w:t>
      </w:r>
      <w:r>
        <w:rPr>
          <w:rFonts w:ascii="Times New Roman" w:cs="Times New Roman" w:eastAsia="Times New Roman" w:hAnsi="Times New Roman"/>
          <w:bCs/>
          <w:iCs/>
          <w:sz w:val="24"/>
          <w:szCs w:val="24"/>
        </w:rPr>
        <w:t>alternatives to retrenchment, in particular,</w:t>
      </w:r>
      <w:r>
        <w:rPr>
          <w:rFonts w:ascii="Times New Roman" w:cs="Times New Roman" w:eastAsia="Times New Roman" w:hAnsi="Times New Roman"/>
          <w:bCs/>
          <w:iCs/>
          <w:sz w:val="24"/>
          <w:szCs w:val="24"/>
        </w:rPr>
        <w:t xml:space="preserve"> placing the employees on short-time work or instituting a system of shifts</w:t>
      </w:r>
      <w:r>
        <w:rPr>
          <w:rFonts w:ascii="Times New Roman" w:cs="Times New Roman" w:eastAsia="Times New Roman" w:hAnsi="Times New Roman"/>
          <w:bCs/>
          <w:iCs/>
          <w:sz w:val="24"/>
          <w:szCs w:val="24"/>
        </w:rPr>
        <w:t>.</w:t>
      </w:r>
      <w:r>
        <w:rPr>
          <w:rFonts w:ascii="Times New Roman" w:cs="Times New Roman" w:eastAsia="Times New Roman" w:hAnsi="Times New Roman"/>
          <w:bCs/>
          <w:iCs/>
          <w:sz w:val="24"/>
          <w:szCs w:val="24"/>
        </w:rPr>
        <w:t xml:space="preserve"> </w:t>
      </w:r>
      <w:r>
        <w:rPr>
          <w:rFonts w:ascii="Times New Roman" w:cs="Times New Roman" w:eastAsia="Times New Roman" w:hAnsi="Times New Roman"/>
          <w:bCs/>
          <w:iCs/>
          <w:sz w:val="24"/>
          <w:szCs w:val="24"/>
        </w:rPr>
        <w:t xml:space="preserve">Additionally, </w:t>
      </w:r>
      <w:r>
        <w:rPr>
          <w:rFonts w:ascii="Times New Roman" w:cs="Times New Roman" w:eastAsia="Times New Roman" w:hAnsi="Times New Roman"/>
          <w:bCs/>
          <w:iCs/>
          <w:sz w:val="24"/>
          <w:szCs w:val="24"/>
        </w:rPr>
        <w:t xml:space="preserve">the remaining provisions of </w:t>
      </w:r>
      <w:r>
        <w:rPr>
          <w:rFonts w:ascii="Times New Roman" w:cs="Times New Roman" w:eastAsia="Times New Roman" w:hAnsi="Times New Roman"/>
          <w:bCs/>
          <w:iCs/>
          <w:sz w:val="24"/>
          <w:szCs w:val="24"/>
        </w:rPr>
        <w:t xml:space="preserve">12D elaborated the detailed </w:t>
      </w:r>
      <w:r>
        <w:rPr>
          <w:rFonts w:ascii="Times New Roman" w:cs="Times New Roman" w:eastAsia="Times New Roman" w:hAnsi="Times New Roman"/>
          <w:bCs/>
          <w:iCs/>
          <w:sz w:val="24"/>
          <w:szCs w:val="24"/>
        </w:rPr>
        <w:t>procedure</w:t>
      </w:r>
      <w:r>
        <w:rPr>
          <w:rFonts w:ascii="Times New Roman" w:cs="Times New Roman" w:eastAsia="Times New Roman" w:hAnsi="Times New Roman"/>
          <w:bCs/>
          <w:iCs/>
          <w:sz w:val="24"/>
          <w:szCs w:val="24"/>
        </w:rPr>
        <w:t>s</w:t>
      </w:r>
      <w:r>
        <w:rPr>
          <w:rFonts w:ascii="Times New Roman" w:cs="Times New Roman" w:eastAsia="Times New Roman" w:hAnsi="Times New Roman"/>
          <w:bCs/>
          <w:iCs/>
          <w:sz w:val="24"/>
          <w:szCs w:val="24"/>
        </w:rPr>
        <w:t xml:space="preserve"> to be followed in the event that </w:t>
      </w:r>
      <w:r>
        <w:rPr>
          <w:rFonts w:ascii="Times New Roman" w:cs="Times New Roman" w:eastAsia="Times New Roman" w:hAnsi="Times New Roman"/>
          <w:bCs/>
          <w:iCs/>
          <w:sz w:val="24"/>
          <w:szCs w:val="24"/>
        </w:rPr>
        <w:t xml:space="preserve">agreement </w:t>
      </w:r>
      <w:r>
        <w:rPr>
          <w:rFonts w:ascii="Times New Roman" w:cs="Times New Roman" w:eastAsia="Times New Roman" w:hAnsi="Times New Roman"/>
          <w:bCs/>
          <w:iCs/>
          <w:sz w:val="24"/>
          <w:szCs w:val="24"/>
        </w:rPr>
        <w:t>was either</w:t>
      </w:r>
      <w:r>
        <w:rPr>
          <w:rFonts w:ascii="Times New Roman" w:cs="Times New Roman" w:eastAsia="Times New Roman" w:hAnsi="Times New Roman"/>
          <w:bCs/>
          <w:iCs/>
          <w:sz w:val="24"/>
          <w:szCs w:val="24"/>
        </w:rPr>
        <w:t xml:space="preserve"> reached </w:t>
      </w:r>
      <w:r>
        <w:rPr>
          <w:rFonts w:ascii="Times New Roman" w:cs="Times New Roman" w:eastAsia="Times New Roman" w:hAnsi="Times New Roman"/>
          <w:bCs/>
          <w:iCs/>
          <w:sz w:val="24"/>
          <w:szCs w:val="24"/>
        </w:rPr>
        <w:t xml:space="preserve">or not reached </w:t>
      </w:r>
      <w:r>
        <w:rPr>
          <w:rFonts w:ascii="Times New Roman" w:cs="Times New Roman" w:eastAsia="Times New Roman" w:hAnsi="Times New Roman"/>
          <w:bCs/>
          <w:iCs/>
          <w:sz w:val="24"/>
          <w:szCs w:val="24"/>
        </w:rPr>
        <w:t xml:space="preserve">on the </w:t>
      </w:r>
      <w:r>
        <w:rPr>
          <w:rFonts w:ascii="Times New Roman" w:cs="Times New Roman" w:eastAsia="Times New Roman" w:hAnsi="Times New Roman"/>
          <w:bCs/>
          <w:iCs/>
          <w:sz w:val="24"/>
          <w:szCs w:val="24"/>
        </w:rPr>
        <w:t>alternatives to retrenchment.</w:t>
      </w:r>
    </w:p>
    <w:p w14:paraId="00000055">
      <w:pPr>
        <w:spacing w:before="240" w:after="0" w:line="480" w:lineRule="auto"/>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In my view, a coherent</w:t>
      </w:r>
      <w:r>
        <w:rPr>
          <w:rFonts w:ascii="Times New Roman" w:cs="Times New Roman" w:eastAsia="Times New Roman" w:hAnsi="Times New Roman"/>
          <w:bCs/>
          <w:sz w:val="24"/>
          <w:szCs w:val="24"/>
        </w:rPr>
        <w:t xml:space="preserve"> reading of the </w:t>
      </w:r>
      <w:r>
        <w:rPr>
          <w:rFonts w:ascii="Times New Roman" w:cs="Times New Roman" w:eastAsia="Times New Roman" w:hAnsi="Times New Roman"/>
          <w:bCs/>
          <w:sz w:val="24"/>
          <w:szCs w:val="24"/>
        </w:rPr>
        <w:t>three</w:t>
      </w:r>
      <w:r>
        <w:rPr>
          <w:rFonts w:ascii="Times New Roman" w:cs="Times New Roman" w:eastAsia="Times New Roman" w:hAnsi="Times New Roman"/>
          <w:bCs/>
          <w:sz w:val="24"/>
          <w:szCs w:val="24"/>
        </w:rPr>
        <w:t xml:space="preserve"> provisions </w:t>
      </w:r>
      <w:r>
        <w:rPr>
          <w:rFonts w:ascii="Times New Roman" w:cs="Times New Roman" w:eastAsia="Times New Roman" w:hAnsi="Times New Roman"/>
          <w:bCs/>
          <w:sz w:val="24"/>
          <w:szCs w:val="24"/>
        </w:rPr>
        <w:t xml:space="preserve">outlined above </w:t>
      </w:r>
      <w:r>
        <w:rPr>
          <w:rFonts w:ascii="Times New Roman" w:cs="Times New Roman" w:eastAsia="Times New Roman" w:hAnsi="Times New Roman"/>
          <w:bCs/>
          <w:sz w:val="24"/>
          <w:szCs w:val="24"/>
        </w:rPr>
        <w:t>does not lead to any ambiguity</w:t>
      </w:r>
      <w:r>
        <w:rPr>
          <w:rFonts w:ascii="Times New Roman" w:cs="Times New Roman" w:eastAsia="Times New Roman" w:hAnsi="Times New Roman"/>
          <w:bCs/>
          <w:sz w:val="24"/>
          <w:szCs w:val="24"/>
        </w:rPr>
        <w:t xml:space="preserve"> or absurdity</w:t>
      </w:r>
      <w:r>
        <w:rPr>
          <w:rFonts w:ascii="Times New Roman" w:cs="Times New Roman" w:eastAsia="Times New Roman" w:hAnsi="Times New Roman"/>
          <w:bCs/>
          <w:sz w:val="24"/>
          <w:szCs w:val="24"/>
        </w:rPr>
        <w:t>.</w:t>
      </w:r>
      <w:r>
        <w:rPr>
          <w:rFonts w:ascii="Times New Roman" w:cs="Times New Roman" w:eastAsia="Times New Roman" w:hAnsi="Times New Roman"/>
          <w:bCs/>
          <w:sz w:val="24"/>
          <w:szCs w:val="24"/>
        </w:rPr>
        <w:t xml:space="preserve"> Nor does it entail any constitutional anomaly or repugnance.</w:t>
      </w:r>
      <w:r>
        <w:rPr>
          <w:rFonts w:ascii="Times New Roman" w:cs="Times New Roman" w:eastAsia="Times New Roman" w:hAnsi="Times New Roman"/>
          <w:bCs/>
          <w:sz w:val="24"/>
          <w:szCs w:val="24"/>
        </w:rPr>
        <w:t xml:space="preserve"> The provisions are clear and do not require any departure from the golden rule of interpretation. </w:t>
      </w:r>
      <w:r>
        <w:rPr>
          <w:rFonts w:ascii="Times New Roman" w:cs="Times New Roman" w:eastAsia="Times New Roman" w:hAnsi="Times New Roman"/>
          <w:bCs/>
          <w:sz w:val="24"/>
          <w:szCs w:val="24"/>
        </w:rPr>
        <w:t xml:space="preserve">Section 25A(5)(f) entitles a </w:t>
      </w:r>
      <w:r>
        <w:rPr>
          <w:rFonts w:ascii="Times New Roman" w:cs="Times New Roman" w:eastAsia="Times New Roman" w:hAnsi="Times New Roman"/>
          <w:bCs/>
          <w:sz w:val="24"/>
          <w:szCs w:val="24"/>
        </w:rPr>
        <w:t>works council</w:t>
      </w:r>
      <w:r>
        <w:rPr>
          <w:rFonts w:ascii="Times New Roman" w:cs="Times New Roman" w:eastAsia="Times New Roman" w:hAnsi="Times New Roman"/>
          <w:bCs/>
          <w:sz w:val="24"/>
          <w:szCs w:val="24"/>
        </w:rPr>
        <w:t xml:space="preserve"> to be consulted on </w:t>
      </w:r>
      <w:r>
        <w:rPr>
          <w:rFonts w:ascii="Times New Roman" w:cs="Times New Roman" w:eastAsia="Times New Roman" w:hAnsi="Times New Roman"/>
          <w:bCs/>
          <w:sz w:val="24"/>
          <w:szCs w:val="24"/>
        </w:rPr>
        <w:t xml:space="preserve">any voluntary or compulsory </w:t>
      </w:r>
      <w:r>
        <w:rPr>
          <w:rFonts w:ascii="Times New Roman" w:cs="Times New Roman" w:eastAsia="Times New Roman" w:hAnsi="Times New Roman"/>
          <w:bCs/>
          <w:sz w:val="24"/>
          <w:szCs w:val="24"/>
        </w:rPr>
        <w:t>retrenchment</w:t>
      </w:r>
      <w:r>
        <w:rPr>
          <w:rFonts w:ascii="Times New Roman" w:cs="Times New Roman" w:eastAsia="Times New Roman" w:hAnsi="Times New Roman"/>
          <w:bCs/>
          <w:sz w:val="24"/>
          <w:szCs w:val="24"/>
        </w:rPr>
        <w:t>. However</w:t>
      </w:r>
      <w:r>
        <w:rPr>
          <w:rFonts w:ascii="Times New Roman" w:cs="Times New Roman" w:eastAsia="Times New Roman" w:hAnsi="Times New Roman"/>
          <w:bCs/>
          <w:sz w:val="24"/>
          <w:szCs w:val="24"/>
        </w:rPr>
        <w:t>,</w:t>
      </w:r>
      <w:r>
        <w:rPr>
          <w:rFonts w:ascii="Times New Roman" w:cs="Times New Roman" w:eastAsia="Times New Roman" w:hAnsi="Times New Roman"/>
          <w:bCs/>
          <w:sz w:val="24"/>
          <w:szCs w:val="24"/>
        </w:rPr>
        <w:t xml:space="preserve"> the</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proviso</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 xml:space="preserve">thereto </w:t>
      </w:r>
      <w:r>
        <w:rPr>
          <w:rFonts w:ascii="Times New Roman" w:cs="Times New Roman" w:eastAsia="Times New Roman" w:hAnsi="Times New Roman"/>
          <w:bCs/>
          <w:sz w:val="24"/>
          <w:szCs w:val="24"/>
        </w:rPr>
        <w:t>directs that</w:t>
      </w:r>
      <w:r>
        <w:rPr>
          <w:rFonts w:ascii="Times New Roman" w:cs="Times New Roman" w:eastAsia="Times New Roman" w:hAnsi="Times New Roman"/>
          <w:bCs/>
          <w:sz w:val="24"/>
          <w:szCs w:val="24"/>
        </w:rPr>
        <w:t>,</w:t>
      </w:r>
      <w:r>
        <w:rPr>
          <w:rFonts w:ascii="Times New Roman" w:cs="Times New Roman" w:eastAsia="Times New Roman" w:hAnsi="Times New Roman"/>
          <w:bCs/>
          <w:sz w:val="24"/>
          <w:szCs w:val="24"/>
        </w:rPr>
        <w:t xml:space="preserve"> where five or more employees are to be retrenched within </w:t>
      </w:r>
      <w:r>
        <w:rPr>
          <w:rFonts w:ascii="Times New Roman" w:cs="Times New Roman" w:eastAsia="Times New Roman" w:hAnsi="Times New Roman"/>
          <w:bCs/>
          <w:sz w:val="24"/>
          <w:szCs w:val="24"/>
        </w:rPr>
        <w:t>a period of six months</w:t>
      </w:r>
      <w:r>
        <w:rPr>
          <w:rFonts w:ascii="Times New Roman" w:cs="Times New Roman" w:eastAsia="Times New Roman" w:hAnsi="Times New Roman"/>
          <w:bCs/>
          <w:sz w:val="24"/>
          <w:szCs w:val="24"/>
        </w:rPr>
        <w:t xml:space="preserve">, the process is </w:t>
      </w:r>
      <w:r>
        <w:rPr>
          <w:rFonts w:ascii="Times New Roman" w:cs="Times New Roman" w:eastAsia="Times New Roman" w:hAnsi="Times New Roman"/>
          <w:bCs/>
          <w:sz w:val="24"/>
          <w:szCs w:val="24"/>
        </w:rPr>
        <w:t xml:space="preserve">to be </w:t>
      </w:r>
      <w:r>
        <w:rPr>
          <w:rFonts w:ascii="Times New Roman" w:cs="Times New Roman" w:eastAsia="Times New Roman" w:hAnsi="Times New Roman"/>
          <w:bCs/>
          <w:sz w:val="24"/>
          <w:szCs w:val="24"/>
        </w:rPr>
        <w:t>governed instead by s</w:t>
      </w:r>
      <w:r>
        <w:rPr>
          <w:rFonts w:ascii="Times New Roman" w:cs="Times New Roman" w:eastAsia="Times New Roman" w:hAnsi="Times New Roman"/>
          <w:bCs/>
          <w:sz w:val="24"/>
          <w:szCs w:val="24"/>
        </w:rPr>
        <w:t>s</w:t>
      </w:r>
      <w:r>
        <w:rPr>
          <w:rFonts w:ascii="Times New Roman" w:cs="Times New Roman" w:eastAsia="Times New Roman" w:hAnsi="Times New Roman"/>
          <w:bCs/>
          <w:sz w:val="24"/>
          <w:szCs w:val="24"/>
        </w:rPr>
        <w:t xml:space="preserve"> 12C and 12D. Section 12C(1) sets out the formal retrenchment procedure</w:t>
      </w:r>
      <w:r>
        <w:rPr>
          <w:rFonts w:ascii="Times New Roman" w:cs="Times New Roman" w:eastAsia="Times New Roman" w:hAnsi="Times New Roman"/>
          <w:bCs/>
          <w:sz w:val="24"/>
          <w:szCs w:val="24"/>
        </w:rPr>
        <w:t xml:space="preserve"> to be followed,</w:t>
      </w:r>
      <w:r>
        <w:rPr>
          <w:rFonts w:ascii="Times New Roman" w:cs="Times New Roman" w:eastAsia="Times New Roman" w:hAnsi="Times New Roman"/>
          <w:bCs/>
          <w:sz w:val="24"/>
          <w:szCs w:val="24"/>
        </w:rPr>
        <w:t xml:space="preserve"> requiring written notice and </w:t>
      </w:r>
      <w:r>
        <w:rPr>
          <w:rFonts w:ascii="Times New Roman" w:cs="Times New Roman" w:eastAsia="Times New Roman" w:hAnsi="Times New Roman"/>
          <w:bCs/>
          <w:sz w:val="24"/>
          <w:szCs w:val="24"/>
        </w:rPr>
        <w:t xml:space="preserve">full </w:t>
      </w:r>
      <w:r>
        <w:rPr>
          <w:rFonts w:ascii="Times New Roman" w:cs="Times New Roman" w:eastAsia="Times New Roman" w:hAnsi="Times New Roman"/>
          <w:bCs/>
          <w:sz w:val="24"/>
          <w:szCs w:val="24"/>
        </w:rPr>
        <w:t xml:space="preserve">disclosure to the </w:t>
      </w:r>
      <w:r>
        <w:rPr>
          <w:rFonts w:ascii="Times New Roman" w:cs="Times New Roman" w:eastAsia="Times New Roman" w:hAnsi="Times New Roman"/>
          <w:bCs/>
          <w:sz w:val="24"/>
          <w:szCs w:val="24"/>
        </w:rPr>
        <w:t>works council</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e</w:t>
      </w:r>
      <w:r>
        <w:rPr>
          <w:rFonts w:ascii="Times New Roman" w:cs="Times New Roman" w:eastAsia="Times New Roman" w:hAnsi="Times New Roman"/>
          <w:bCs/>
          <w:sz w:val="24"/>
          <w:szCs w:val="24"/>
        </w:rPr>
        <w:t xml:space="preserve">mployment </w:t>
      </w:r>
      <w:r>
        <w:rPr>
          <w:rFonts w:ascii="Times New Roman" w:cs="Times New Roman" w:eastAsia="Times New Roman" w:hAnsi="Times New Roman"/>
          <w:bCs/>
          <w:sz w:val="24"/>
          <w:szCs w:val="24"/>
        </w:rPr>
        <w:t>c</w:t>
      </w:r>
      <w:r>
        <w:rPr>
          <w:rFonts w:ascii="Times New Roman" w:cs="Times New Roman" w:eastAsia="Times New Roman" w:hAnsi="Times New Roman"/>
          <w:bCs/>
          <w:sz w:val="24"/>
          <w:szCs w:val="24"/>
        </w:rPr>
        <w:t>ouncil</w:t>
      </w:r>
      <w:r>
        <w:rPr>
          <w:rFonts w:ascii="Times New Roman" w:cs="Times New Roman" w:eastAsia="Times New Roman" w:hAnsi="Times New Roman"/>
          <w:bCs/>
          <w:sz w:val="24"/>
          <w:szCs w:val="24"/>
        </w:rPr>
        <w:t xml:space="preserve"> or Retrenchment Board</w:t>
      </w:r>
      <w:r>
        <w:rPr>
          <w:rFonts w:ascii="Times New Roman" w:cs="Times New Roman" w:eastAsia="Times New Roman" w:hAnsi="Times New Roman"/>
          <w:bCs/>
          <w:sz w:val="24"/>
          <w:szCs w:val="24"/>
        </w:rPr>
        <w:t>, as the case may be</w:t>
      </w:r>
      <w:r>
        <w:rPr>
          <w:rFonts w:ascii="Times New Roman" w:cs="Times New Roman" w:eastAsia="Times New Roman" w:hAnsi="Times New Roman"/>
          <w:bCs/>
          <w:sz w:val="24"/>
          <w:szCs w:val="24"/>
        </w:rPr>
        <w:t>.</w:t>
      </w:r>
      <w:r>
        <w:rPr>
          <w:rFonts w:ascii="Times New Roman" w:cs="Times New Roman" w:eastAsia="Times New Roman" w:hAnsi="Times New Roman"/>
          <w:bCs/>
          <w:sz w:val="24"/>
          <w:szCs w:val="24"/>
        </w:rPr>
        <w:t xml:space="preserve"> Lastly, s 12D </w:t>
      </w:r>
      <w:r>
        <w:rPr>
          <w:rFonts w:ascii="Times New Roman" w:cs="Times New Roman" w:eastAsia="Times New Roman" w:hAnsi="Times New Roman"/>
          <w:bCs/>
          <w:sz w:val="24"/>
          <w:szCs w:val="24"/>
        </w:rPr>
        <w:t>delineates</w:t>
      </w:r>
      <w:r>
        <w:rPr>
          <w:rFonts w:ascii="Times New Roman" w:cs="Times New Roman" w:eastAsia="Times New Roman" w:hAnsi="Times New Roman"/>
          <w:bCs/>
          <w:sz w:val="24"/>
          <w:szCs w:val="24"/>
        </w:rPr>
        <w:t xml:space="preserve"> the detailed processes to be applied as alternatives to retrenchment.</w:t>
      </w:r>
      <w:r>
        <w:rPr>
          <w:rFonts w:ascii="Times New Roman" w:cs="Times New Roman" w:eastAsia="Times New Roman" w:hAnsi="Times New Roman"/>
          <w:bCs/>
          <w:sz w:val="24"/>
          <w:szCs w:val="24"/>
        </w:rPr>
        <w:t xml:space="preserve"> Read together, the provisions create a </w:t>
      </w:r>
      <w:r>
        <w:rPr>
          <w:rFonts w:ascii="Times New Roman" w:cs="Times New Roman" w:eastAsia="Times New Roman" w:hAnsi="Times New Roman"/>
          <w:bCs/>
          <w:sz w:val="24"/>
          <w:szCs w:val="24"/>
        </w:rPr>
        <w:t xml:space="preserve">logically </w:t>
      </w:r>
      <w:r>
        <w:rPr>
          <w:rFonts w:ascii="Times New Roman" w:cs="Times New Roman" w:eastAsia="Times New Roman" w:hAnsi="Times New Roman"/>
          <w:bCs/>
          <w:sz w:val="24"/>
          <w:szCs w:val="24"/>
        </w:rPr>
        <w:t xml:space="preserve">tiered framework: smaller retrenchments fall under the </w:t>
      </w:r>
      <w:r>
        <w:rPr>
          <w:rFonts w:ascii="Times New Roman" w:cs="Times New Roman" w:eastAsia="Times New Roman" w:hAnsi="Times New Roman"/>
          <w:bCs/>
          <w:sz w:val="24"/>
          <w:szCs w:val="24"/>
        </w:rPr>
        <w:t>right to be consulted under</w:t>
      </w:r>
      <w:r>
        <w:rPr>
          <w:rFonts w:ascii="Times New Roman" w:cs="Times New Roman" w:eastAsia="Times New Roman" w:hAnsi="Times New Roman"/>
          <w:bCs/>
          <w:sz w:val="24"/>
          <w:szCs w:val="24"/>
        </w:rPr>
        <w:t xml:space="preserve"> s</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25A(</w:t>
      </w:r>
      <w:r>
        <w:rPr>
          <w:rFonts w:ascii="Times New Roman" w:cs="Times New Roman" w:eastAsia="Times New Roman" w:hAnsi="Times New Roman"/>
          <w:bCs/>
          <w:sz w:val="24"/>
          <w:szCs w:val="24"/>
        </w:rPr>
        <w:t xml:space="preserve">5), while larger retrenchments trigger the more detailed statutory regime </w:t>
      </w:r>
      <w:r>
        <w:rPr>
          <w:rFonts w:ascii="Times New Roman" w:cs="Times New Roman" w:eastAsia="Times New Roman" w:hAnsi="Times New Roman"/>
          <w:bCs/>
          <w:sz w:val="24"/>
          <w:szCs w:val="24"/>
        </w:rPr>
        <w:t>prescribed by ss</w:t>
      </w:r>
      <w:r>
        <w:rPr>
          <w:rFonts w:ascii="Times New Roman" w:cs="Times New Roman" w:eastAsia="Times New Roman" w:hAnsi="Times New Roman"/>
          <w:bCs/>
          <w:sz w:val="24"/>
          <w:szCs w:val="24"/>
        </w:rPr>
        <w:t xml:space="preserve"> 12C and 12D.</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Taken together, the three</w:t>
      </w:r>
      <w:r>
        <w:rPr>
          <w:rFonts w:ascii="Times New Roman" w:cs="Times New Roman" w:eastAsia="Times New Roman" w:hAnsi="Times New Roman"/>
          <w:bCs/>
          <w:sz w:val="24"/>
          <w:szCs w:val="24"/>
        </w:rPr>
        <w:t xml:space="preserve"> sections of the Labour Act are not in conflict but </w:t>
      </w:r>
      <w:r>
        <w:rPr>
          <w:rFonts w:ascii="Times New Roman" w:cs="Times New Roman" w:eastAsia="Times New Roman" w:hAnsi="Times New Roman"/>
          <w:bCs/>
          <w:sz w:val="24"/>
          <w:szCs w:val="24"/>
        </w:rPr>
        <w:t xml:space="preserve">must be applied to </w:t>
      </w:r>
      <w:r>
        <w:rPr>
          <w:rFonts w:ascii="Times New Roman" w:cs="Times New Roman" w:eastAsia="Times New Roman" w:hAnsi="Times New Roman"/>
          <w:bCs/>
          <w:sz w:val="24"/>
          <w:szCs w:val="24"/>
        </w:rPr>
        <w:t>operate</w:t>
      </w:r>
      <w:r>
        <w:rPr>
          <w:rFonts w:ascii="Times New Roman" w:cs="Times New Roman" w:eastAsia="Times New Roman" w:hAnsi="Times New Roman"/>
          <w:bCs/>
          <w:sz w:val="24"/>
          <w:szCs w:val="24"/>
        </w:rPr>
        <w:t xml:space="preserve"> in a</w:t>
      </w:r>
      <w:r>
        <w:rPr>
          <w:rFonts w:ascii="Times New Roman" w:cs="Times New Roman" w:eastAsia="Times New Roman" w:hAnsi="Times New Roman"/>
          <w:bCs/>
          <w:sz w:val="24"/>
          <w:szCs w:val="24"/>
        </w:rPr>
        <w:t xml:space="preserve"> complementar</w:t>
      </w:r>
      <w:r>
        <w:rPr>
          <w:rFonts w:ascii="Times New Roman" w:cs="Times New Roman" w:eastAsia="Times New Roman" w:hAnsi="Times New Roman"/>
          <w:bCs/>
          <w:sz w:val="24"/>
          <w:szCs w:val="24"/>
        </w:rPr>
        <w:t>y and cohesive fashion.</w:t>
      </w:r>
      <w:r>
        <w:rPr>
          <w:rFonts w:ascii="Times New Roman" w:cs="Times New Roman" w:eastAsia="Times New Roman" w:hAnsi="Times New Roman"/>
          <w:bCs/>
          <w:sz w:val="24"/>
          <w:szCs w:val="24"/>
        </w:rPr>
        <w:t xml:space="preserve"> </w:t>
      </w:r>
    </w:p>
    <w:p w14:paraId="00000056">
      <w:pPr>
        <w:spacing w:before="240" w:after="0" w:line="480" w:lineRule="auto"/>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In the final analysis, it is abundantly clear that the</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 xml:space="preserve">Supreme Court </w:t>
      </w:r>
      <w:r>
        <w:rPr>
          <w:rFonts w:ascii="Times New Roman" w:cs="Times New Roman" w:eastAsia="Times New Roman" w:hAnsi="Times New Roman"/>
          <w:bCs/>
          <w:sz w:val="24"/>
          <w:szCs w:val="24"/>
        </w:rPr>
        <w:t xml:space="preserve">acted in terms of the </w:t>
      </w:r>
      <w:r>
        <w:rPr>
          <w:rFonts w:ascii="Times New Roman" w:cs="Times New Roman" w:eastAsia="Times New Roman" w:hAnsi="Times New Roman"/>
          <w:bCs/>
          <w:sz w:val="24"/>
          <w:szCs w:val="24"/>
        </w:rPr>
        <w:t>dictates</w:t>
      </w:r>
      <w:r>
        <w:rPr>
          <w:rFonts w:ascii="Times New Roman" w:cs="Times New Roman" w:eastAsia="Times New Roman" w:hAnsi="Times New Roman"/>
          <w:bCs/>
          <w:sz w:val="24"/>
          <w:szCs w:val="24"/>
        </w:rPr>
        <w:t xml:space="preserve"> of the </w:t>
      </w:r>
      <w:r>
        <w:rPr>
          <w:rFonts w:ascii="Times New Roman" w:cs="Times New Roman" w:eastAsia="Times New Roman" w:hAnsi="Times New Roman"/>
          <w:bCs/>
          <w:sz w:val="24"/>
          <w:szCs w:val="24"/>
        </w:rPr>
        <w:t>governing procedural and substantive</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 xml:space="preserve">law. </w:t>
      </w:r>
      <w:r>
        <w:rPr>
          <w:rFonts w:ascii="Times New Roman" w:cs="Times New Roman" w:eastAsia="Times New Roman" w:hAnsi="Times New Roman"/>
          <w:bCs/>
          <w:sz w:val="24"/>
          <w:szCs w:val="24"/>
        </w:rPr>
        <w:t xml:space="preserve">It </w:t>
      </w:r>
      <w:r>
        <w:rPr>
          <w:rFonts w:ascii="Times New Roman" w:cs="Times New Roman" w:eastAsia="Times New Roman" w:hAnsi="Times New Roman"/>
          <w:bCs/>
          <w:sz w:val="24"/>
          <w:szCs w:val="24"/>
        </w:rPr>
        <w:t>therefore</w:t>
      </w:r>
      <w:r>
        <w:rPr>
          <w:rFonts w:ascii="Times New Roman" w:cs="Times New Roman" w:eastAsia="Times New Roman" w:hAnsi="Times New Roman"/>
          <w:bCs/>
          <w:sz w:val="24"/>
          <w:szCs w:val="24"/>
        </w:rPr>
        <w:t xml:space="preserve"> cannot be said that the </w:t>
      </w:r>
      <w:r>
        <w:rPr>
          <w:rFonts w:ascii="Times New Roman" w:cs="Times New Roman" w:eastAsia="Times New Roman" w:hAnsi="Times New Roman"/>
          <w:bCs/>
          <w:sz w:val="24"/>
          <w:szCs w:val="24"/>
        </w:rPr>
        <w:t xml:space="preserve">court </w:t>
      </w:r>
      <w:r>
        <w:rPr>
          <w:rFonts w:ascii="Times New Roman" w:cs="Times New Roman" w:eastAsia="Times New Roman" w:hAnsi="Times New Roman"/>
          <w:bCs/>
          <w:i/>
          <w:iCs/>
          <w:sz w:val="24"/>
          <w:szCs w:val="24"/>
        </w:rPr>
        <w:t xml:space="preserve">a quo </w:t>
      </w:r>
      <w:r>
        <w:rPr>
          <w:rFonts w:ascii="Times New Roman" w:cs="Times New Roman" w:eastAsia="Times New Roman" w:hAnsi="Times New Roman"/>
          <w:bCs/>
          <w:sz w:val="24"/>
          <w:szCs w:val="24"/>
        </w:rPr>
        <w:t xml:space="preserve">failed to act in accordance with the law and that such alleged failure violated the applicants’ right to equal protection and benefit of the law and </w:t>
      </w:r>
      <w:r>
        <w:rPr>
          <w:rFonts w:ascii="Times New Roman" w:cs="Times New Roman" w:eastAsia="Times New Roman" w:hAnsi="Times New Roman"/>
          <w:bCs/>
          <w:sz w:val="24"/>
          <w:szCs w:val="24"/>
        </w:rPr>
        <w:t xml:space="preserve">the right to </w:t>
      </w:r>
      <w:r>
        <w:rPr>
          <w:rFonts w:ascii="Times New Roman" w:cs="Times New Roman" w:eastAsia="Times New Roman" w:hAnsi="Times New Roman"/>
          <w:bCs/>
          <w:sz w:val="24"/>
          <w:szCs w:val="24"/>
        </w:rPr>
        <w:t>fair labour practice</w:t>
      </w:r>
      <w:r>
        <w:rPr>
          <w:rFonts w:ascii="Times New Roman" w:cs="Times New Roman" w:eastAsia="Times New Roman" w:hAnsi="Times New Roman"/>
          <w:bCs/>
          <w:sz w:val="24"/>
          <w:szCs w:val="24"/>
        </w:rPr>
        <w:t>s</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Ultimately, there is</w:t>
      </w:r>
      <w:r>
        <w:rPr>
          <w:rFonts w:ascii="Times New Roman" w:cs="Times New Roman" w:eastAsia="Times New Roman" w:hAnsi="Times New Roman"/>
          <w:bCs/>
          <w:sz w:val="24"/>
          <w:szCs w:val="24"/>
        </w:rPr>
        <w:t xml:space="preserve"> no </w:t>
      </w:r>
      <w:r>
        <w:rPr>
          <w:rFonts w:ascii="Times New Roman" w:cs="Times New Roman" w:eastAsia="Times New Roman" w:hAnsi="Times New Roman"/>
          <w:bCs/>
          <w:sz w:val="24"/>
          <w:szCs w:val="24"/>
        </w:rPr>
        <w:t xml:space="preserve">constitutional question or any </w:t>
      </w:r>
      <w:r>
        <w:rPr>
          <w:rFonts w:ascii="Times New Roman" w:cs="Times New Roman" w:eastAsia="Times New Roman" w:hAnsi="Times New Roman"/>
          <w:bCs/>
          <w:sz w:val="24"/>
          <w:szCs w:val="24"/>
        </w:rPr>
        <w:t xml:space="preserve">infringement of the applicants’ </w:t>
      </w:r>
      <w:r>
        <w:rPr>
          <w:rFonts w:ascii="Times New Roman" w:cs="Times New Roman" w:eastAsia="Times New Roman" w:hAnsi="Times New Roman"/>
          <w:bCs/>
          <w:sz w:val="24"/>
          <w:szCs w:val="24"/>
        </w:rPr>
        <w:t>fundamental</w:t>
      </w:r>
      <w:r>
        <w:rPr>
          <w:rFonts w:ascii="Times New Roman" w:cs="Times New Roman" w:eastAsia="Times New Roman" w:hAnsi="Times New Roman"/>
          <w:bCs/>
          <w:sz w:val="24"/>
          <w:szCs w:val="24"/>
        </w:rPr>
        <w:t xml:space="preserve"> rights for this Court to </w:t>
      </w:r>
      <w:r>
        <w:rPr>
          <w:rFonts w:ascii="Times New Roman" w:cs="Times New Roman" w:eastAsia="Times New Roman" w:hAnsi="Times New Roman"/>
          <w:bCs/>
          <w:sz w:val="24"/>
          <w:szCs w:val="24"/>
        </w:rPr>
        <w:t xml:space="preserve">adjudicate and </w:t>
      </w:r>
      <w:r>
        <w:rPr>
          <w:rFonts w:ascii="Times New Roman" w:cs="Times New Roman" w:eastAsia="Times New Roman" w:hAnsi="Times New Roman"/>
          <w:bCs/>
          <w:sz w:val="24"/>
          <w:szCs w:val="24"/>
        </w:rPr>
        <w:t>determine.</w:t>
      </w:r>
    </w:p>
    <w:p w14:paraId="00000057">
      <w:pPr>
        <w:spacing w:before="240" w:after="0" w:line="480" w:lineRule="auto"/>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Apart from</w:t>
      </w:r>
      <w:r>
        <w:rPr>
          <w:rFonts w:ascii="Times New Roman" w:cs="Times New Roman" w:eastAsia="Times New Roman" w:hAnsi="Times New Roman"/>
          <w:bCs/>
          <w:sz w:val="24"/>
          <w:szCs w:val="24"/>
        </w:rPr>
        <w:t xml:space="preserve"> there being no constitutional issue</w:t>
      </w:r>
      <w:r>
        <w:rPr>
          <w:rFonts w:ascii="Times New Roman" w:cs="Times New Roman" w:eastAsia="Times New Roman" w:hAnsi="Times New Roman"/>
          <w:bCs/>
          <w:sz w:val="24"/>
          <w:szCs w:val="24"/>
        </w:rPr>
        <w:t xml:space="preserve"> before this Court</w:t>
      </w:r>
      <w:r>
        <w:rPr>
          <w:rFonts w:ascii="Times New Roman" w:cs="Times New Roman" w:eastAsia="Times New Roman" w:hAnsi="Times New Roman"/>
          <w:bCs/>
          <w:sz w:val="24"/>
          <w:szCs w:val="24"/>
        </w:rPr>
        <w:t xml:space="preserve">, the Labour Court and the Supreme Court </w:t>
      </w:r>
      <w:r>
        <w:rPr>
          <w:rFonts w:ascii="Times New Roman" w:cs="Times New Roman" w:eastAsia="Times New Roman" w:hAnsi="Times New Roman"/>
          <w:bCs/>
          <w:sz w:val="24"/>
          <w:szCs w:val="24"/>
        </w:rPr>
        <w:t>cannot be said to</w:t>
      </w:r>
      <w:r>
        <w:rPr>
          <w:rFonts w:ascii="Times New Roman" w:cs="Times New Roman" w:eastAsia="Times New Roman" w:hAnsi="Times New Roman"/>
          <w:bCs/>
          <w:sz w:val="24"/>
          <w:szCs w:val="24"/>
        </w:rPr>
        <w:t xml:space="preserve"> have erred</w:t>
      </w:r>
      <w:r>
        <w:rPr>
          <w:rFonts w:ascii="Times New Roman" w:cs="Times New Roman" w:eastAsia="Times New Roman" w:hAnsi="Times New Roman"/>
          <w:bCs/>
          <w:sz w:val="24"/>
          <w:szCs w:val="24"/>
        </w:rPr>
        <w:t>. This is</w:t>
      </w:r>
      <w:r>
        <w:rPr>
          <w:rFonts w:ascii="Times New Roman" w:cs="Times New Roman" w:eastAsia="Times New Roman" w:hAnsi="Times New Roman"/>
          <w:bCs/>
          <w:sz w:val="24"/>
          <w:szCs w:val="24"/>
        </w:rPr>
        <w:t xml:space="preserve"> because s</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25A as read with s</w:t>
      </w:r>
      <w:r>
        <w:rPr>
          <w:rFonts w:ascii="Times New Roman" w:cs="Times New Roman" w:eastAsia="Times New Roman" w:hAnsi="Times New Roman"/>
          <w:bCs/>
          <w:sz w:val="24"/>
          <w:szCs w:val="24"/>
        </w:rPr>
        <w:t>s</w:t>
      </w:r>
      <w:r>
        <w:rPr>
          <w:rFonts w:ascii="Times New Roman" w:cs="Times New Roman" w:eastAsia="Times New Roman" w:hAnsi="Times New Roman"/>
          <w:bCs/>
          <w:sz w:val="24"/>
          <w:szCs w:val="24"/>
        </w:rPr>
        <w:t xml:space="preserve"> 12C </w:t>
      </w:r>
      <w:r>
        <w:rPr>
          <w:rFonts w:ascii="Times New Roman" w:cs="Times New Roman" w:eastAsia="Times New Roman" w:hAnsi="Times New Roman"/>
          <w:bCs/>
          <w:sz w:val="24"/>
          <w:szCs w:val="24"/>
        </w:rPr>
        <w:t xml:space="preserve">and 12D </w:t>
      </w:r>
      <w:r>
        <w:rPr>
          <w:rFonts w:ascii="Times New Roman" w:cs="Times New Roman" w:eastAsia="Times New Roman" w:hAnsi="Times New Roman"/>
          <w:bCs/>
          <w:sz w:val="24"/>
          <w:szCs w:val="24"/>
        </w:rPr>
        <w:t xml:space="preserve">of the Labour Act can be </w:t>
      </w:r>
      <w:r>
        <w:rPr>
          <w:rFonts w:ascii="Times New Roman" w:cs="Times New Roman" w:eastAsia="Times New Roman" w:hAnsi="Times New Roman"/>
          <w:bCs/>
          <w:sz w:val="24"/>
          <w:szCs w:val="24"/>
        </w:rPr>
        <w:t>interpreted and applied</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 xml:space="preserve">together </w:t>
      </w:r>
      <w:r>
        <w:rPr>
          <w:rFonts w:ascii="Times New Roman" w:cs="Times New Roman" w:eastAsia="Times New Roman" w:hAnsi="Times New Roman"/>
          <w:bCs/>
          <w:sz w:val="24"/>
          <w:szCs w:val="24"/>
        </w:rPr>
        <w:t xml:space="preserve">coherently </w:t>
      </w:r>
      <w:r>
        <w:rPr>
          <w:rFonts w:ascii="Times New Roman" w:cs="Times New Roman" w:eastAsia="Times New Roman" w:hAnsi="Times New Roman"/>
          <w:bCs/>
          <w:sz w:val="24"/>
          <w:szCs w:val="24"/>
        </w:rPr>
        <w:t xml:space="preserve">without </w:t>
      </w:r>
      <w:r>
        <w:rPr>
          <w:rFonts w:ascii="Times New Roman" w:cs="Times New Roman" w:eastAsia="Times New Roman" w:hAnsi="Times New Roman"/>
          <w:bCs/>
          <w:sz w:val="24"/>
          <w:szCs w:val="24"/>
        </w:rPr>
        <w:t>any ensuing</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 xml:space="preserve">ambiguity or </w:t>
      </w:r>
      <w:r>
        <w:rPr>
          <w:rFonts w:ascii="Times New Roman" w:cs="Times New Roman" w:eastAsia="Times New Roman" w:hAnsi="Times New Roman"/>
          <w:bCs/>
          <w:sz w:val="24"/>
          <w:szCs w:val="24"/>
        </w:rPr>
        <w:t>absurdity</w:t>
      </w:r>
      <w:r>
        <w:rPr>
          <w:rFonts w:ascii="Times New Roman" w:cs="Times New Roman" w:eastAsia="Times New Roman" w:hAnsi="Times New Roman"/>
          <w:bCs/>
          <w:sz w:val="24"/>
          <w:szCs w:val="24"/>
        </w:rPr>
        <w:t xml:space="preserve">. There is certainly no </w:t>
      </w:r>
      <w:r>
        <w:rPr>
          <w:rFonts w:ascii="Times New Roman" w:cs="Times New Roman" w:eastAsia="Times New Roman" w:hAnsi="Times New Roman"/>
          <w:bCs/>
          <w:sz w:val="24"/>
          <w:szCs w:val="24"/>
        </w:rPr>
        <w:t xml:space="preserve">warrant </w:t>
      </w:r>
      <w:r>
        <w:rPr>
          <w:rFonts w:ascii="Times New Roman" w:cs="Times New Roman" w:eastAsia="Times New Roman" w:hAnsi="Times New Roman"/>
          <w:bCs/>
          <w:sz w:val="24"/>
          <w:szCs w:val="24"/>
        </w:rPr>
        <w:t>or justification for interpreting or applying these three provisions otherwise.</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In short, there</w:t>
      </w:r>
      <w:r>
        <w:rPr>
          <w:rFonts w:ascii="Times New Roman" w:cs="Times New Roman" w:eastAsia="Times New Roman" w:hAnsi="Times New Roman"/>
          <w:bCs/>
          <w:sz w:val="24"/>
          <w:szCs w:val="24"/>
        </w:rPr>
        <w:t xml:space="preserve"> is no need for a constitutional interpretation or any other</w:t>
      </w:r>
      <w:r>
        <w:rPr>
          <w:rFonts w:ascii="Times New Roman" w:cs="Times New Roman" w:eastAsia="Times New Roman" w:hAnsi="Times New Roman"/>
          <w:bCs/>
          <w:sz w:val="24"/>
          <w:szCs w:val="24"/>
        </w:rPr>
        <w:t xml:space="preserve"> mode of</w:t>
      </w:r>
      <w:r>
        <w:rPr>
          <w:rFonts w:ascii="Times New Roman" w:cs="Times New Roman" w:eastAsia="Times New Roman" w:hAnsi="Times New Roman"/>
          <w:bCs/>
          <w:sz w:val="24"/>
          <w:szCs w:val="24"/>
        </w:rPr>
        <w:t xml:space="preserve"> interpretation.</w:t>
      </w:r>
      <w:r>
        <w:rPr>
          <w:rFonts w:ascii="Times New Roman" w:cs="Times New Roman" w:eastAsia="Times New Roman" w:hAnsi="Times New Roman"/>
          <w:bCs/>
          <w:sz w:val="24"/>
          <w:szCs w:val="24"/>
        </w:rPr>
        <w:t xml:space="preserve"> This is particularly so, given that the applicants have not </w:t>
      </w:r>
      <w:r>
        <w:rPr>
          <w:rFonts w:ascii="Times New Roman" w:cs="Times New Roman" w:eastAsia="Times New Roman" w:hAnsi="Times New Roman"/>
          <w:bCs/>
          <w:sz w:val="24"/>
          <w:szCs w:val="24"/>
        </w:rPr>
        <w:t xml:space="preserve">directly </w:t>
      </w:r>
      <w:r>
        <w:rPr>
          <w:rFonts w:ascii="Times New Roman" w:cs="Times New Roman" w:eastAsia="Times New Roman" w:hAnsi="Times New Roman"/>
          <w:bCs/>
          <w:sz w:val="24"/>
          <w:szCs w:val="24"/>
        </w:rPr>
        <w:t>impugned or challenged the constitutionality of the three provisions in question, either in the courts below or before this Court.</w:t>
      </w:r>
    </w:p>
    <w:p w14:paraId="00000058">
      <w:pPr>
        <w:spacing w:after="0" w:line="480" w:lineRule="auto"/>
        <w:jc w:val="both"/>
        <w:rPr>
          <w:rFonts w:ascii="Times New Roman" w:cs="Times New Roman" w:eastAsia="Times New Roman" w:hAnsi="Times New Roman"/>
          <w:bCs/>
          <w:sz w:val="24"/>
          <w:szCs w:val="24"/>
        </w:rPr>
      </w:pPr>
    </w:p>
    <w:p w14:paraId="00000059">
      <w:pPr>
        <w:spacing w:after="0" w:line="480" w:lineRule="auto"/>
        <w:jc w:val="both"/>
        <w:rPr>
          <w:rFonts w:ascii="Times New Roman" w:cs="Times New Roman" w:eastAsia="Times New Roman" w:hAnsi="Times New Roman"/>
          <w:bCs/>
          <w:sz w:val="24"/>
          <w:szCs w:val="24"/>
        </w:rPr>
      </w:pPr>
      <w:r>
        <w:rPr>
          <w:rFonts w:ascii="Times New Roman" w:cs="Times New Roman" w:eastAsia="Times New Roman" w:hAnsi="Times New Roman"/>
          <w:b/>
          <w:sz w:val="24"/>
          <w:szCs w:val="24"/>
        </w:rPr>
        <w:t>Disposition</w:t>
      </w:r>
    </w:p>
    <w:p w14:paraId="0000005A">
      <w:pPr>
        <w:spacing w:after="0" w:line="480" w:lineRule="auto"/>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In light of the foregoing, it is evident that the applicants are </w:t>
      </w:r>
      <w:r>
        <w:rPr>
          <w:rFonts w:ascii="Times New Roman" w:cs="Times New Roman" w:eastAsia="Times New Roman" w:hAnsi="Times New Roman"/>
          <w:bCs/>
          <w:sz w:val="24"/>
          <w:szCs w:val="24"/>
        </w:rPr>
        <w:t xml:space="preserve">merely </w:t>
      </w:r>
      <w:r>
        <w:rPr>
          <w:rFonts w:ascii="Times New Roman" w:cs="Times New Roman" w:eastAsia="Times New Roman" w:hAnsi="Times New Roman"/>
          <w:bCs/>
          <w:sz w:val="24"/>
          <w:szCs w:val="24"/>
        </w:rPr>
        <w:t xml:space="preserve">dissatisfied litigants seeking to obtain relief from this Court on the basis of a non-existent constitutional question. What has been placed before the Court is, in </w:t>
      </w:r>
      <w:r>
        <w:rPr>
          <w:rFonts w:ascii="Times New Roman" w:cs="Times New Roman" w:eastAsia="Times New Roman" w:hAnsi="Times New Roman"/>
          <w:bCs/>
          <w:sz w:val="24"/>
          <w:szCs w:val="24"/>
        </w:rPr>
        <w:t>essence,</w:t>
      </w:r>
      <w:r>
        <w:rPr>
          <w:rFonts w:ascii="Times New Roman" w:cs="Times New Roman" w:eastAsia="Times New Roman" w:hAnsi="Times New Roman"/>
          <w:bCs/>
          <w:sz w:val="24"/>
          <w:szCs w:val="24"/>
        </w:rPr>
        <w:t xml:space="preserve"> a disguised appeal aimed at overturning the decision of the court </w:t>
      </w:r>
      <w:r>
        <w:rPr>
          <w:rFonts w:ascii="Times New Roman" w:cs="Times New Roman" w:eastAsia="Times New Roman" w:hAnsi="Times New Roman"/>
          <w:bCs/>
          <w:i/>
          <w:iCs/>
          <w:sz w:val="24"/>
          <w:szCs w:val="24"/>
        </w:rPr>
        <w:t>a quo</w:t>
      </w:r>
      <w:r>
        <w:rPr>
          <w:rFonts w:ascii="Times New Roman" w:cs="Times New Roman" w:eastAsia="Times New Roman" w:hAnsi="Times New Roman"/>
          <w:bCs/>
          <w:sz w:val="24"/>
          <w:szCs w:val="24"/>
        </w:rPr>
        <w:t xml:space="preserve">. The applicants have not demonstrated a </w:t>
      </w:r>
      <w:r>
        <w:rPr>
          <w:rFonts w:ascii="Times New Roman" w:cs="Times New Roman" w:eastAsia="Times New Roman" w:hAnsi="Times New Roman"/>
          <w:bCs/>
          <w:i/>
          <w:iCs/>
          <w:sz w:val="24"/>
          <w:szCs w:val="24"/>
        </w:rPr>
        <w:t>prima facie</w:t>
      </w:r>
      <w:r>
        <w:rPr>
          <w:rFonts w:ascii="Times New Roman" w:cs="Times New Roman" w:eastAsia="Times New Roman" w:hAnsi="Times New Roman"/>
          <w:bCs/>
          <w:sz w:val="24"/>
          <w:szCs w:val="24"/>
        </w:rPr>
        <w:t xml:space="preserve"> case warranting </w:t>
      </w:r>
      <w:r>
        <w:rPr>
          <w:rFonts w:ascii="Times New Roman" w:cs="Times New Roman" w:eastAsia="Times New Roman" w:hAnsi="Times New Roman"/>
          <w:bCs/>
          <w:sz w:val="24"/>
          <w:szCs w:val="24"/>
        </w:rPr>
        <w:t xml:space="preserve">the </w:t>
      </w:r>
      <w:r>
        <w:rPr>
          <w:rFonts w:ascii="Times New Roman" w:cs="Times New Roman" w:eastAsia="Times New Roman" w:hAnsi="Times New Roman"/>
          <w:bCs/>
          <w:sz w:val="24"/>
          <w:szCs w:val="24"/>
        </w:rPr>
        <w:t>constitutional review of that decision</w:t>
      </w:r>
      <w:r>
        <w:rPr>
          <w:rFonts w:ascii="Times New Roman" w:cs="Times New Roman" w:eastAsia="Times New Roman" w:hAnsi="Times New Roman"/>
          <w:bCs/>
          <w:sz w:val="24"/>
          <w:szCs w:val="24"/>
        </w:rPr>
        <w:t xml:space="preserve"> or any prospects of success in the event that leave to apply for direct access is granted.</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 xml:space="preserve">I am amply satisfied that it </w:t>
      </w:r>
      <w:r>
        <w:rPr>
          <w:rFonts w:ascii="Times New Roman" w:cs="Times New Roman" w:eastAsia="Times New Roman" w:hAnsi="Times New Roman"/>
          <w:bCs/>
          <w:sz w:val="24"/>
          <w:szCs w:val="24"/>
        </w:rPr>
        <w:t>would not be in the interests of justice fo</w:t>
      </w:r>
      <w:r>
        <w:rPr>
          <w:rFonts w:ascii="Times New Roman" w:cs="Times New Roman" w:eastAsia="Times New Roman" w:hAnsi="Times New Roman"/>
          <w:bCs/>
          <w:sz w:val="24"/>
          <w:szCs w:val="24"/>
        </w:rPr>
        <w:t>r the instant application</w:t>
      </w:r>
      <w:r>
        <w:rPr>
          <w:rFonts w:ascii="Times New Roman" w:cs="Times New Roman" w:eastAsia="Times New Roman" w:hAnsi="Times New Roman"/>
          <w:bCs/>
          <w:sz w:val="24"/>
          <w:szCs w:val="24"/>
        </w:rPr>
        <w:t xml:space="preserve"> to be </w:t>
      </w:r>
      <w:r>
        <w:rPr>
          <w:rFonts w:ascii="Times New Roman" w:cs="Times New Roman" w:eastAsia="Times New Roman" w:hAnsi="Times New Roman"/>
          <w:bCs/>
          <w:sz w:val="24"/>
          <w:szCs w:val="24"/>
        </w:rPr>
        <w:t>allowed.</w:t>
      </w:r>
    </w:p>
    <w:p w14:paraId="0000005B">
      <w:pPr>
        <w:spacing w:before="240" w:after="0" w:line="480" w:lineRule="auto"/>
        <w:jc w:val="both"/>
        <w:rPr>
          <w:rFonts w:ascii="Times New Roman" w:cs="Times New Roman" w:eastAsia="Times New Roman" w:hAnsi="Times New Roman"/>
          <w:bCs/>
          <w:sz w:val="24"/>
          <w:szCs w:val="24"/>
        </w:rPr>
      </w:pPr>
      <w:r>
        <w:rPr>
          <w:rFonts w:ascii="Times New Roman" w:cs="Times New Roman" w:eastAsia="Times New Roman" w:hAnsi="Times New Roman"/>
          <w:b/>
          <w:sz w:val="24"/>
          <w:szCs w:val="24"/>
        </w:rPr>
        <w:tab/>
      </w:r>
      <w:r>
        <w:rPr>
          <w:rFonts w:ascii="Times New Roman" w:cs="Times New Roman" w:eastAsia="Times New Roman" w:hAnsi="Times New Roman"/>
          <w:bCs/>
          <w:sz w:val="24"/>
          <w:szCs w:val="24"/>
        </w:rPr>
        <w:t xml:space="preserve">In the result, I find that the application for direct access must fail for the reasons set out above. The applicants have failed to establish a sufficient case to warrant the relief </w:t>
      </w:r>
      <w:r>
        <w:rPr>
          <w:rFonts w:ascii="Times New Roman" w:cs="Times New Roman" w:eastAsia="Times New Roman" w:hAnsi="Times New Roman"/>
          <w:bCs/>
          <w:sz w:val="24"/>
          <w:szCs w:val="24"/>
        </w:rPr>
        <w:t>that they seek.</w:t>
      </w:r>
    </w:p>
    <w:p w14:paraId="0000005C">
      <w:pPr>
        <w:spacing w:before="240" w:after="0" w:line="480" w:lineRule="auto"/>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Ordinarily, inasmuch as there is no constitutional issue properly before this Court, the appropriate order would be to strike the matter off the roll. However, given the critical failure to demonstrate a </w:t>
      </w:r>
      <w:r>
        <w:rPr>
          <w:rFonts w:ascii="Times New Roman" w:cs="Times New Roman" w:eastAsia="Times New Roman" w:hAnsi="Times New Roman"/>
          <w:bCs/>
          <w:i/>
          <w:iCs/>
          <w:sz w:val="24"/>
          <w:szCs w:val="24"/>
        </w:rPr>
        <w:t>prima facie</w:t>
      </w:r>
      <w:r>
        <w:rPr>
          <w:rFonts w:ascii="Times New Roman" w:cs="Times New Roman" w:eastAsia="Times New Roman" w:hAnsi="Times New Roman"/>
          <w:bCs/>
          <w:sz w:val="24"/>
          <w:szCs w:val="24"/>
        </w:rPr>
        <w:t xml:space="preserve"> case or any plausible prospects of success bearing on the alleged aberrations by the court </w:t>
      </w:r>
      <w:r>
        <w:rPr>
          <w:rFonts w:ascii="Times New Roman" w:cs="Times New Roman" w:eastAsia="Times New Roman" w:hAnsi="Times New Roman"/>
          <w:bCs/>
          <w:i/>
          <w:iCs/>
          <w:sz w:val="24"/>
          <w:szCs w:val="24"/>
        </w:rPr>
        <w:t>a quo</w:t>
      </w:r>
      <w:r>
        <w:rPr>
          <w:rFonts w:ascii="Times New Roman" w:cs="Times New Roman" w:eastAsia="Times New Roman" w:hAnsi="Times New Roman"/>
          <w:bCs/>
          <w:sz w:val="24"/>
          <w:szCs w:val="24"/>
        </w:rPr>
        <w:t xml:space="preserve">, I take the view that </w:t>
      </w:r>
      <w:r>
        <w:rPr>
          <w:rFonts w:ascii="Times New Roman" w:cs="Times New Roman" w:eastAsia="Times New Roman" w:hAnsi="Times New Roman"/>
          <w:bCs/>
          <w:sz w:val="24"/>
          <w:szCs w:val="24"/>
        </w:rPr>
        <w:t xml:space="preserve">that correct approach would be to dismiss the application. Additionally, there being no exceptional circumstances justifying a departure from the </w:t>
      </w:r>
      <w:r>
        <w:rPr>
          <w:rFonts w:ascii="Times New Roman" w:cs="Times New Roman" w:eastAsia="Times New Roman" w:hAnsi="Times New Roman"/>
          <w:bCs/>
          <w:sz w:val="24"/>
          <w:szCs w:val="24"/>
        </w:rPr>
        <w:t xml:space="preserve">established </w:t>
      </w:r>
      <w:r>
        <w:rPr>
          <w:rFonts w:ascii="Times New Roman" w:cs="Times New Roman" w:eastAsia="Times New Roman" w:hAnsi="Times New Roman"/>
          <w:bCs/>
          <w:sz w:val="24"/>
          <w:szCs w:val="24"/>
        </w:rPr>
        <w:t xml:space="preserve">norm that no costs should </w:t>
      </w:r>
      <w:r>
        <w:rPr>
          <w:rFonts w:ascii="Times New Roman" w:cs="Times New Roman" w:eastAsia="Times New Roman" w:hAnsi="Times New Roman"/>
          <w:bCs/>
          <w:sz w:val="24"/>
          <w:szCs w:val="24"/>
        </w:rPr>
        <w:t xml:space="preserve">ordinarily </w:t>
      </w:r>
      <w:r>
        <w:rPr>
          <w:rFonts w:ascii="Times New Roman" w:cs="Times New Roman" w:eastAsia="Times New Roman" w:hAnsi="Times New Roman"/>
          <w:bCs/>
          <w:sz w:val="24"/>
          <w:szCs w:val="24"/>
        </w:rPr>
        <w:t>be awarded in constitutional matters, there will be no order as to costs.</w:t>
      </w:r>
    </w:p>
    <w:p w14:paraId="0000005D">
      <w:pPr>
        <w:spacing w:before="240" w:after="0" w:line="480" w:lineRule="auto"/>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Accordingly, the application is dismissed with no order as to costs. </w:t>
      </w:r>
    </w:p>
    <w:p w14:paraId="0000005E">
      <w:pPr>
        <w:spacing w:before="240" w:after="0" w:line="480" w:lineRule="auto"/>
        <w:jc w:val="both"/>
        <w:rPr>
          <w:rFonts w:ascii="Times New Roman" w:cs="Times New Roman" w:eastAsia="Times New Roman" w:hAnsi="Times New Roman"/>
          <w:bCs/>
          <w:sz w:val="24"/>
          <w:szCs w:val="24"/>
        </w:rPr>
      </w:pPr>
    </w:p>
    <w:p w14:paraId="0000005F">
      <w:pPr>
        <w:spacing w:before="240" w:after="0" w:line="480" w:lineRule="auto"/>
        <w:jc w:val="both"/>
        <w:rPr>
          <w:rFonts w:ascii="Times New Roman" w:cs="Times New Roman" w:eastAsia="Times New Roman" w:hAnsi="Times New Roman"/>
          <w:b/>
          <w:sz w:val="24"/>
          <w:szCs w:val="24"/>
        </w:rPr>
      </w:pPr>
      <w:r>
        <w:rPr>
          <w:rFonts w:ascii="Times New Roman" w:cs="Times New Roman" w:eastAsia="Times New Roman" w:hAnsi="Times New Roman"/>
          <w:bCs/>
          <w:sz w:val="24"/>
          <w:szCs w:val="24"/>
        </w:rPr>
        <w:tab/>
      </w:r>
      <w:r>
        <w:rPr>
          <w:rFonts w:ascii="Times New Roman" w:cs="Times New Roman" w:eastAsia="Times New Roman" w:hAnsi="Times New Roman"/>
          <w:b/>
          <w:sz w:val="24"/>
          <w:szCs w:val="24"/>
        </w:rPr>
        <w:t>MAKARAU JCC:</w:t>
      </w:r>
    </w:p>
    <w:p w14:paraId="00000060">
      <w:pPr>
        <w:spacing w:before="240" w:after="0" w:line="480" w:lineRule="auto"/>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ab/>
        <w:t xml:space="preserve">GOWORA JCC: </w:t>
      </w:r>
    </w:p>
    <w:p w14:paraId="00000061">
      <w:pPr>
        <w:spacing w:before="240" w:after="0" w:line="480" w:lineRule="auto"/>
        <w:jc w:val="both"/>
        <w:rPr>
          <w:rFonts w:ascii="Times New Roman" w:cs="Times New Roman" w:eastAsia="Times New Roman" w:hAnsi="Times New Roman"/>
          <w:bCs/>
          <w:sz w:val="24"/>
          <w:szCs w:val="24"/>
        </w:rPr>
      </w:pPr>
    </w:p>
    <w:p w14:paraId="00000062">
      <w:pPr>
        <w:spacing w:before="240" w:after="0" w:line="480" w:lineRule="auto"/>
        <w:jc w:val="both"/>
        <w:rPr>
          <w:rFonts w:ascii="Times New Roman" w:cs="Times New Roman" w:eastAsia="Times New Roman" w:hAnsi="Times New Roman"/>
          <w:bCs/>
          <w:sz w:val="24"/>
          <w:szCs w:val="24"/>
        </w:rPr>
      </w:pPr>
    </w:p>
    <w:p w14:paraId="00000063">
      <w:pPr>
        <w:spacing w:before="240" w:after="0" w:line="480" w:lineRule="auto"/>
        <w:jc w:val="both"/>
        <w:rPr>
          <w:rFonts w:ascii="Times New Roman" w:cs="Times New Roman" w:eastAsia="Times New Roman" w:hAnsi="Times New Roman"/>
          <w:bCs/>
          <w:sz w:val="24"/>
          <w:szCs w:val="24"/>
        </w:rPr>
      </w:pPr>
      <w:r>
        <w:rPr>
          <w:rFonts w:ascii="Times New Roman" w:cs="Times New Roman" w:eastAsia="Times New Roman" w:hAnsi="Times New Roman"/>
          <w:bCs/>
          <w:i/>
          <w:iCs/>
          <w:sz w:val="24"/>
          <w:szCs w:val="24"/>
        </w:rPr>
        <w:t>Matika</w:t>
      </w:r>
      <w:r>
        <w:rPr>
          <w:rFonts w:ascii="Times New Roman" w:cs="Times New Roman" w:eastAsia="Times New Roman" w:hAnsi="Times New Roman"/>
          <w:bCs/>
          <w:i/>
          <w:iCs/>
          <w:sz w:val="24"/>
          <w:szCs w:val="24"/>
        </w:rPr>
        <w:t xml:space="preserve">, </w:t>
      </w:r>
      <w:r>
        <w:rPr>
          <w:rFonts w:ascii="Times New Roman" w:cs="Times New Roman" w:eastAsia="Times New Roman" w:hAnsi="Times New Roman"/>
          <w:bCs/>
          <w:i/>
          <w:iCs/>
          <w:sz w:val="24"/>
          <w:szCs w:val="24"/>
        </w:rPr>
        <w:t>Gwisai</w:t>
      </w:r>
      <w:r>
        <w:rPr>
          <w:rFonts w:ascii="Times New Roman" w:cs="Times New Roman" w:eastAsia="Times New Roman" w:hAnsi="Times New Roman"/>
          <w:bCs/>
          <w:i/>
          <w:iCs/>
          <w:sz w:val="24"/>
          <w:szCs w:val="24"/>
        </w:rPr>
        <w:t xml:space="preserve"> &amp; Partners, </w:t>
      </w:r>
      <w:r>
        <w:rPr>
          <w:rFonts w:ascii="Times New Roman" w:cs="Times New Roman" w:eastAsia="Times New Roman" w:hAnsi="Times New Roman"/>
          <w:bCs/>
          <w:sz w:val="24"/>
          <w:szCs w:val="24"/>
        </w:rPr>
        <w:t xml:space="preserve">applicants’ legal practitioners </w:t>
      </w:r>
    </w:p>
    <w:p w14:paraId="00000064">
      <w:pPr>
        <w:spacing w:after="0" w:line="480" w:lineRule="auto"/>
        <w:jc w:val="both"/>
        <w:rPr>
          <w:rFonts w:ascii="Times New Roman" w:cs="Times New Roman" w:eastAsia="Times New Roman" w:hAnsi="Times New Roman"/>
          <w:bCs/>
          <w:sz w:val="24"/>
          <w:szCs w:val="24"/>
        </w:rPr>
      </w:pPr>
      <w:r>
        <w:rPr>
          <w:rFonts w:ascii="Times New Roman" w:cs="Times New Roman" w:eastAsia="Times New Roman" w:hAnsi="Times New Roman"/>
          <w:bCs/>
          <w:i/>
          <w:iCs/>
          <w:sz w:val="24"/>
          <w:szCs w:val="24"/>
        </w:rPr>
        <w:t xml:space="preserve">Kantor &amp; Immerman, </w:t>
      </w:r>
      <w:r>
        <w:rPr>
          <w:rFonts w:ascii="Times New Roman" w:cs="Times New Roman" w:eastAsia="Times New Roman" w:hAnsi="Times New Roman"/>
          <w:bCs/>
          <w:sz w:val="24"/>
          <w:szCs w:val="24"/>
        </w:rPr>
        <w:t>respondent’s legal practitioner</w:t>
      </w:r>
      <w:r>
        <w:rPr>
          <w:rFonts w:ascii="Times New Roman" w:cs="Times New Roman" w:eastAsia="Times New Roman" w:hAnsi="Times New Roman"/>
          <w:bCs/>
          <w:sz w:val="24"/>
          <w:szCs w:val="24"/>
        </w:rPr>
        <w:t>s</w:t>
      </w:r>
    </w:p>
    <w:p w14:paraId="00000065">
      <w:pPr>
        <w:spacing w:after="0" w:line="480" w:lineRule="auto"/>
        <w:jc w:val="both"/>
        <w:rPr>
          <w:rFonts w:ascii="Times New Roman" w:cs="Times New Roman" w:eastAsia="Times New Roman" w:hAnsi="Times New Roman"/>
          <w:bCs/>
          <w:sz w:val="24"/>
          <w:szCs w:val="24"/>
        </w:rPr>
      </w:pPr>
    </w:p>
    <w:sectPr>
      <w:headerReference w:type="default" r:id="rId10"/>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9" w:usb3="00000000" w:csb0="000001ff" w:csb1="00000000"/>
  </w:font>
  <w:font w:name="Calibri">
    <w:panose1 w:val="020f0502020204030204"/>
    <w:charset w:val="00"/>
    <w:family w:val="swiss"/>
    <w:pitch w:val="variable"/>
    <w:sig w:usb0="00000000" w:usb1="00000000" w:usb2="00000009" w:usb3="00000000" w:csb0="000001ff" w:csb1="00000000"/>
  </w:font>
  <w:font w:name="Calibri Light">
    <w:panose1 w:val="020f0302020204030204"/>
    <w:charset w:val="00"/>
    <w:family w:val="swiss"/>
    <w:pitch w:val="variable"/>
    <w:sig w:usb0="00000000" w:usb1="00000000"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p w14:paraId="00000066">
    <w:pPr>
      <w:pStyle w:val="Header"/>
      <w:rPr/>
    </w:pPr>
    <w:r>
      <w:rPr>
        <w:lang w:val="en-GB" w:eastAsia="en-GB"/>
      </w:rPr>
      <mc:AlternateContent>
        <mc:Choice Requires="wps">
          <w:drawing xmlns:mc="http://schemas.openxmlformats.org/markup-compatibility/2006">
            <wp:anchor allowOverlap="1" behindDoc="0" distT="0" distB="0" distL="114300" distR="114300" layoutInCell="1" locked="0" relativeHeight="251657728" simplePos="0">
              <wp:simplePos x="0" y="0"/>
              <wp:positionH relativeFrom="margin">
                <wp:align>left</wp:align>
              </wp:positionH>
              <wp:positionV relativeFrom="topMargin">
                <wp:align>center</wp:align>
              </wp:positionV>
              <wp:extent cx="5943600" cy="173736"/>
              <wp:effectExtent l="0" t="0" r="0" b="0"/>
              <wp:wrapNone/>
              <wp:docPr id="222" name="Text Box 229"/>
              <wp:cNvGraphicFramePr>
                <a:graphicFrameLocks xmlns:a="http://schemas.openxmlformats.org/drawingml/2006/main"/>
              </wp:cNvGraphicFramePr>
              <a:graphic xmlns:a="http://schemas.openxmlformats.org/drawingml/2006/main">
                <a:graphicData uri="http://schemas.microsoft.com/office/word/2010/wordprocessingShape">
                  <wps:wsp>
                    <wps:cNvPr id="220" name="Text Box 229"/>
                    <wps:cNvSpPr txBox="1">
                      <a:spLocks noChangeArrowheads="1"/>
                    </wps:cNvSpPr>
                    <wps:spPr>
                      <a:xfrm>
                        <a:off x="0" y="0"/>
                        <a:ext cx="5731510" cy="512445"/>
                      </a:xfrm>
                      <a:prstGeom prst="rect">
                        <a:avLst/>
                      </a:prstGeom>
                      <a:noFill/>
                      <a:ln>
                        <a:noFill/>
                      </a:ln>
                    </wps:spPr>
                    <wps:txbx id="0">
                      <w:txbxContent>
                        <w:p w14:paraId="00000067">
                          <w:pPr>
                            <w:spacing w:after="0" w:line="240" w:lineRule="auto"/>
                            <w:jc w:val="right"/>
                            <w:rPr/>
                          </w:pPr>
                          <w:r>
                            <w:t xml:space="preserve">Judgment No. CCZ </w:t>
                          </w:r>
                          <w:r>
                            <w:t>18-25</w:t>
                          </w:r>
                        </w:p>
                        <w:p w14:paraId="00000068">
                          <w:pPr>
                            <w:spacing w:after="0" w:line="240" w:lineRule="auto"/>
                            <w:jc w:val="right"/>
                            <w:rPr/>
                          </w:pPr>
                          <w:r>
                            <w:t>Const. Application No. CCZ 25/25</w:t>
                          </w:r>
                        </w:p>
                        <w:p w14:paraId="00000069">
                          <w:pPr>
                            <w:spacing w:after="0" w:line="240" w:lineRule="auto"/>
                            <w:jc w:val="right"/>
                            <w:rPr/>
                          </w:pPr>
                        </w:p>
                      </w:txbxContent>
                    </wps:txbx>
                    <wps:bodyPr rot="0" vert="horz" wrap="square" lIns="91440" tIns="0" rIns="91440" bIns="0" anchor="ctr" upright="1">
                      <a:spAutoFit/>
                    </wps:bodyPr>
                  </wps:wsp>
                </a:graphicData>
              </a:graphic>
              <wp14:sizeRelH relativeFrom="margin">
                <wp14:pctWidth>100000</wp14:pctWidth>
              </wp14:sizeRelH>
              <wp14:sizeRelV relativeFrom="page">
                <wp14:pctHeight>0</wp14:pctHeight>
              </wp14:sizeRelV>
            </wp:anchor>
          </w:drawing>
        </mc:Choice>
        <mc:Fallback>
          <w:pict>
            <v:shape id="B633202A-D9CD-7A12-04391E0F86FE" coordsize="21600,21600" style="position:absolute;width:451.3pt;height:40.35pt;mso-width-percent:100000;mso-width-relative:margin;mso-height-percent:0;mso-height-relative:page;margin-top:0pt;margin-left:0pt;mso-wrap-distance-left:9pt;mso-wrap-distance-right:9pt;mso-wrap-distance-top:0pt;mso-wrap-distance-bottom:0pt;mso-position-horizontal:left;mso-position-horizontal-relative:margin;mso-position-vertical:center;mso-position-vertical-relative:top-margin-area;rotation:0.000000;z-index:251657728;" stroked="f" o:spt="1" path="m0,0 l0,21600 r21600,0 l21600,0 x e">
              <w10:wrap side="both"/>
              <o:lock/>
            </v:shape>
          </w:pict>
        </mc:Fallback>
      </mc:AlternateContent>
    </w:r>
    <w:r>
      <w:rPr>
        <w:lang w:val="en-GB" w:eastAsia="en-GB"/>
      </w:rPr>
      <mc:AlternateContent>
        <mc:Choice Requires="wps">
          <w:drawing xmlns:mc="http://schemas.openxmlformats.org/markup-compatibility/2006">
            <wp:anchor allowOverlap="1" behindDoc="0" distT="0" distB="0" distL="114300" distR="114300" layoutInCell="1" locked="0" relativeHeight="251656704" simplePos="0">
              <wp:simplePos x="0" y="0"/>
              <wp:positionH relativeFrom="page">
                <wp:align>right</wp:align>
              </wp:positionH>
              <wp:positionV relativeFrom="topMargin">
                <wp:align>center</wp:align>
              </wp:positionV>
              <wp:extent cx="911860" cy="170815"/>
              <wp:effectExtent l="0" t="0" r="0" b="0"/>
              <wp:wrapNone/>
              <wp:docPr id="223" name="Text Box 231"/>
              <wp:cNvGraphicFramePr>
                <a:graphicFrameLocks xmlns:a="http://schemas.openxmlformats.org/drawingml/2006/main"/>
              </wp:cNvGraphicFramePr>
              <a:graphic xmlns:a="http://schemas.openxmlformats.org/drawingml/2006/main">
                <a:graphicData uri="http://schemas.microsoft.com/office/word/2010/wordprocessingShape">
                  <wps:wsp>
                    <wps:cNvPr id="221" name="Text Box 231"/>
                    <wps:cNvSpPr txBox="1">
                      <a:spLocks noChangeArrowheads="1"/>
                    </wps:cNvSpPr>
                    <wps:spPr>
                      <a:xfrm>
                        <a:off x="0" y="0"/>
                        <a:ext cx="914400" cy="170815"/>
                      </a:xfrm>
                      <a:prstGeom prst="rect">
                        <a:avLst/>
                      </a:prstGeom>
                      <a:solidFill>
                        <a:schemeClr val="accent6">
                          <a:lumMod val="60000"/>
                          <a:lumOff val="40000"/>
                        </a:schemeClr>
                      </a:solidFill>
                      <a:ln>
                        <a:noFill/>
                      </a:ln>
                    </wps:spPr>
                    <wps:txbx id="1">
                      <w:txbxContent>
                        <w:p w14:paraId="0000006A">
                          <w:pPr>
                            <w:spacing w:after="0" w:line="240" w:lineRule="auto"/>
                            <w:rPr>
                              <w:color w:val="ffffff"/>
                            </w:rPr>
                          </w:pPr>
                          <w:r>
                            <w:rPr>
                              <w:color w:val="ffffff"/>
                            </w:rPr>
                            <w:fldChar w:fldCharType="begin"/>
                          </w:r>
                          <w:r>
                            <w:rPr>
                              <w:color w:val="ffffff"/>
                            </w:rPr>
                            <w:instrText xml:space="preserve"> PAGE   \* MERGEFORMAT </w:instrText>
                          </w:r>
                          <w:r>
                            <w:rPr>
                              <w:color w:val="ffffff"/>
                            </w:rPr>
                            <w:fldChar w:fldCharType="separate"/>
                          </w:r>
                          <w:r>
                            <w:rPr>
                              <w:color w:val="ffffff"/>
                            </w:rPr>
                            <w:t>14</w:t>
                          </w:r>
                          <w:r>
                            <w:rPr>
                              <w:color w:val="ffffff"/>
                            </w:rPr>
                            <w:fldChar w:fldCharType="end"/>
                          </w:r>
                        </w:p>
                      </w:txbxContent>
                    </wps:txbx>
                    <wps:bodyPr rot="0" vert="horz" wrap="square" lIns="91440" tIns="0" rIns="91440" bIns="0" anchor="ctr" upright="1">
                      <a:spAutoFit/>
                    </wps:bodyPr>
                  </wps:wsp>
                </a:graphicData>
              </a:graphic>
              <wp14:sizeRelH relativeFrom="rightMargin">
                <wp14:pctWidth>100000</wp14:pctWidth>
              </wp14:sizeRelH>
              <wp14:sizeRelV relativeFrom="page">
                <wp14:pctHeight>0</wp14:pctHeight>
              </wp14:sizeRelV>
            </wp:anchor>
          </w:drawing>
        </mc:Choice>
        <mc:Fallback>
          <w:pict>
            <v:shape id="082565E7-9FAC-3FC5-502DDDDEB3D8" coordsize="21600,21600" style="position:absolute;width:72pt;height:13.45pt;mso-width-percent:100000;mso-width-relative:right-margin-area;mso-height-percent:0;mso-height-relative:page;margin-top:0pt;margin-left:0pt;mso-wrap-distance-left:9pt;mso-wrap-distance-right:9pt;mso-wrap-distance-top:0pt;mso-wrap-distance-bottom:0pt;mso-position-horizontal:right;mso-position-horizontal-relative:page;mso-position-vertical:center;mso-position-vertical-relative:top-margin-area;rotation:0.000000;z-index:251656704;" fillcolor="#a9d18d" stroked="f" o:spt="1" path="m0,0 l0,21600 r21600,0 l21600,0 x e">
              <w10:wrap side="both"/>
              <v:fill type="solid" color="#a9d18d" opacity="1.000000"/>
              <o:lock/>
            </v:shape>
          </w:pict>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lowerLetter"/>
      <w:lvlText w:val="(%1)"/>
      <w:lvlJc w:val="left"/>
      <w:pPr>
        <w:ind w:left="1080" w:hanging="360"/>
      </w:pPr>
      <w:rPr>
        <w:b w:val="off"/>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multiLevelType w:val="hybridMultilevel"/>
    <w:lvl w:ilvl="0" w:tentative="0">
      <w:start w:val="1"/>
      <w:numFmt w:val="lowerLetter"/>
      <w:lvlText w:val="(%1)"/>
      <w:lvlJc w:val="left"/>
      <w:pPr>
        <w:ind w:left="1800" w:hanging="360"/>
      </w:p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2">
    <w:multiLevelType w:val="hybridMultilevel"/>
    <w:lvl w:ilvl="0" w:tentative="0">
      <w:start w:val="1"/>
      <w:numFmt w:val="lowerRoman"/>
      <w:lvlText w:val="(%1)"/>
      <w:lvlJc w:val="left"/>
      <w:pPr>
        <w:ind w:left="2421" w:hanging="720"/>
      </w:pPr>
    </w:lvl>
    <w:lvl w:ilvl="1" w:tentative="0">
      <w:start w:val="1"/>
      <w:numFmt w:val="lowerLetter"/>
      <w:lvlText w:val="%2."/>
      <w:lvlJc w:val="left"/>
      <w:pPr>
        <w:ind w:left="2781" w:hanging="360"/>
      </w:pPr>
    </w:lvl>
    <w:lvl w:ilvl="2" w:tentative="0">
      <w:start w:val="1"/>
      <w:numFmt w:val="lowerRoman"/>
      <w:lvlText w:val="%3."/>
      <w:lvlJc w:val="right"/>
      <w:pPr>
        <w:ind w:left="3501" w:hanging="180"/>
      </w:pPr>
    </w:lvl>
    <w:lvl w:ilvl="3" w:tentative="0">
      <w:start w:val="1"/>
      <w:numFmt w:val="decimal"/>
      <w:lvlText w:val="%4."/>
      <w:lvlJc w:val="left"/>
      <w:pPr>
        <w:ind w:left="4221" w:hanging="360"/>
      </w:pPr>
    </w:lvl>
    <w:lvl w:ilvl="4" w:tentative="0">
      <w:start w:val="1"/>
      <w:numFmt w:val="lowerLetter"/>
      <w:lvlText w:val="%5."/>
      <w:lvlJc w:val="left"/>
      <w:pPr>
        <w:ind w:left="4941" w:hanging="360"/>
      </w:pPr>
    </w:lvl>
    <w:lvl w:ilvl="5" w:tentative="0">
      <w:start w:val="1"/>
      <w:numFmt w:val="lowerRoman"/>
      <w:lvlText w:val="%6."/>
      <w:lvlJc w:val="right"/>
      <w:pPr>
        <w:ind w:left="5661" w:hanging="180"/>
      </w:pPr>
    </w:lvl>
    <w:lvl w:ilvl="6" w:tentative="0">
      <w:start w:val="1"/>
      <w:numFmt w:val="decimal"/>
      <w:lvlText w:val="%7."/>
      <w:lvlJc w:val="left"/>
      <w:pPr>
        <w:ind w:left="6381" w:hanging="360"/>
      </w:pPr>
    </w:lvl>
    <w:lvl w:ilvl="7" w:tentative="0">
      <w:start w:val="1"/>
      <w:numFmt w:val="lowerLetter"/>
      <w:lvlText w:val="%8."/>
      <w:lvlJc w:val="left"/>
      <w:pPr>
        <w:ind w:left="7101" w:hanging="360"/>
      </w:pPr>
    </w:lvl>
    <w:lvl w:ilvl="8" w:tentative="0">
      <w:start w:val="1"/>
      <w:numFmt w:val="lowerRoman"/>
      <w:lvlText w:val="%9."/>
      <w:lvlJc w:val="right"/>
      <w:pPr>
        <w:ind w:left="7821" w:hanging="180"/>
      </w:pPr>
    </w:lvl>
  </w:abstractNum>
  <w:abstractNum w:abstractNumId="3">
    <w:multiLevelType w:val="hybridMultilevel"/>
    <w:lvl w:ilvl="0" w:tentative="0">
      <w:start w:val="1"/>
      <w:numFmt w:val="lowerLetter"/>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multiLevelType w:val="hybridMultilevel"/>
    <w:lvl w:ilvl="0" w:tentative="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multiLevelType w:val="hybridMultilevel"/>
    <w:lvl w:ilvl="0" w:tentative="0">
      <w:start w:val="1"/>
      <w:numFmt w:val="decimal"/>
      <w:lvlText w:val="%1."/>
      <w:lvlJc w:val="left"/>
      <w:pPr>
        <w:ind w:left="720" w:hanging="360"/>
      </w:pPr>
      <w:rPr>
        <w:b w:val="off"/>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9E9"/>
    <w:rsid w:val="00000015"/>
    <w:rsid w:val="00001C6D"/>
    <w:rsid w:val="00007E47"/>
    <w:rsid w:val="00011BEA"/>
    <w:rsid w:val="00021997"/>
    <w:rsid w:val="00026BE7"/>
    <w:rsid w:val="000541C1"/>
    <w:rsid w:val="00057DD0"/>
    <w:rsid w:val="00066D02"/>
    <w:rsid w:val="00070EEC"/>
    <w:rsid w:val="0007144E"/>
    <w:rsid w:val="00071701"/>
    <w:rsid w:val="000848C5"/>
    <w:rsid w:val="00090CA4"/>
    <w:rsid w:val="0009150E"/>
    <w:rsid w:val="0009169E"/>
    <w:rsid w:val="000A1285"/>
    <w:rsid w:val="000A200C"/>
    <w:rsid w:val="000B0E3C"/>
    <w:rsid w:val="000C245B"/>
    <w:rsid w:val="000D309C"/>
    <w:rsid w:val="001021CC"/>
    <w:rsid w:val="0010476D"/>
    <w:rsid w:val="0011308A"/>
    <w:rsid w:val="0012298F"/>
    <w:rsid w:val="0012730B"/>
    <w:rsid w:val="001421B3"/>
    <w:rsid w:val="001777E3"/>
    <w:rsid w:val="00191088"/>
    <w:rsid w:val="0019419F"/>
    <w:rsid w:val="001967BD"/>
    <w:rsid w:val="001B0938"/>
    <w:rsid w:val="001C0CF9"/>
    <w:rsid w:val="001D439B"/>
    <w:rsid w:val="001D43D4"/>
    <w:rsid w:val="001D63A8"/>
    <w:rsid w:val="001E21A2"/>
    <w:rsid w:val="001E33C9"/>
    <w:rsid w:val="001F11A3"/>
    <w:rsid w:val="0020020A"/>
    <w:rsid w:val="00200ACA"/>
    <w:rsid w:val="00203B78"/>
    <w:rsid w:val="00212139"/>
    <w:rsid w:val="00231489"/>
    <w:rsid w:val="002433EC"/>
    <w:rsid w:val="00245145"/>
    <w:rsid w:val="002516A6"/>
    <w:rsid w:val="00260F7F"/>
    <w:rsid w:val="00284AFA"/>
    <w:rsid w:val="00286321"/>
    <w:rsid w:val="002876BC"/>
    <w:rsid w:val="002975A8"/>
    <w:rsid w:val="002A0D97"/>
    <w:rsid w:val="002A2992"/>
    <w:rsid w:val="002A2BA7"/>
    <w:rsid w:val="002B0D88"/>
    <w:rsid w:val="002B2EE5"/>
    <w:rsid w:val="002D457F"/>
    <w:rsid w:val="002E55A2"/>
    <w:rsid w:val="002F3AD1"/>
    <w:rsid w:val="002F7A6F"/>
    <w:rsid w:val="003127C3"/>
    <w:rsid w:val="00313172"/>
    <w:rsid w:val="003140B0"/>
    <w:rsid w:val="003203AC"/>
    <w:rsid w:val="003469A7"/>
    <w:rsid w:val="00356250"/>
    <w:rsid w:val="00370E1C"/>
    <w:rsid w:val="003715BF"/>
    <w:rsid w:val="003716A5"/>
    <w:rsid w:val="00392F23"/>
    <w:rsid w:val="003A1D2A"/>
    <w:rsid w:val="003A5CC3"/>
    <w:rsid w:val="003A6A99"/>
    <w:rsid w:val="003B5CEC"/>
    <w:rsid w:val="003E2605"/>
    <w:rsid w:val="003E6AF5"/>
    <w:rsid w:val="004057F2"/>
    <w:rsid w:val="00414D8C"/>
    <w:rsid w:val="00444509"/>
    <w:rsid w:val="0046375A"/>
    <w:rsid w:val="00477E3C"/>
    <w:rsid w:val="00480F4D"/>
    <w:rsid w:val="0048582F"/>
    <w:rsid w:val="00496AE3"/>
    <w:rsid w:val="004A10FF"/>
    <w:rsid w:val="004C704D"/>
    <w:rsid w:val="004F0EFB"/>
    <w:rsid w:val="004F662D"/>
    <w:rsid w:val="00501B96"/>
    <w:rsid w:val="005103B1"/>
    <w:rsid w:val="005159FB"/>
    <w:rsid w:val="00520FC9"/>
    <w:rsid w:val="005214C4"/>
    <w:rsid w:val="00532AA5"/>
    <w:rsid w:val="00533ADE"/>
    <w:rsid w:val="0055045F"/>
    <w:rsid w:val="00554CBE"/>
    <w:rsid w:val="00567284"/>
    <w:rsid w:val="005B0BB6"/>
    <w:rsid w:val="005C044E"/>
    <w:rsid w:val="005C5256"/>
    <w:rsid w:val="005D0034"/>
    <w:rsid w:val="005E3E60"/>
    <w:rsid w:val="005F2C48"/>
    <w:rsid w:val="00606051"/>
    <w:rsid w:val="00606EBF"/>
    <w:rsid w:val="00611C75"/>
    <w:rsid w:val="006469E9"/>
    <w:rsid w:val="00653AF7"/>
    <w:rsid w:val="00663B65"/>
    <w:rsid w:val="0067042C"/>
    <w:rsid w:val="00673FBD"/>
    <w:rsid w:val="00680F66"/>
    <w:rsid w:val="00681BA1"/>
    <w:rsid w:val="00683889"/>
    <w:rsid w:val="00686306"/>
    <w:rsid w:val="00690693"/>
    <w:rsid w:val="006A112F"/>
    <w:rsid w:val="006A16D3"/>
    <w:rsid w:val="006B069D"/>
    <w:rsid w:val="006B7D40"/>
    <w:rsid w:val="006C3779"/>
    <w:rsid w:val="006E1EB7"/>
    <w:rsid w:val="006E77F3"/>
    <w:rsid w:val="00707119"/>
    <w:rsid w:val="00727F55"/>
    <w:rsid w:val="00740912"/>
    <w:rsid w:val="00747DDE"/>
    <w:rsid w:val="007631FF"/>
    <w:rsid w:val="00771723"/>
    <w:rsid w:val="0078069C"/>
    <w:rsid w:val="007A1CD1"/>
    <w:rsid w:val="007C6810"/>
    <w:rsid w:val="007E558C"/>
    <w:rsid w:val="007F5CDE"/>
    <w:rsid w:val="00831612"/>
    <w:rsid w:val="0084025F"/>
    <w:rsid w:val="0086254B"/>
    <w:rsid w:val="0086648B"/>
    <w:rsid w:val="00870CAC"/>
    <w:rsid w:val="00870F95"/>
    <w:rsid w:val="008731A0"/>
    <w:rsid w:val="00886757"/>
    <w:rsid w:val="00892166"/>
    <w:rsid w:val="008947EA"/>
    <w:rsid w:val="008B2F4F"/>
    <w:rsid w:val="008B2F9A"/>
    <w:rsid w:val="008B615C"/>
    <w:rsid w:val="008B68AD"/>
    <w:rsid w:val="008E4E0C"/>
    <w:rsid w:val="008F0DB6"/>
    <w:rsid w:val="008F5AEB"/>
    <w:rsid w:val="008F5CD9"/>
    <w:rsid w:val="00902B0B"/>
    <w:rsid w:val="00904C11"/>
    <w:rsid w:val="00926700"/>
    <w:rsid w:val="00932547"/>
    <w:rsid w:val="00942BA4"/>
    <w:rsid w:val="00946764"/>
    <w:rsid w:val="00947B56"/>
    <w:rsid w:val="0096421C"/>
    <w:rsid w:val="00971C05"/>
    <w:rsid w:val="009817BD"/>
    <w:rsid w:val="0099141F"/>
    <w:rsid w:val="00995C90"/>
    <w:rsid w:val="009A3222"/>
    <w:rsid w:val="009B0117"/>
    <w:rsid w:val="009B6D71"/>
    <w:rsid w:val="009C0477"/>
    <w:rsid w:val="009C3FFA"/>
    <w:rsid w:val="009E0491"/>
    <w:rsid w:val="009F20D1"/>
    <w:rsid w:val="009F33A8"/>
    <w:rsid w:val="009F6AF7"/>
    <w:rsid w:val="00A01556"/>
    <w:rsid w:val="00A06D6B"/>
    <w:rsid w:val="00A21DEF"/>
    <w:rsid w:val="00A33600"/>
    <w:rsid w:val="00A37CCB"/>
    <w:rsid w:val="00A4025A"/>
    <w:rsid w:val="00A55259"/>
    <w:rsid w:val="00A576FC"/>
    <w:rsid w:val="00A870EA"/>
    <w:rsid w:val="00A938B1"/>
    <w:rsid w:val="00AA6C70"/>
    <w:rsid w:val="00AB7B11"/>
    <w:rsid w:val="00AE5014"/>
    <w:rsid w:val="00AF41EC"/>
    <w:rsid w:val="00B00C52"/>
    <w:rsid w:val="00B06315"/>
    <w:rsid w:val="00B13172"/>
    <w:rsid w:val="00B440AB"/>
    <w:rsid w:val="00B5456F"/>
    <w:rsid w:val="00B71CA0"/>
    <w:rsid w:val="00B76EB7"/>
    <w:rsid w:val="00B84ACF"/>
    <w:rsid w:val="00BA6658"/>
    <w:rsid w:val="00BD78FB"/>
    <w:rsid w:val="00C02A0C"/>
    <w:rsid w:val="00C208C8"/>
    <w:rsid w:val="00C211CC"/>
    <w:rsid w:val="00C54093"/>
    <w:rsid w:val="00C57DE4"/>
    <w:rsid w:val="00C96BF2"/>
    <w:rsid w:val="00CB141F"/>
    <w:rsid w:val="00CD201F"/>
    <w:rsid w:val="00D006CE"/>
    <w:rsid w:val="00D041DA"/>
    <w:rsid w:val="00D2507E"/>
    <w:rsid w:val="00D27EEC"/>
    <w:rsid w:val="00D31C3C"/>
    <w:rsid w:val="00D375A2"/>
    <w:rsid w:val="00D47487"/>
    <w:rsid w:val="00D50617"/>
    <w:rsid w:val="00D81D3B"/>
    <w:rsid w:val="00D8454F"/>
    <w:rsid w:val="00DA43F6"/>
    <w:rsid w:val="00DF1FC8"/>
    <w:rsid w:val="00DF5EF7"/>
    <w:rsid w:val="00E06D83"/>
    <w:rsid w:val="00E16E2B"/>
    <w:rsid w:val="00E24862"/>
    <w:rsid w:val="00E26706"/>
    <w:rsid w:val="00E318B9"/>
    <w:rsid w:val="00E71DE1"/>
    <w:rsid w:val="00E72CE6"/>
    <w:rsid w:val="00E806DC"/>
    <w:rsid w:val="00E86120"/>
    <w:rsid w:val="00EB07A1"/>
    <w:rsid w:val="00EC1801"/>
    <w:rsid w:val="00EC7D10"/>
    <w:rsid w:val="00ED5325"/>
    <w:rsid w:val="00EF6FFC"/>
    <w:rsid w:val="00F11B96"/>
    <w:rsid w:val="00F226BD"/>
    <w:rsid w:val="00F50676"/>
    <w:rsid w:val="00F651D5"/>
    <w:rsid w:val="00F75A3A"/>
    <w:rsid w:val="00F85BD4"/>
    <w:rsid w:val="00F86D39"/>
    <w:rsid w:val="00FA19B5"/>
    <w:rsid w:val="00FA3208"/>
    <w:rsid w:val="00FA38BE"/>
    <w:rsid w:val="00FA40BA"/>
    <w:rsid w:val="00FA644D"/>
    <w:rsid w:val="00FB6821"/>
    <w:rsid w:val="00FE3257"/>
    <w:rsid w:val="00FE7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4B253F"/>
  <w15:chartTrackingRefBased/>
  <w15:docId w15:val="{ED77C37C-32AF-4209-AB1B-7198428D46F5}"/>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en-GB" w:bidi="ar-SA" w:eastAsia="en-US"/>
        <w14:ligatures w14:val="standardContextual"/>
      </w:rPr>
    </w:rPrDefault>
    <w:pPrDefault>
      <w:pPr>
        <w:spacing w:after="160" w:line="259" w:lineRule="auto"/>
      </w:pPr>
    </w:pPrDefault>
  </w:docDefaults>
  <w:style w:type="paragraph" w:styleId="NoSpacing">
    <w:name w:val="No Spacing"/>
    <w:uiPriority w:val="1"/>
    <w:qFormat w:val="on"/>
    <w:pPr>
      <w:spacing w:after="0" w:line="240" w:lineRule="auto"/>
    </w:p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Strong">
    <w:name w:val="Strong"/>
    <w:basedOn w:val="DefaultParagraphFont"/>
    <w:uiPriority w:val="22"/>
    <w:qFormat w:val="on"/>
    <w:rPr>
      <w:b/>
      <w:bCs/>
    </w:rPr>
  </w:style>
  <w:style w:type="character" w:styleId="SubtleReference">
    <w:name w:val="Subtle Reference"/>
    <w:basedOn w:val="DefaultParagraphFont"/>
    <w:uiPriority w:val="31"/>
    <w:qFormat w:val="on"/>
    <w:rPr>
      <w:smallCaps/>
      <w:color w:val="ed7d31" w:themeColor="accent2"/>
      <w:u w:val="single"/>
    </w:rPr>
  </w:style>
  <w:style w:type="character" w:styleId="BookTitle">
    <w:name w:val="Book Title"/>
    <w:basedOn w:val="DefaultParagraphFont"/>
    <w:uiPriority w:val="33"/>
    <w:qFormat w:val="on"/>
    <w:rPr>
      <w:b/>
      <w:bCs/>
      <w:smallCaps/>
      <w:spacing w:val="5"/>
    </w:r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character" w:styleId="FollowedHyperlink">
    <w:name w:val="FollowedHyperlink"/>
    <w:basedOn w:val="DefaultParagraphFont"/>
    <w:uiPriority w:val="99"/>
    <w:semiHidden w:val="on"/>
    <w:unhideWhenUsed w:val="on"/>
    <w:rPr>
      <w:color w:val="954f72" w:themeColor="followed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rPr>
      <w:lang w:val="en-ZW"/>
    </w:rPr>
  </w:style>
  <w:style w:type="paragraph" w:styleId="Heading1">
    <w:name w:val="Heading 1"/>
    <w:basedOn w:val="Normal"/>
    <w:next w:val="Normal"/>
    <w:link w:val="Heading1Char"/>
    <w:uiPriority w:val="9"/>
    <w:qFormat w:val="on"/>
    <w:pPr>
      <w:keepNext w:val="on"/>
      <w:keepLines w:val="on"/>
      <w:spacing w:before="360" w:after="80"/>
    </w:pPr>
    <w:rPr>
      <w:rFonts w:asciiTheme="majorHAnsi" w:cstheme="majorBidi" w:eastAsiaTheme="majorEastAsia" w:hAnsiTheme="majorHAnsi"/>
      <w:color w:val="2f5395" w:themeColor="accent1" w:themeShade="bf"/>
      <w:sz w:val="40"/>
      <w:szCs w:val="40"/>
    </w:rPr>
  </w:style>
  <w:style w:type="paragraph" w:styleId="Heading2">
    <w:name w:val="Heading 2"/>
    <w:basedOn w:val="Normal"/>
    <w:next w:val="Normal"/>
    <w:link w:val="Heading2Char"/>
    <w:uiPriority w:val="9"/>
    <w:semiHidden w:val="on"/>
    <w:unhideWhenUsed w:val="on"/>
    <w:qFormat w:val="on"/>
    <w:pPr>
      <w:keepNext w:val="on"/>
      <w:keepLines w:val="on"/>
      <w:spacing w:before="160" w:after="80"/>
    </w:pPr>
    <w:rPr>
      <w:rFonts w:asciiTheme="majorHAnsi" w:cstheme="majorBidi" w:eastAsiaTheme="majorEastAsia" w:hAnsiTheme="majorHAnsi"/>
      <w:color w:val="2f5395" w:themeColor="accent1" w:themeShade="bf"/>
      <w:sz w:val="32"/>
      <w:szCs w:val="32"/>
    </w:rPr>
  </w:style>
  <w:style w:type="paragraph" w:styleId="Heading3">
    <w:name w:val="Heading 3"/>
    <w:basedOn w:val="Normal"/>
    <w:next w:val="Normal"/>
    <w:link w:val="Heading3Char"/>
    <w:uiPriority w:val="9"/>
    <w:semiHidden w:val="on"/>
    <w:unhideWhenUsed w:val="on"/>
    <w:qFormat w:val="on"/>
    <w:pPr>
      <w:keepNext w:val="on"/>
      <w:keepLines w:val="on"/>
      <w:spacing w:before="160" w:after="80"/>
    </w:pPr>
    <w:rPr>
      <w:rFonts w:cstheme="majorBidi" w:eastAsiaTheme="majorEastAsia"/>
      <w:color w:val="2f5395" w:themeColor="accent1" w:themeShade="bf"/>
      <w:sz w:val="28"/>
      <w:szCs w:val="28"/>
    </w:rPr>
  </w:style>
  <w:style w:type="paragraph" w:styleId="Heading4">
    <w:name w:val="Heading 4"/>
    <w:basedOn w:val="Normal"/>
    <w:next w:val="Normal"/>
    <w:link w:val="Heading4Char"/>
    <w:uiPriority w:val="9"/>
    <w:semiHidden w:val="on"/>
    <w:unhideWhenUsed w:val="on"/>
    <w:qFormat w:val="on"/>
    <w:pPr>
      <w:keepNext w:val="on"/>
      <w:keepLines w:val="on"/>
      <w:spacing w:before="80" w:after="40"/>
    </w:pPr>
    <w:rPr>
      <w:rFonts w:cstheme="majorBidi" w:eastAsiaTheme="majorEastAsia"/>
      <w:i/>
      <w:iCs/>
      <w:color w:val="2f5395" w:themeColor="accent1" w:themeShade="bf"/>
    </w:rPr>
  </w:style>
  <w:style w:type="paragraph" w:styleId="Heading5">
    <w:name w:val="Heading 5"/>
    <w:basedOn w:val="Normal"/>
    <w:next w:val="Normal"/>
    <w:link w:val="Heading5Char"/>
    <w:uiPriority w:val="9"/>
    <w:semiHidden w:val="on"/>
    <w:unhideWhenUsed w:val="on"/>
    <w:qFormat w:val="on"/>
    <w:pPr>
      <w:keepNext w:val="on"/>
      <w:keepLines w:val="on"/>
      <w:spacing w:before="80" w:after="40"/>
    </w:pPr>
    <w:rPr>
      <w:rFonts w:cstheme="majorBidi" w:eastAsiaTheme="majorEastAsia"/>
      <w:color w:val="2f5395" w:themeColor="accent1" w:themeShade="bf"/>
    </w:rPr>
  </w:style>
  <w:style w:type="paragraph" w:styleId="Heading6">
    <w:name w:val="Heading 6"/>
    <w:basedOn w:val="Normal"/>
    <w:next w:val="Normal"/>
    <w:link w:val="Heading6Char"/>
    <w:uiPriority w:val="9"/>
    <w:semiHidden w:val="on"/>
    <w:unhideWhenUsed w:val="on"/>
    <w:qFormat w:val="on"/>
    <w:pPr>
      <w:keepNext w:val="on"/>
      <w:keepLines w:val="on"/>
      <w:spacing w:before="40" w:after="0"/>
    </w:pPr>
    <w:rPr>
      <w:rFonts w:cstheme="majorBidi" w:eastAsiaTheme="majorEastAsia"/>
      <w:i/>
      <w:iCs/>
      <w:color w:val="595959" w:themeColor="text1" w:themeTint="a6"/>
    </w:rPr>
  </w:style>
  <w:style w:type="paragraph" w:styleId="Heading7">
    <w:name w:val="Heading 7"/>
    <w:basedOn w:val="Normal"/>
    <w:next w:val="Normal"/>
    <w:link w:val="Heading7Char"/>
    <w:uiPriority w:val="9"/>
    <w:semiHidden w:val="on"/>
    <w:unhideWhenUsed w:val="on"/>
    <w:qFormat w:val="on"/>
    <w:pPr>
      <w:keepNext w:val="on"/>
      <w:keepLines w:val="on"/>
      <w:spacing w:before="40" w:after="0"/>
    </w:pPr>
    <w:rPr>
      <w:rFonts w:cstheme="majorBidi" w:eastAsiaTheme="majorEastAsia"/>
      <w:color w:val="595959" w:themeColor="text1" w:themeTint="a6"/>
    </w:rPr>
  </w:style>
  <w:style w:type="paragraph" w:styleId="Heading8">
    <w:name w:val="Heading 8"/>
    <w:basedOn w:val="Normal"/>
    <w:next w:val="Normal"/>
    <w:link w:val="Heading8Char"/>
    <w:uiPriority w:val="9"/>
    <w:semiHidden w:val="on"/>
    <w:unhideWhenUsed w:val="on"/>
    <w:qFormat w:val="on"/>
    <w:pPr>
      <w:keepNext w:val="on"/>
      <w:keepLines w:val="on"/>
      <w:spacing w:after="0"/>
    </w:pPr>
    <w:rPr>
      <w:rFonts w:cstheme="majorBidi" w:eastAsiaTheme="majorEastAsia"/>
      <w:i/>
      <w:iCs/>
      <w:color w:val="272727" w:themeColor="text1" w:themeTint="d8"/>
    </w:rPr>
  </w:style>
  <w:style w:type="paragraph" w:styleId="Heading9">
    <w:name w:val="Heading 9"/>
    <w:basedOn w:val="Normal"/>
    <w:next w:val="Normal"/>
    <w:link w:val="Heading9Char"/>
    <w:uiPriority w:val="9"/>
    <w:semiHidden w:val="on"/>
    <w:unhideWhenUsed w:val="on"/>
    <w:qFormat w:val="on"/>
    <w:pPr>
      <w:keepNext w:val="on"/>
      <w:keepLines w:val="on"/>
      <w:spacing w:after="0"/>
    </w:pPr>
    <w:rPr>
      <w:rFonts w:cstheme="majorBidi" w:eastAsiaTheme="majorEastAsia"/>
      <w:color w:val="272727" w:themeColor="text1" w:themeTint="d8"/>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customStyle="1" w:styleId="Heading1Char">
    <w:name w:val="Heading 1 Char"/>
    <w:basedOn w:val="DefaultParagraphFont"/>
    <w:link w:val="Heading1"/>
    <w:uiPriority w:val="9"/>
    <w:rPr>
      <w:rFonts w:asciiTheme="majorHAnsi" w:cstheme="majorBidi" w:eastAsiaTheme="majorEastAsia" w:hAnsiTheme="majorHAnsi"/>
      <w:color w:val="2f5395" w:themeColor="accent1" w:themeShade="bf"/>
      <w:sz w:val="40"/>
      <w:szCs w:val="40"/>
    </w:rPr>
  </w:style>
  <w:style w:type="character" w:customStyle="1" w:styleId="Heading2Char">
    <w:name w:val="Heading 2 Char"/>
    <w:basedOn w:val="DefaultParagraphFont"/>
    <w:link w:val="Heading2"/>
    <w:uiPriority w:val="9"/>
    <w:semiHidden w:val="on"/>
    <w:rPr>
      <w:rFonts w:asciiTheme="majorHAnsi" w:cstheme="majorBidi" w:eastAsiaTheme="majorEastAsia" w:hAnsiTheme="majorHAnsi"/>
      <w:color w:val="2f5395" w:themeColor="accent1" w:themeShade="bf"/>
      <w:sz w:val="32"/>
      <w:szCs w:val="32"/>
    </w:rPr>
  </w:style>
  <w:style w:type="character" w:customStyle="1" w:styleId="Heading3Char">
    <w:name w:val="Heading 3 Char"/>
    <w:basedOn w:val="DefaultParagraphFont"/>
    <w:link w:val="Heading3"/>
    <w:uiPriority w:val="9"/>
    <w:semiHidden w:val="on"/>
    <w:rPr>
      <w:rFonts w:cstheme="majorBidi" w:eastAsiaTheme="majorEastAsia"/>
      <w:color w:val="2f5395" w:themeColor="accent1" w:themeShade="bf"/>
      <w:sz w:val="28"/>
      <w:szCs w:val="28"/>
    </w:rPr>
  </w:style>
  <w:style w:type="character" w:customStyle="1" w:styleId="Heading4Char">
    <w:name w:val="Heading 4 Char"/>
    <w:basedOn w:val="DefaultParagraphFont"/>
    <w:link w:val="Heading4"/>
    <w:uiPriority w:val="9"/>
    <w:semiHidden w:val="on"/>
    <w:rPr>
      <w:rFonts w:cstheme="majorBidi" w:eastAsiaTheme="majorEastAsia"/>
      <w:i/>
      <w:iCs/>
      <w:color w:val="2f5395" w:themeColor="accent1" w:themeShade="bf"/>
    </w:rPr>
  </w:style>
  <w:style w:type="character" w:customStyle="1" w:styleId="Heading5Char">
    <w:name w:val="Heading 5 Char"/>
    <w:basedOn w:val="DefaultParagraphFont"/>
    <w:link w:val="Heading5"/>
    <w:uiPriority w:val="9"/>
    <w:semiHidden w:val="on"/>
    <w:rPr>
      <w:rFonts w:cstheme="majorBidi" w:eastAsiaTheme="majorEastAsia"/>
      <w:color w:val="2f5395" w:themeColor="accent1" w:themeShade="bf"/>
    </w:rPr>
  </w:style>
  <w:style w:type="character" w:customStyle="1" w:styleId="Heading6Char">
    <w:name w:val="Heading 6 Char"/>
    <w:basedOn w:val="DefaultParagraphFont"/>
    <w:link w:val="Heading6"/>
    <w:uiPriority w:val="9"/>
    <w:semiHidden w:val="on"/>
    <w:rPr>
      <w:rFonts w:cstheme="majorBidi" w:eastAsiaTheme="majorEastAsia"/>
      <w:i/>
      <w:iCs/>
      <w:color w:val="595959" w:themeColor="text1" w:themeTint="a6"/>
    </w:rPr>
  </w:style>
  <w:style w:type="character" w:customStyle="1" w:styleId="Heading7Char">
    <w:name w:val="Heading 7 Char"/>
    <w:basedOn w:val="DefaultParagraphFont"/>
    <w:link w:val="Heading7"/>
    <w:uiPriority w:val="9"/>
    <w:semiHidden w:val="on"/>
    <w:rPr>
      <w:rFonts w:cstheme="majorBidi" w:eastAsiaTheme="majorEastAsia"/>
      <w:color w:val="595959" w:themeColor="text1" w:themeTint="a6"/>
    </w:rPr>
  </w:style>
  <w:style w:type="character" w:customStyle="1" w:styleId="Heading8Char">
    <w:name w:val="Heading 8 Char"/>
    <w:basedOn w:val="DefaultParagraphFont"/>
    <w:link w:val="Heading8"/>
    <w:uiPriority w:val="9"/>
    <w:semiHidden w:val="on"/>
    <w:rPr>
      <w:rFonts w:cstheme="majorBidi" w:eastAsiaTheme="majorEastAsia"/>
      <w:i/>
      <w:iCs/>
      <w:color w:val="272727" w:themeColor="text1" w:themeTint="d8"/>
    </w:rPr>
  </w:style>
  <w:style w:type="character" w:customStyle="1" w:styleId="Heading9Char">
    <w:name w:val="Heading 9 Char"/>
    <w:basedOn w:val="DefaultParagraphFont"/>
    <w:link w:val="Heading9"/>
    <w:uiPriority w:val="9"/>
    <w:semiHidden w:val="on"/>
    <w:rPr>
      <w:rFonts w:cstheme="majorBidi" w:eastAsiaTheme="majorEastAsia"/>
      <w:color w:val="272727" w:themeColor="text1" w:themeTint="d8"/>
    </w:rPr>
  </w:style>
  <w:style w:type="paragraph" w:styleId="Title">
    <w:name w:val="Title"/>
    <w:basedOn w:val="Normal"/>
    <w:next w:val="Normal"/>
    <w:link w:val="TitleChar"/>
    <w:uiPriority w:val="10"/>
    <w:qFormat w:val="on"/>
    <w:pPr>
      <w:spacing w:after="80" w:line="240" w:lineRule="auto"/>
      <w:contextualSpacing w:val="on"/>
    </w:pPr>
    <w:rPr>
      <w:rFonts w:asciiTheme="majorHAnsi" w:cstheme="majorBidi" w:eastAsiaTheme="majorEastAsia" w:hAnsiTheme="majorHAnsi"/>
      <w:spacing w:val="-10"/>
      <w:sz w:val="56"/>
      <w:szCs w:val="56"/>
    </w:rPr>
  </w:style>
  <w:style w:type="character" w:customStyle="1" w:styleId="TitleChar">
    <w:name w:val="Title Char"/>
    <w:basedOn w:val="DefaultParagraphFont"/>
    <w:link w:val="Title"/>
    <w:uiPriority w:val="10"/>
    <w:rPr>
      <w:rFonts w:asciiTheme="majorHAnsi" w:cstheme="majorBidi" w:eastAsiaTheme="majorEastAsia" w:hAnsiTheme="majorHAnsi"/>
      <w:spacing w:val="-10"/>
      <w:sz w:val="56"/>
      <w:szCs w:val="56"/>
    </w:rPr>
  </w:style>
  <w:style w:type="paragraph" w:styleId="Subtitle">
    <w:name w:val="Subtitle"/>
    <w:basedOn w:val="Normal"/>
    <w:next w:val="Normal"/>
    <w:link w:val="SubtitleChar"/>
    <w:uiPriority w:val="11"/>
    <w:qFormat w:val="on"/>
    <w:pPr/>
    <w:rPr>
      <w:rFonts w:cstheme="majorBidi"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Pr>
      <w:rFonts w:cstheme="majorBidi" w:eastAsiaTheme="majorEastAsia"/>
      <w:color w:val="595959" w:themeColor="text1" w:themeTint="a6"/>
      <w:spacing w:val="15"/>
      <w:sz w:val="28"/>
      <w:szCs w:val="28"/>
    </w:rPr>
  </w:style>
  <w:style w:type="paragraph" w:styleId="Quote">
    <w:name w:val="Quote"/>
    <w:basedOn w:val="Normal"/>
    <w:next w:val="Normal"/>
    <w:link w:val="QuoteChar"/>
    <w:uiPriority w:val="29"/>
    <w:qFormat w:val="on"/>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val="on"/>
    <w:pPr>
      <w:ind w:left="720"/>
      <w:contextualSpacing w:val="on"/>
    </w:pPr>
  </w:style>
  <w:style w:type="character" w:styleId="IntenseEmphasis">
    <w:name w:val="Intense Emphasis"/>
    <w:basedOn w:val="DefaultParagraphFont"/>
    <w:uiPriority w:val="21"/>
    <w:qFormat w:val="on"/>
    <w:rPr>
      <w:i/>
      <w:iCs/>
      <w:color w:val="2f5395" w:themeColor="accent1" w:themeShade="bf"/>
    </w:rPr>
  </w:style>
  <w:style w:type="paragraph" w:styleId="IntenseQuote">
    <w:name w:val="Intense Quote"/>
    <w:basedOn w:val="Normal"/>
    <w:next w:val="Normal"/>
    <w:link w:val="IntenseQuoteChar"/>
    <w:uiPriority w:val="30"/>
    <w:qFormat w:val="on"/>
    <w:pPr>
      <w:pBdr>
        <w:top w:val="single" w:color="2f5395" w:themeColor="accent1" w:themeShade="bf" w:sz="4" w:space="10"/>
        <w:bottom w:val="single" w:color="2f5395" w:themeColor="accent1" w:themeShade="bf" w:sz="4" w:space="10"/>
      </w:pBdr>
      <w:spacing w:before="360" w:after="360"/>
      <w:ind w:left="864" w:right="864"/>
      <w:jc w:val="center"/>
    </w:pPr>
    <w:rPr>
      <w:i/>
      <w:iCs/>
      <w:color w:val="2f5395" w:themeColor="accent1" w:themeShade="bf"/>
    </w:rPr>
  </w:style>
  <w:style w:type="character" w:customStyle="1" w:styleId="IntenseQuoteChar">
    <w:name w:val="Intense Quote Char"/>
    <w:basedOn w:val="DefaultParagraphFont"/>
    <w:link w:val="IntenseQuote"/>
    <w:uiPriority w:val="30"/>
    <w:rPr>
      <w:i/>
      <w:iCs/>
      <w:color w:val="2f5395" w:themeColor="accent1" w:themeShade="bf"/>
    </w:rPr>
  </w:style>
  <w:style w:type="character" w:styleId="IntenseReference">
    <w:name w:val="Intense Reference"/>
    <w:basedOn w:val="DefaultParagraphFont"/>
    <w:uiPriority w:val="32"/>
    <w:qFormat w:val="on"/>
    <w:rPr>
      <w:b/>
      <w:bCs/>
      <w:smallCaps/>
      <w:color w:val="2f5395" w:themeColor="accent1" w:themeShade="bf"/>
      <w:spacing w:val="5"/>
    </w:rPr>
  </w:style>
  <w:style w:type="paragraph" w:styleId="Header">
    <w:name w:val="Header"/>
    <w:basedOn w:val="Normal"/>
    <w:link w:val="HeaderChar"/>
    <w:uiPriority w:val="99"/>
    <w:unhideWhenUsed w:val="on"/>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0"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TotalTime>
  <Pages>14</Pages>
  <Words>4126</Words>
  <Characters>23519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Yemurai S Maribha</dc:creator>
  <cp:lastModifiedBy>makanaka makonese</cp:lastModifiedB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6184c9fd-f13c-4dba-a32e-cdfd707a1e42</vt:lpwstr>
  </property>
</Properties>
</file>