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4B" w:rsidRPr="00366B7A" w:rsidRDefault="002A274B" w:rsidP="002A274B">
      <w:pPr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>IN THE LABOUR COURT OF ZIMBABWE      JUDGMENT NO. LC/H/</w:t>
      </w:r>
      <w:r w:rsidR="00943916">
        <w:rPr>
          <w:rFonts w:cs="Tahoma"/>
          <w:b/>
        </w:rPr>
        <w:t>652</w:t>
      </w:r>
      <w:bookmarkStart w:id="0" w:name="_GoBack"/>
      <w:bookmarkEnd w:id="0"/>
      <w:r w:rsidRPr="00366B7A">
        <w:rPr>
          <w:rFonts w:cs="Tahoma"/>
          <w:b/>
        </w:rPr>
        <w:t>/2016</w:t>
      </w:r>
    </w:p>
    <w:p w:rsidR="002A274B" w:rsidRPr="00366B7A" w:rsidRDefault="002A274B" w:rsidP="002A274B">
      <w:pPr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 xml:space="preserve">HARARE, </w:t>
      </w:r>
      <w:r>
        <w:rPr>
          <w:rFonts w:cs="Tahoma"/>
          <w:b/>
        </w:rPr>
        <w:t xml:space="preserve">27 MAY </w:t>
      </w:r>
      <w:r w:rsidRPr="00366B7A">
        <w:rPr>
          <w:rFonts w:cs="Tahoma"/>
          <w:b/>
        </w:rPr>
        <w:t>2016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  </w:t>
      </w:r>
      <w:r>
        <w:rPr>
          <w:rFonts w:cs="Tahoma"/>
          <w:b/>
        </w:rPr>
        <w:tab/>
      </w:r>
      <w:r w:rsidRPr="00366B7A">
        <w:rPr>
          <w:rFonts w:cs="Tahoma"/>
          <w:b/>
        </w:rPr>
        <w:t>CASE NO. LC/</w:t>
      </w:r>
      <w:r>
        <w:rPr>
          <w:rFonts w:cs="Tahoma"/>
          <w:b/>
        </w:rPr>
        <w:t>H/107/15</w:t>
      </w:r>
    </w:p>
    <w:p w:rsidR="002A274B" w:rsidRPr="00366B7A" w:rsidRDefault="002A274B" w:rsidP="002A274B">
      <w:pPr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>AND</w:t>
      </w:r>
      <w:r w:rsidR="00943916">
        <w:rPr>
          <w:rFonts w:cs="Tahoma"/>
          <w:b/>
        </w:rPr>
        <w:t xml:space="preserve"> 21 OCTOBER</w:t>
      </w:r>
      <w:r w:rsidRPr="00366B7A">
        <w:rPr>
          <w:rFonts w:cs="Tahoma"/>
          <w:b/>
        </w:rPr>
        <w:t xml:space="preserve"> 2016</w:t>
      </w:r>
    </w:p>
    <w:p w:rsidR="002A274B" w:rsidRPr="00366B7A" w:rsidRDefault="002A274B" w:rsidP="002A274B">
      <w:pPr>
        <w:spacing w:line="360" w:lineRule="auto"/>
        <w:jc w:val="both"/>
        <w:rPr>
          <w:rFonts w:cs="Tahoma"/>
        </w:rPr>
      </w:pPr>
      <w:r w:rsidRPr="00366B7A">
        <w:rPr>
          <w:rFonts w:cs="Tahoma"/>
        </w:rPr>
        <w:t>In the matter between:-</w:t>
      </w:r>
    </w:p>
    <w:p w:rsidR="002A274B" w:rsidRPr="00366B7A" w:rsidRDefault="002A274B" w:rsidP="002A274B">
      <w:pPr>
        <w:spacing w:line="360" w:lineRule="auto"/>
        <w:jc w:val="both"/>
        <w:rPr>
          <w:rFonts w:cs="Tahoma"/>
        </w:rPr>
      </w:pPr>
    </w:p>
    <w:p w:rsidR="002A274B" w:rsidRPr="00366B7A" w:rsidRDefault="004E665A" w:rsidP="002A274B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ROLEX (PVT) LTD</w:t>
      </w:r>
      <w:r w:rsidR="002A274B" w:rsidRPr="00366B7A">
        <w:rPr>
          <w:rFonts w:cs="Tahoma"/>
          <w:b/>
        </w:rPr>
        <w:tab/>
      </w:r>
      <w:r w:rsidR="002A274B" w:rsidRPr="00366B7A">
        <w:rPr>
          <w:rFonts w:cs="Tahoma"/>
          <w:b/>
        </w:rPr>
        <w:tab/>
      </w:r>
      <w:r w:rsidR="002A274B" w:rsidRPr="00366B7A">
        <w:rPr>
          <w:rFonts w:cs="Tahoma"/>
          <w:b/>
        </w:rPr>
        <w:tab/>
      </w:r>
      <w:r w:rsidR="002A274B" w:rsidRPr="00366B7A">
        <w:rPr>
          <w:rFonts w:cs="Tahoma"/>
          <w:b/>
        </w:rPr>
        <w:tab/>
        <w:t>Appellant</w:t>
      </w:r>
    </w:p>
    <w:p w:rsidR="002A274B" w:rsidRPr="00366B7A" w:rsidRDefault="002A274B" w:rsidP="002A274B">
      <w:pPr>
        <w:spacing w:line="360" w:lineRule="auto"/>
        <w:jc w:val="both"/>
        <w:rPr>
          <w:rFonts w:cs="Tahoma"/>
        </w:rPr>
      </w:pPr>
      <w:r w:rsidRPr="00366B7A">
        <w:rPr>
          <w:rFonts w:cs="Tahoma"/>
        </w:rPr>
        <w:t>And</w:t>
      </w:r>
    </w:p>
    <w:p w:rsidR="002A274B" w:rsidRPr="00366B7A" w:rsidRDefault="004E665A" w:rsidP="002A274B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ALICE NDHLELA</w:t>
      </w:r>
      <w:r w:rsidR="002A274B" w:rsidRPr="00366B7A">
        <w:rPr>
          <w:rFonts w:cs="Tahoma"/>
          <w:b/>
        </w:rPr>
        <w:tab/>
      </w:r>
      <w:r w:rsidR="002A274B" w:rsidRPr="00366B7A">
        <w:rPr>
          <w:rFonts w:cs="Tahoma"/>
          <w:b/>
        </w:rPr>
        <w:tab/>
      </w:r>
      <w:r w:rsidR="002A274B" w:rsidRPr="00366B7A">
        <w:rPr>
          <w:rFonts w:cs="Tahoma"/>
          <w:b/>
        </w:rPr>
        <w:tab/>
      </w:r>
      <w:r w:rsidR="002A274B" w:rsidRPr="00366B7A">
        <w:rPr>
          <w:rFonts w:cs="Tahoma"/>
          <w:b/>
        </w:rPr>
        <w:tab/>
        <w:t>Respondent</w:t>
      </w:r>
    </w:p>
    <w:p w:rsidR="002A274B" w:rsidRPr="00366B7A" w:rsidRDefault="002A274B" w:rsidP="002A274B">
      <w:pPr>
        <w:spacing w:line="360" w:lineRule="auto"/>
        <w:jc w:val="both"/>
        <w:rPr>
          <w:rFonts w:cs="Tahoma"/>
          <w:b/>
        </w:rPr>
      </w:pPr>
    </w:p>
    <w:p w:rsidR="002A274B" w:rsidRPr="00366B7A" w:rsidRDefault="002A274B" w:rsidP="002A274B">
      <w:pPr>
        <w:spacing w:line="360" w:lineRule="auto"/>
        <w:jc w:val="both"/>
        <w:rPr>
          <w:rFonts w:cs="Tahoma"/>
        </w:rPr>
      </w:pPr>
      <w:r w:rsidRPr="00366B7A">
        <w:rPr>
          <w:rFonts w:cs="Tahoma"/>
        </w:rPr>
        <w:t>Before Honourable R.F. Manyangadze, J</w:t>
      </w:r>
    </w:p>
    <w:p w:rsidR="002A274B" w:rsidRPr="00366B7A" w:rsidRDefault="002A274B" w:rsidP="002A274B">
      <w:pPr>
        <w:spacing w:line="360" w:lineRule="auto"/>
        <w:jc w:val="both"/>
        <w:rPr>
          <w:rFonts w:cs="Tahoma"/>
        </w:rPr>
      </w:pPr>
      <w:r w:rsidRPr="00366B7A">
        <w:rPr>
          <w:rFonts w:cs="Tahoma"/>
        </w:rPr>
        <w:tab/>
      </w:r>
      <w:r w:rsidRPr="00366B7A">
        <w:rPr>
          <w:rFonts w:cs="Tahoma"/>
        </w:rPr>
        <w:tab/>
      </w:r>
      <w:r w:rsidRPr="00366B7A">
        <w:rPr>
          <w:rFonts w:cs="Tahoma"/>
        </w:rPr>
        <w:tab/>
      </w:r>
    </w:p>
    <w:p w:rsidR="002A274B" w:rsidRPr="00366B7A" w:rsidRDefault="002A274B" w:rsidP="007402EE">
      <w:pPr>
        <w:spacing w:line="360" w:lineRule="auto"/>
        <w:ind w:left="2880" w:hanging="2880"/>
        <w:jc w:val="both"/>
        <w:rPr>
          <w:rFonts w:cs="Tahoma"/>
          <w:b/>
        </w:rPr>
      </w:pPr>
      <w:r w:rsidRPr="00366B7A">
        <w:rPr>
          <w:rFonts w:cs="Tahoma"/>
          <w:b/>
        </w:rPr>
        <w:t xml:space="preserve">For Appellant </w:t>
      </w:r>
      <w:r w:rsidR="007402EE">
        <w:rPr>
          <w:rFonts w:cs="Tahoma"/>
          <w:b/>
        </w:rPr>
        <w:tab/>
      </w:r>
      <w:r w:rsidR="004E665A">
        <w:rPr>
          <w:rFonts w:cs="Tahoma"/>
          <w:b/>
        </w:rPr>
        <w:t>Ms S Nyagura (Legal Practitioner)</w:t>
      </w:r>
      <w:r w:rsidR="007402EE">
        <w:rPr>
          <w:rFonts w:cs="Tahoma"/>
          <w:b/>
        </w:rPr>
        <w:t xml:space="preserve"> with Mr T Marume (Legal Practitioner)</w:t>
      </w:r>
      <w:r w:rsidRPr="00366B7A">
        <w:rPr>
          <w:rFonts w:cs="Tahoma"/>
          <w:b/>
        </w:rPr>
        <w:tab/>
      </w:r>
      <w:r w:rsidRPr="00366B7A">
        <w:rPr>
          <w:rFonts w:cs="Tahoma"/>
          <w:b/>
        </w:rPr>
        <w:tab/>
      </w:r>
    </w:p>
    <w:p w:rsidR="002A274B" w:rsidRPr="00366B7A" w:rsidRDefault="002A274B" w:rsidP="002A274B">
      <w:pPr>
        <w:pStyle w:val="NoSpacing"/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>For Respondent</w:t>
      </w:r>
      <w:r w:rsidR="001A6987">
        <w:rPr>
          <w:rFonts w:cs="Tahoma"/>
          <w:b/>
        </w:rPr>
        <w:tab/>
      </w:r>
      <w:r w:rsidR="001A6987">
        <w:rPr>
          <w:rFonts w:cs="Tahoma"/>
          <w:b/>
        </w:rPr>
        <w:tab/>
      </w:r>
      <w:proofErr w:type="spellStart"/>
      <w:r w:rsidR="001A6987">
        <w:rPr>
          <w:rFonts w:cs="Tahoma"/>
          <w:b/>
        </w:rPr>
        <w:t>Mr</w:t>
      </w:r>
      <w:proofErr w:type="spellEnd"/>
      <w:r w:rsidR="001A6987">
        <w:rPr>
          <w:rFonts w:cs="Tahoma"/>
          <w:b/>
        </w:rPr>
        <w:t xml:space="preserve"> B </w:t>
      </w:r>
      <w:proofErr w:type="spellStart"/>
      <w:r w:rsidR="001A6987">
        <w:rPr>
          <w:rFonts w:cs="Tahoma"/>
          <w:b/>
        </w:rPr>
        <w:t>Pes</w:t>
      </w:r>
      <w:r w:rsidR="007402EE">
        <w:rPr>
          <w:rFonts w:cs="Tahoma"/>
          <w:b/>
        </w:rPr>
        <w:t>anai</w:t>
      </w:r>
      <w:proofErr w:type="spellEnd"/>
      <w:r w:rsidR="007402EE">
        <w:rPr>
          <w:rFonts w:cs="Tahoma"/>
          <w:b/>
        </w:rPr>
        <w:t xml:space="preserve"> (Legal Practitioner</w:t>
      </w:r>
      <w:r w:rsidRPr="00366B7A">
        <w:rPr>
          <w:rFonts w:cs="Tahoma"/>
        </w:rPr>
        <w:tab/>
      </w:r>
      <w:r w:rsidRPr="00366B7A">
        <w:rPr>
          <w:rFonts w:cs="Tahoma"/>
        </w:rPr>
        <w:tab/>
      </w:r>
    </w:p>
    <w:p w:rsidR="002A274B" w:rsidRPr="00366B7A" w:rsidRDefault="002A274B" w:rsidP="002A274B">
      <w:pPr>
        <w:pStyle w:val="NoSpacing"/>
        <w:rPr>
          <w:rFonts w:cs="Tahoma"/>
          <w:b/>
        </w:rPr>
      </w:pPr>
      <w:r w:rsidRPr="00366B7A">
        <w:rPr>
          <w:rFonts w:cs="Tahoma"/>
          <w:b/>
        </w:rPr>
        <w:tab/>
      </w:r>
      <w:r w:rsidRPr="00366B7A">
        <w:rPr>
          <w:rFonts w:cs="Tahoma"/>
          <w:b/>
        </w:rPr>
        <w:tab/>
      </w:r>
      <w:r w:rsidRPr="00366B7A">
        <w:rPr>
          <w:rFonts w:cs="Tahoma"/>
          <w:b/>
        </w:rPr>
        <w:tab/>
      </w:r>
      <w:r w:rsidRPr="00366B7A">
        <w:rPr>
          <w:rFonts w:cs="Tahoma"/>
          <w:b/>
        </w:rPr>
        <w:tab/>
      </w:r>
      <w:r w:rsidRPr="00366B7A">
        <w:rPr>
          <w:rFonts w:cs="Tahoma"/>
          <w:b/>
        </w:rPr>
        <w:tab/>
      </w:r>
    </w:p>
    <w:p w:rsidR="002A274B" w:rsidRPr="00366B7A" w:rsidRDefault="002A274B" w:rsidP="002A274B">
      <w:pPr>
        <w:pStyle w:val="NoSpacing"/>
        <w:rPr>
          <w:rFonts w:cs="Tahoma"/>
          <w:b/>
        </w:rPr>
      </w:pPr>
    </w:p>
    <w:p w:rsidR="002A274B" w:rsidRPr="00366B7A" w:rsidRDefault="002A274B" w:rsidP="002A274B">
      <w:pPr>
        <w:spacing w:line="360" w:lineRule="auto"/>
        <w:jc w:val="both"/>
        <w:rPr>
          <w:rFonts w:cs="Tahoma"/>
          <w:b/>
        </w:rPr>
      </w:pPr>
      <w:r w:rsidRPr="00366B7A">
        <w:rPr>
          <w:rFonts w:cs="Tahoma"/>
          <w:b/>
        </w:rPr>
        <w:t>MANYANGADZE, J:</w:t>
      </w:r>
    </w:p>
    <w:p w:rsidR="00C64732" w:rsidRDefault="00C64732" w:rsidP="009C0242">
      <w:pPr>
        <w:spacing w:line="360" w:lineRule="auto"/>
        <w:jc w:val="both"/>
      </w:pPr>
    </w:p>
    <w:p w:rsidR="009C0242" w:rsidRDefault="009C0242" w:rsidP="009C0242">
      <w:pPr>
        <w:spacing w:line="360" w:lineRule="auto"/>
        <w:jc w:val="both"/>
      </w:pPr>
      <w:r>
        <w:tab/>
        <w:t>This is an appeal against an arbitral award handed down on 20 January 2015, in terms</w:t>
      </w:r>
      <w:r w:rsidR="00476CCE">
        <w:t xml:space="preserve"> of which the respondent was award</w:t>
      </w:r>
      <w:r w:rsidR="00565A71">
        <w:t>ed</w:t>
      </w:r>
      <w:r w:rsidR="00476CCE">
        <w:t xml:space="preserve"> damages for loss of employment.</w:t>
      </w:r>
    </w:p>
    <w:p w:rsidR="00476CCE" w:rsidRDefault="00476CCE" w:rsidP="00A869B4">
      <w:pPr>
        <w:jc w:val="both"/>
      </w:pPr>
    </w:p>
    <w:p w:rsidR="00476CCE" w:rsidRDefault="00476CCE" w:rsidP="009C0242">
      <w:pPr>
        <w:spacing w:line="360" w:lineRule="auto"/>
        <w:jc w:val="both"/>
      </w:pPr>
      <w:r>
        <w:tab/>
        <w:t>The quantification award followed</w:t>
      </w:r>
      <w:r w:rsidR="005F6526">
        <w:t xml:space="preserve"> an award handed down on 4 November</w:t>
      </w:r>
      <w:r w:rsidR="00565A71">
        <w:t xml:space="preserve"> 2014</w:t>
      </w:r>
      <w:r w:rsidR="005F6526">
        <w:t xml:space="preserve"> wherein the appellant was ordered to reinstate the respondent, failing which it was to pay her damages in lieu of reinstatement.</w:t>
      </w:r>
    </w:p>
    <w:p w:rsidR="009D172F" w:rsidRDefault="009D172F" w:rsidP="00A869B4">
      <w:pPr>
        <w:jc w:val="both"/>
      </w:pPr>
    </w:p>
    <w:p w:rsidR="009D172F" w:rsidRDefault="009D172F" w:rsidP="009C0242">
      <w:pPr>
        <w:spacing w:line="360" w:lineRule="auto"/>
        <w:jc w:val="both"/>
      </w:pPr>
      <w:r>
        <w:tab/>
        <w:t>The respondent was awarded a total amount of US$36 284 in damages</w:t>
      </w:r>
      <w:r w:rsidR="000E61CB">
        <w:t xml:space="preserve">. The award </w:t>
      </w:r>
      <w:r w:rsidR="00C76D3E">
        <w:t xml:space="preserve">included back pay and benefits for a period of 28 months prior to the effective date of the award, which was </w:t>
      </w:r>
      <w:r w:rsidR="00622C79">
        <w:t>7 November 2014.  The damage</w:t>
      </w:r>
      <w:r w:rsidR="00565A71">
        <w:t>s for loss of employment were fo</w:t>
      </w:r>
      <w:r w:rsidR="00622C79">
        <w:t>r a period of 24 months from November 2014.</w:t>
      </w:r>
    </w:p>
    <w:p w:rsidR="00622C79" w:rsidRDefault="00622C79" w:rsidP="00A869B4">
      <w:pPr>
        <w:jc w:val="both"/>
      </w:pPr>
    </w:p>
    <w:p w:rsidR="00622C79" w:rsidRDefault="001B32C3" w:rsidP="009C0242">
      <w:pPr>
        <w:spacing w:line="360" w:lineRule="auto"/>
        <w:jc w:val="both"/>
      </w:pPr>
      <w:r>
        <w:tab/>
        <w:t xml:space="preserve">The appellant took issue with both aspects of the award, and lodged an appeal on the following grounds: </w:t>
      </w:r>
    </w:p>
    <w:p w:rsidR="000F23F5" w:rsidRDefault="000F23F5" w:rsidP="009C0242">
      <w:pPr>
        <w:spacing w:line="360" w:lineRule="auto"/>
        <w:jc w:val="both"/>
      </w:pPr>
    </w:p>
    <w:p w:rsidR="000F23F5" w:rsidRPr="00A869B4" w:rsidRDefault="00A11651" w:rsidP="005916BA">
      <w:pPr>
        <w:spacing w:line="276" w:lineRule="auto"/>
        <w:ind w:left="1440" w:hanging="360"/>
        <w:jc w:val="both"/>
        <w:rPr>
          <w:sz w:val="22"/>
          <w:szCs w:val="22"/>
        </w:rPr>
      </w:pPr>
      <w:r w:rsidRPr="00A869B4">
        <w:rPr>
          <w:sz w:val="22"/>
          <w:szCs w:val="22"/>
        </w:rPr>
        <w:lastRenderedPageBreak/>
        <w:t>“1.</w:t>
      </w:r>
      <w:r w:rsidRPr="00A869B4">
        <w:rPr>
          <w:sz w:val="22"/>
          <w:szCs w:val="22"/>
        </w:rPr>
        <w:tab/>
      </w:r>
      <w:r w:rsidR="00213D6F" w:rsidRPr="00A869B4">
        <w:rPr>
          <w:sz w:val="22"/>
          <w:szCs w:val="22"/>
        </w:rPr>
        <w:t xml:space="preserve">The Arbitrator grossly erred and seriously misdirected himself on a question of law in disregarding the Supreme Court decision in </w:t>
      </w:r>
      <w:r w:rsidR="00213D6F" w:rsidRPr="0080315F">
        <w:rPr>
          <w:i/>
          <w:sz w:val="22"/>
          <w:szCs w:val="22"/>
        </w:rPr>
        <w:t>Ruturi</w:t>
      </w:r>
      <w:r w:rsidR="00213D6F" w:rsidRPr="00A869B4">
        <w:rPr>
          <w:sz w:val="22"/>
          <w:szCs w:val="22"/>
        </w:rPr>
        <w:t xml:space="preserve"> v </w:t>
      </w:r>
      <w:r w:rsidR="00213D6F" w:rsidRPr="00552428">
        <w:rPr>
          <w:i/>
          <w:sz w:val="22"/>
          <w:szCs w:val="22"/>
        </w:rPr>
        <w:t>Heritage Clothing (Pvt) Ltd</w:t>
      </w:r>
      <w:r w:rsidR="00213D6F" w:rsidRPr="00A869B4">
        <w:rPr>
          <w:sz w:val="22"/>
          <w:szCs w:val="22"/>
        </w:rPr>
        <w:t xml:space="preserve"> 1994 (2) ZLR 374 (S) by quantifying damages without hearing oral evidence.</w:t>
      </w:r>
    </w:p>
    <w:p w:rsidR="00213D6F" w:rsidRPr="00A869B4" w:rsidRDefault="00213D6F" w:rsidP="005916B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A869B4">
        <w:rPr>
          <w:sz w:val="22"/>
          <w:szCs w:val="22"/>
        </w:rPr>
        <w:t>The Arbitrator grossly erred and misdirected himself on the law by awarding the respondent back pay whereas the order for reinstatement was that the respondent be reinstated with effect from 7</w:t>
      </w:r>
      <w:r w:rsidRPr="00A869B4">
        <w:rPr>
          <w:sz w:val="22"/>
          <w:szCs w:val="22"/>
          <w:vertAlign w:val="superscript"/>
        </w:rPr>
        <w:t>th</w:t>
      </w:r>
      <w:r w:rsidRPr="00A869B4">
        <w:rPr>
          <w:sz w:val="22"/>
          <w:szCs w:val="22"/>
        </w:rPr>
        <w:t xml:space="preserve"> November 2014, thereby not awarding the respondent any back pays.</w:t>
      </w:r>
    </w:p>
    <w:p w:rsidR="00213D6F" w:rsidRPr="00A869B4" w:rsidRDefault="001E3F83" w:rsidP="005916B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A869B4">
        <w:rPr>
          <w:sz w:val="22"/>
          <w:szCs w:val="22"/>
        </w:rPr>
        <w:t>The Arbitrator grossly erred at law and on the facts and seriously misdirected himself in failing to give a determination on t</w:t>
      </w:r>
      <w:r w:rsidR="00C76696" w:rsidRPr="00A869B4">
        <w:rPr>
          <w:sz w:val="22"/>
          <w:szCs w:val="22"/>
        </w:rPr>
        <w:t>h</w:t>
      </w:r>
      <w:r w:rsidRPr="00A869B4">
        <w:rPr>
          <w:sz w:val="22"/>
          <w:szCs w:val="22"/>
        </w:rPr>
        <w:t>e preliminary objection by the appellant that a cons</w:t>
      </w:r>
      <w:r w:rsidR="00C76696" w:rsidRPr="00A869B4">
        <w:rPr>
          <w:sz w:val="22"/>
          <w:szCs w:val="22"/>
        </w:rPr>
        <w:t xml:space="preserve">ultant has no </w:t>
      </w:r>
      <w:r w:rsidR="00C76696" w:rsidRPr="00794F9F">
        <w:rPr>
          <w:i/>
          <w:sz w:val="22"/>
          <w:szCs w:val="22"/>
        </w:rPr>
        <w:t>locus standi</w:t>
      </w:r>
      <w:r w:rsidR="00C76696" w:rsidRPr="00A869B4">
        <w:rPr>
          <w:sz w:val="22"/>
          <w:szCs w:val="22"/>
        </w:rPr>
        <w:t xml:space="preserve"> to represent litigants before Arbitrators.”</w:t>
      </w:r>
    </w:p>
    <w:p w:rsidR="00C76696" w:rsidRDefault="00C76696" w:rsidP="005916BA">
      <w:pPr>
        <w:jc w:val="both"/>
      </w:pPr>
    </w:p>
    <w:p w:rsidR="00C76696" w:rsidRDefault="00C76696" w:rsidP="00CE4095">
      <w:pPr>
        <w:spacing w:line="360" w:lineRule="auto"/>
        <w:ind w:firstLine="720"/>
        <w:jc w:val="both"/>
      </w:pPr>
      <w:r>
        <w:t xml:space="preserve">The point taken by </w:t>
      </w:r>
      <w:r w:rsidR="005E1032">
        <w:t>the appellant, in the first ground of appeal</w:t>
      </w:r>
      <w:r w:rsidR="007E35EE">
        <w:t>,</w:t>
      </w:r>
      <w:r w:rsidR="005E1032">
        <w:t xml:space="preserve"> is that the arbitrator heard no evidence</w:t>
      </w:r>
      <w:r w:rsidR="00840B25">
        <w:t>, on the basis of which he awarded 24 months damages for loss of employment.  All he relied on were submissions mad</w:t>
      </w:r>
      <w:r w:rsidR="00A1190D">
        <w:t>e by the</w:t>
      </w:r>
      <w:r w:rsidR="004D050D">
        <w:t xml:space="preserve"> </w:t>
      </w:r>
      <w:r w:rsidR="00140749">
        <w:t>parties’ representatives</w:t>
      </w:r>
      <w:r w:rsidR="004D050D">
        <w:t>.  No evidence was adduced from the parties them</w:t>
      </w:r>
      <w:r w:rsidR="00140749">
        <w:t xml:space="preserve">selves, to guide the arbitrator in ascertaining the appropriate period </w:t>
      </w:r>
      <w:r w:rsidR="005E1537">
        <w:t xml:space="preserve">for which to award damages.  On the need to adduce evidence, the appellant referred the court to the cases of </w:t>
      </w:r>
      <w:r w:rsidR="005E1537" w:rsidRPr="00916B00">
        <w:rPr>
          <w:i/>
        </w:rPr>
        <w:t xml:space="preserve">Ruturi </w:t>
      </w:r>
      <w:r w:rsidR="005E1537">
        <w:t xml:space="preserve">v </w:t>
      </w:r>
      <w:r w:rsidR="005E1537" w:rsidRPr="00916B00">
        <w:rPr>
          <w:i/>
        </w:rPr>
        <w:t>Heritage Clothi</w:t>
      </w:r>
      <w:r w:rsidR="00E87B57" w:rsidRPr="00916B00">
        <w:rPr>
          <w:i/>
        </w:rPr>
        <w:t>ng (Pvt) Ltd</w:t>
      </w:r>
      <w:r w:rsidR="00E87B57">
        <w:t xml:space="preserve"> 1994 (2) ZLR 374 (S) </w:t>
      </w:r>
      <w:r w:rsidR="00916B00">
        <w:t xml:space="preserve">and </w:t>
      </w:r>
      <w:proofErr w:type="spellStart"/>
      <w:r w:rsidR="00916B00" w:rsidRPr="00916B00">
        <w:rPr>
          <w:i/>
        </w:rPr>
        <w:t>Redstar</w:t>
      </w:r>
      <w:proofErr w:type="spellEnd"/>
      <w:r w:rsidR="00916B00" w:rsidRPr="00916B00">
        <w:rPr>
          <w:i/>
        </w:rPr>
        <w:t xml:space="preserve"> Wholesalers</w:t>
      </w:r>
      <w:r w:rsidR="00916B00">
        <w:t xml:space="preserve"> v </w:t>
      </w:r>
      <w:proofErr w:type="spellStart"/>
      <w:r w:rsidR="00107796" w:rsidRPr="00107796">
        <w:rPr>
          <w:i/>
        </w:rPr>
        <w:t>Mabika</w:t>
      </w:r>
      <w:proofErr w:type="spellEnd"/>
      <w:r w:rsidR="00CE4095">
        <w:rPr>
          <w:i/>
        </w:rPr>
        <w:t xml:space="preserve"> </w:t>
      </w:r>
      <w:r w:rsidR="00916B00">
        <w:t>SC 52/05, among others.</w:t>
      </w:r>
    </w:p>
    <w:p w:rsidR="00CE4095" w:rsidRDefault="00CE4095" w:rsidP="00E97333">
      <w:pPr>
        <w:jc w:val="both"/>
      </w:pPr>
    </w:p>
    <w:p w:rsidR="00CE4095" w:rsidRDefault="00CE4095" w:rsidP="00C76696">
      <w:pPr>
        <w:spacing w:line="360" w:lineRule="auto"/>
        <w:jc w:val="both"/>
      </w:pPr>
      <w:r>
        <w:tab/>
        <w:t xml:space="preserve">In </w:t>
      </w:r>
      <w:r w:rsidR="000B19AD" w:rsidRPr="00754AE5">
        <w:rPr>
          <w:i/>
        </w:rPr>
        <w:t xml:space="preserve">Ruturi </w:t>
      </w:r>
      <w:r w:rsidR="000B19AD">
        <w:t xml:space="preserve">v </w:t>
      </w:r>
      <w:r w:rsidR="000B19AD" w:rsidRPr="00754AE5">
        <w:rPr>
          <w:i/>
        </w:rPr>
        <w:t>Heritage Clothing</w:t>
      </w:r>
      <w:r w:rsidR="000B19AD">
        <w:t xml:space="preserve">, </w:t>
      </w:r>
      <w:r w:rsidR="000B19AD" w:rsidRPr="00754AE5">
        <w:rPr>
          <w:i/>
        </w:rPr>
        <w:t>supra</w:t>
      </w:r>
      <w:r w:rsidR="00D5680D">
        <w:t xml:space="preserve">, GUBBAY CJ set aside an award of damages, holding that; </w:t>
      </w:r>
    </w:p>
    <w:p w:rsidR="00664BEB" w:rsidRDefault="00664BEB" w:rsidP="00E97333">
      <w:pPr>
        <w:jc w:val="both"/>
      </w:pPr>
    </w:p>
    <w:p w:rsidR="00664BEB" w:rsidRPr="00754AE5" w:rsidRDefault="00664BEB" w:rsidP="00754AE5">
      <w:pPr>
        <w:spacing w:line="276" w:lineRule="auto"/>
        <w:ind w:left="720"/>
        <w:jc w:val="both"/>
        <w:rPr>
          <w:sz w:val="22"/>
          <w:szCs w:val="22"/>
        </w:rPr>
      </w:pPr>
      <w:r w:rsidRPr="00754AE5">
        <w:rPr>
          <w:sz w:val="22"/>
          <w:szCs w:val="22"/>
        </w:rPr>
        <w:t>“For these reasons, the award must be set aside, for to quantify damages, or indeed make any finding, on no evidence</w:t>
      </w:r>
      <w:r w:rsidR="007D2C89" w:rsidRPr="00754AE5">
        <w:rPr>
          <w:sz w:val="22"/>
          <w:szCs w:val="22"/>
        </w:rPr>
        <w:t xml:space="preserve">, is to err in law.  See </w:t>
      </w:r>
      <w:r w:rsidR="007D2C89" w:rsidRPr="00754AE5">
        <w:rPr>
          <w:i/>
          <w:sz w:val="22"/>
          <w:szCs w:val="22"/>
        </w:rPr>
        <w:t xml:space="preserve">R </w:t>
      </w:r>
      <w:r w:rsidR="007D2C89" w:rsidRPr="00754AE5">
        <w:rPr>
          <w:sz w:val="22"/>
          <w:szCs w:val="22"/>
        </w:rPr>
        <w:t xml:space="preserve">v </w:t>
      </w:r>
      <w:r w:rsidR="007D2C89" w:rsidRPr="00754AE5">
        <w:rPr>
          <w:i/>
          <w:sz w:val="22"/>
          <w:szCs w:val="22"/>
        </w:rPr>
        <w:t>Birmingham Compensation Appeal Tribunal</w:t>
      </w:r>
      <w:r w:rsidR="007D2C89" w:rsidRPr="00754AE5">
        <w:rPr>
          <w:sz w:val="22"/>
          <w:szCs w:val="22"/>
        </w:rPr>
        <w:t>, Ex p Road Haulage Executive [1952</w:t>
      </w:r>
      <w:r w:rsidR="00E905E1" w:rsidRPr="00754AE5">
        <w:rPr>
          <w:sz w:val="22"/>
          <w:szCs w:val="22"/>
        </w:rPr>
        <w:t xml:space="preserve">] 2 All ER 100 (QB) at 101F; Wade Administrative Law 6 ed at p 320; de Smith Judicial </w:t>
      </w:r>
      <w:r w:rsidR="00106EDE" w:rsidRPr="00754AE5">
        <w:rPr>
          <w:sz w:val="22"/>
          <w:szCs w:val="22"/>
        </w:rPr>
        <w:t>Review of Aministrative Action 4 ed at p 133.”</w:t>
      </w:r>
    </w:p>
    <w:p w:rsidR="00DF6C40" w:rsidRDefault="00DF6C40" w:rsidP="00E97333">
      <w:pPr>
        <w:jc w:val="both"/>
      </w:pPr>
    </w:p>
    <w:p w:rsidR="00DF6C40" w:rsidRDefault="0004358A" w:rsidP="00C76696">
      <w:pPr>
        <w:spacing w:line="360" w:lineRule="auto"/>
        <w:jc w:val="both"/>
      </w:pPr>
      <w:r>
        <w:tab/>
        <w:t>At the hearing of the matter, the respondent conceded there was</w:t>
      </w:r>
      <w:r w:rsidR="008B5DC6">
        <w:t xml:space="preserve"> need to adduce evidence, especially on the period it would take respondent to find alternative employment.  This is a cruci</w:t>
      </w:r>
      <w:r w:rsidR="00DD49C3">
        <w:t xml:space="preserve">al aspect of the </w:t>
      </w:r>
      <w:r w:rsidR="007F271E">
        <w:t>evidence</w:t>
      </w:r>
      <w:r w:rsidR="00DD49C3">
        <w:t xml:space="preserve"> on damages, as it enables the court to assess the period that should be covered by the award of damages.  Ms </w:t>
      </w:r>
      <w:r w:rsidR="00DD49C3" w:rsidRPr="00074806">
        <w:rPr>
          <w:i/>
        </w:rPr>
        <w:t>Nyagur</w:t>
      </w:r>
      <w:r w:rsidR="007F271E" w:rsidRPr="00074806">
        <w:rPr>
          <w:i/>
        </w:rPr>
        <w:t>a</w:t>
      </w:r>
      <w:r w:rsidR="007F271E">
        <w:t xml:space="preserve">, for the appellant, rightly submitted that in the light of this </w:t>
      </w:r>
      <w:r w:rsidR="00074806">
        <w:t>concession</w:t>
      </w:r>
      <w:r w:rsidR="00795F8D">
        <w:t xml:space="preserve"> the first ground of app</w:t>
      </w:r>
      <w:r w:rsidR="00536036">
        <w:t>eal should be allowed.</w:t>
      </w:r>
    </w:p>
    <w:p w:rsidR="00536036" w:rsidRDefault="00536036" w:rsidP="00754AE5">
      <w:pPr>
        <w:jc w:val="both"/>
      </w:pPr>
    </w:p>
    <w:p w:rsidR="00536036" w:rsidRDefault="00536036" w:rsidP="00C76696">
      <w:pPr>
        <w:spacing w:line="360" w:lineRule="auto"/>
        <w:jc w:val="both"/>
      </w:pPr>
      <w:r>
        <w:lastRenderedPageBreak/>
        <w:tab/>
        <w:t xml:space="preserve">The second ground of appeal is concerned with the award of back pay.  The arbitrator, </w:t>
      </w:r>
      <w:r w:rsidR="00F12545">
        <w:t xml:space="preserve">as </w:t>
      </w:r>
      <w:r w:rsidR="00184304">
        <w:t>indicated</w:t>
      </w:r>
      <w:r w:rsidR="00514D84">
        <w:t>,</w:t>
      </w:r>
      <w:r w:rsidR="00184304">
        <w:t xml:space="preserve"> a</w:t>
      </w:r>
      <w:r w:rsidR="00F12545">
        <w:t>warded back pay dating back to 28 months from November 2014.  This</w:t>
      </w:r>
      <w:r w:rsidR="00F766EA">
        <w:t xml:space="preserve"> yielded a total amount of US$16 800 </w:t>
      </w:r>
      <w:r w:rsidR="00171482">
        <w:t>back pay</w:t>
      </w:r>
      <w:r w:rsidR="00F766EA">
        <w:t>.</w:t>
      </w:r>
    </w:p>
    <w:p w:rsidR="00BF7734" w:rsidRDefault="00BF7734" w:rsidP="0084141D">
      <w:pPr>
        <w:jc w:val="both"/>
      </w:pPr>
    </w:p>
    <w:p w:rsidR="00BF7734" w:rsidRDefault="00BF7734" w:rsidP="00C76696">
      <w:pPr>
        <w:spacing w:line="360" w:lineRule="auto"/>
        <w:jc w:val="both"/>
      </w:pPr>
      <w:r>
        <w:tab/>
        <w:t>The original award, from which the quantif</w:t>
      </w:r>
      <w:r w:rsidR="00A37F34">
        <w:t>ication stems, reads as follows:</w:t>
      </w:r>
    </w:p>
    <w:p w:rsidR="00A37F34" w:rsidRDefault="00A37F34" w:rsidP="0084141D">
      <w:pPr>
        <w:jc w:val="both"/>
      </w:pPr>
    </w:p>
    <w:p w:rsidR="00A37F34" w:rsidRPr="0084141D" w:rsidRDefault="00A37F34" w:rsidP="0084141D">
      <w:pPr>
        <w:spacing w:line="276" w:lineRule="auto"/>
        <w:jc w:val="both"/>
        <w:rPr>
          <w:sz w:val="22"/>
          <w:szCs w:val="22"/>
        </w:rPr>
      </w:pPr>
      <w:r>
        <w:tab/>
      </w:r>
      <w:r w:rsidR="00E56CC9" w:rsidRPr="0084141D">
        <w:rPr>
          <w:sz w:val="22"/>
          <w:szCs w:val="22"/>
        </w:rPr>
        <w:t>“</w:t>
      </w:r>
      <w:r w:rsidRPr="0084141D">
        <w:rPr>
          <w:sz w:val="22"/>
          <w:szCs w:val="22"/>
        </w:rPr>
        <w:t>WHERE</w:t>
      </w:r>
      <w:r w:rsidR="00BC255C" w:rsidRPr="0084141D">
        <w:rPr>
          <w:sz w:val="22"/>
          <w:szCs w:val="22"/>
        </w:rPr>
        <w:t xml:space="preserve">FORE, after carefully analysing the facts and law, it </w:t>
      </w:r>
      <w:r w:rsidR="00EC0AA3" w:rsidRPr="0084141D">
        <w:rPr>
          <w:sz w:val="22"/>
          <w:szCs w:val="22"/>
        </w:rPr>
        <w:t>i</w:t>
      </w:r>
      <w:r w:rsidR="00BC255C" w:rsidRPr="0084141D">
        <w:rPr>
          <w:sz w:val="22"/>
          <w:szCs w:val="22"/>
        </w:rPr>
        <w:t>s hereby ordered that:-</w:t>
      </w:r>
    </w:p>
    <w:p w:rsidR="00EC0AA3" w:rsidRPr="0084141D" w:rsidRDefault="00EC0AA3" w:rsidP="00E97333">
      <w:pPr>
        <w:jc w:val="both"/>
        <w:rPr>
          <w:sz w:val="22"/>
          <w:szCs w:val="22"/>
        </w:rPr>
      </w:pPr>
    </w:p>
    <w:p w:rsidR="00EC0AA3" w:rsidRPr="0084141D" w:rsidRDefault="00EC0AA3" w:rsidP="0084141D">
      <w:pPr>
        <w:spacing w:line="276" w:lineRule="auto"/>
        <w:jc w:val="both"/>
        <w:rPr>
          <w:sz w:val="22"/>
          <w:szCs w:val="22"/>
        </w:rPr>
      </w:pPr>
      <w:r w:rsidRPr="0084141D">
        <w:rPr>
          <w:sz w:val="22"/>
          <w:szCs w:val="22"/>
        </w:rPr>
        <w:tab/>
        <w:t>The dismissal of the Claimant be and is hereby set aside</w:t>
      </w:r>
      <w:r w:rsidR="0043373B" w:rsidRPr="0084141D">
        <w:rPr>
          <w:sz w:val="22"/>
          <w:szCs w:val="22"/>
        </w:rPr>
        <w:t>.</w:t>
      </w:r>
    </w:p>
    <w:p w:rsidR="00857894" w:rsidRPr="0084141D" w:rsidRDefault="00857894" w:rsidP="0084141D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4141D">
        <w:rPr>
          <w:sz w:val="22"/>
          <w:szCs w:val="22"/>
        </w:rPr>
        <w:t xml:space="preserve">That the Claimant be reinstated with </w:t>
      </w:r>
      <w:r w:rsidR="00F650DC" w:rsidRPr="0084141D">
        <w:rPr>
          <w:sz w:val="22"/>
          <w:szCs w:val="22"/>
        </w:rPr>
        <w:t>effect from 7 November 2014 without loss of salaries and benefits.</w:t>
      </w:r>
    </w:p>
    <w:p w:rsidR="00F650DC" w:rsidRPr="0084141D" w:rsidRDefault="00146804" w:rsidP="0084141D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4141D">
        <w:rPr>
          <w:sz w:val="22"/>
          <w:szCs w:val="22"/>
        </w:rPr>
        <w:t>If reinstatement is no longer tenable</w:t>
      </w:r>
      <w:r w:rsidR="0092488E" w:rsidRPr="0084141D">
        <w:rPr>
          <w:sz w:val="22"/>
          <w:szCs w:val="22"/>
        </w:rPr>
        <w:t xml:space="preserve">, </w:t>
      </w:r>
      <w:r w:rsidR="004845B3" w:rsidRPr="0084141D">
        <w:rPr>
          <w:sz w:val="22"/>
          <w:szCs w:val="22"/>
        </w:rPr>
        <w:t>any party to approach the arbitrator for quantification of damages on or</w:t>
      </w:r>
      <w:r w:rsidR="00E56CC9" w:rsidRPr="0084141D">
        <w:rPr>
          <w:sz w:val="22"/>
          <w:szCs w:val="22"/>
        </w:rPr>
        <w:t xml:space="preserve"> before 30 November 2014.”</w:t>
      </w:r>
    </w:p>
    <w:p w:rsidR="00E4336E" w:rsidRDefault="00E4336E" w:rsidP="0084141D">
      <w:pPr>
        <w:jc w:val="both"/>
      </w:pPr>
    </w:p>
    <w:p w:rsidR="00E4336E" w:rsidRDefault="00342B7B" w:rsidP="00CB091B">
      <w:pPr>
        <w:spacing w:line="360" w:lineRule="auto"/>
        <w:ind w:firstLine="720"/>
        <w:jc w:val="both"/>
      </w:pPr>
      <w:r>
        <w:t>Th</w:t>
      </w:r>
      <w:r w:rsidR="00E4336E">
        <w:t xml:space="preserve">e appellant’s contention is that there was no basis for awarding back pay when the </w:t>
      </w:r>
      <w:r w:rsidR="00B643D6">
        <w:t xml:space="preserve">order for reinstatement was that the respondent </w:t>
      </w:r>
      <w:r w:rsidR="00B03AAF">
        <w:t xml:space="preserve">was to be </w:t>
      </w:r>
      <w:r w:rsidR="00F1671B">
        <w:t xml:space="preserve">reinstated </w:t>
      </w:r>
      <w:r w:rsidR="00F1671B" w:rsidRPr="00A9771A">
        <w:rPr>
          <w:i/>
        </w:rPr>
        <w:t>with effect from 7</w:t>
      </w:r>
      <w:r w:rsidR="00F1671B" w:rsidRPr="00A9771A">
        <w:rPr>
          <w:i/>
          <w:vertAlign w:val="superscript"/>
        </w:rPr>
        <w:t>th</w:t>
      </w:r>
      <w:r w:rsidR="00F1671B" w:rsidRPr="00A9771A">
        <w:rPr>
          <w:i/>
        </w:rPr>
        <w:t xml:space="preserve"> November 2014</w:t>
      </w:r>
      <w:r w:rsidR="00F1671B">
        <w:t xml:space="preserve">.  There was </w:t>
      </w:r>
      <w:r w:rsidR="00FD0FCE">
        <w:t xml:space="preserve">no further order, in the arbitral award, </w:t>
      </w:r>
      <w:r w:rsidR="00A9771A">
        <w:t>requiring</w:t>
      </w:r>
      <w:r w:rsidR="00FD0FCE">
        <w:t xml:space="preserve"> </w:t>
      </w:r>
      <w:r>
        <w:t>t</w:t>
      </w:r>
      <w:r w:rsidR="00FD0FCE">
        <w:t>hat back pay be paid from a particular date</w:t>
      </w:r>
      <w:r w:rsidR="004B12CF">
        <w:t xml:space="preserve">, prior to 7 November 2014.  There was no retrospective order to allow for the </w:t>
      </w:r>
      <w:r w:rsidR="00143B08">
        <w:t>payment of back</w:t>
      </w:r>
      <w:r w:rsidR="00C42B0C">
        <w:t xml:space="preserve"> </w:t>
      </w:r>
      <w:r w:rsidR="00143B08">
        <w:t>pay.</w:t>
      </w:r>
    </w:p>
    <w:p w:rsidR="00CB091B" w:rsidRDefault="00CB091B" w:rsidP="0084141D">
      <w:pPr>
        <w:ind w:firstLine="720"/>
        <w:jc w:val="both"/>
      </w:pPr>
    </w:p>
    <w:p w:rsidR="00CB091B" w:rsidRDefault="00CB091B" w:rsidP="00CB091B">
      <w:pPr>
        <w:spacing w:line="360" w:lineRule="auto"/>
        <w:ind w:firstLine="720"/>
        <w:jc w:val="both"/>
      </w:pPr>
      <w:r>
        <w:t xml:space="preserve">The respondent, on the other hand, insisted that back pay was payable as ordered by the arbitrator.  The respondent’s contention is that the </w:t>
      </w:r>
      <w:r w:rsidR="00786DA1">
        <w:t xml:space="preserve">use of the </w:t>
      </w:r>
      <w:r w:rsidR="00DF0542">
        <w:t>phrase</w:t>
      </w:r>
      <w:r w:rsidR="00786DA1">
        <w:t xml:space="preserve">, “without loss of salary and </w:t>
      </w:r>
      <w:r w:rsidR="0090120D">
        <w:t>benefits”</w:t>
      </w:r>
      <w:r w:rsidR="00DF0542">
        <w:t>,</w:t>
      </w:r>
      <w:r w:rsidR="0090120D">
        <w:t xml:space="preserve"> clearly meant that back pay and benefits should be awarded.  This point is stated with some emphasis</w:t>
      </w:r>
      <w:r w:rsidR="00A16EA9">
        <w:t>, in paragraphs 5</w:t>
      </w:r>
      <w:r w:rsidR="00206FF9">
        <w:t>.</w:t>
      </w:r>
      <w:r w:rsidR="00A16EA9">
        <w:t xml:space="preserve">1 and 5.4 of the respondent’s heads of argument.  These read as follows: </w:t>
      </w:r>
    </w:p>
    <w:p w:rsidR="007F053D" w:rsidRDefault="007F053D" w:rsidP="003C75C4">
      <w:pPr>
        <w:ind w:firstLine="720"/>
        <w:jc w:val="both"/>
      </w:pPr>
    </w:p>
    <w:p w:rsidR="007F053D" w:rsidRPr="003C75C4" w:rsidRDefault="007F053D" w:rsidP="003C75C4">
      <w:pPr>
        <w:spacing w:line="276" w:lineRule="auto"/>
        <w:ind w:left="1440" w:hanging="720"/>
        <w:jc w:val="both"/>
        <w:rPr>
          <w:sz w:val="22"/>
          <w:szCs w:val="22"/>
        </w:rPr>
      </w:pPr>
      <w:r w:rsidRPr="003C75C4">
        <w:rPr>
          <w:sz w:val="22"/>
          <w:szCs w:val="22"/>
        </w:rPr>
        <w:t>“</w:t>
      </w:r>
      <w:r w:rsidR="0002787A" w:rsidRPr="003C75C4">
        <w:rPr>
          <w:sz w:val="22"/>
          <w:szCs w:val="22"/>
        </w:rPr>
        <w:t>5.1</w:t>
      </w:r>
      <w:r w:rsidR="0002787A" w:rsidRPr="003C75C4">
        <w:rPr>
          <w:sz w:val="22"/>
          <w:szCs w:val="22"/>
        </w:rPr>
        <w:tab/>
        <w:t>A reading of the award will show that the respondent was to be reinstated with effect from the 7</w:t>
      </w:r>
      <w:r w:rsidR="0002787A" w:rsidRPr="003C75C4">
        <w:rPr>
          <w:sz w:val="22"/>
          <w:szCs w:val="22"/>
          <w:vertAlign w:val="superscript"/>
        </w:rPr>
        <w:t>th</w:t>
      </w:r>
      <w:r w:rsidR="0002787A" w:rsidRPr="003C75C4">
        <w:rPr>
          <w:sz w:val="22"/>
          <w:szCs w:val="22"/>
        </w:rPr>
        <w:t xml:space="preserve"> of November 2014 without loss of salary and benefits</w:t>
      </w:r>
      <w:r w:rsidR="0030450A" w:rsidRPr="003C75C4">
        <w:rPr>
          <w:sz w:val="22"/>
          <w:szCs w:val="22"/>
        </w:rPr>
        <w:t>.</w:t>
      </w:r>
    </w:p>
    <w:p w:rsidR="0030450A" w:rsidRPr="003C75C4" w:rsidRDefault="0030450A" w:rsidP="003C75C4">
      <w:pPr>
        <w:spacing w:line="276" w:lineRule="auto"/>
        <w:ind w:left="1440" w:hanging="720"/>
        <w:jc w:val="both"/>
        <w:rPr>
          <w:sz w:val="22"/>
          <w:szCs w:val="22"/>
        </w:rPr>
      </w:pPr>
      <w:r w:rsidRPr="003C75C4">
        <w:rPr>
          <w:sz w:val="22"/>
          <w:szCs w:val="22"/>
        </w:rPr>
        <w:t xml:space="preserve"> 5.4</w:t>
      </w:r>
      <w:r w:rsidRPr="003C75C4">
        <w:rPr>
          <w:sz w:val="22"/>
          <w:szCs w:val="22"/>
        </w:rPr>
        <w:tab/>
        <w:t xml:space="preserve">The present case is clearly different in that the order for reinstatement is accompanied by the words without loss of salary and </w:t>
      </w:r>
      <w:r w:rsidR="007A3F83" w:rsidRPr="003C75C4">
        <w:rPr>
          <w:sz w:val="22"/>
          <w:szCs w:val="22"/>
        </w:rPr>
        <w:t>benefits. This clearly indicates in no uncertain terms that the order had retrospective effect.  The issue of retrospective application is not implied in the</w:t>
      </w:r>
      <w:r w:rsidR="00123C51" w:rsidRPr="003C75C4">
        <w:rPr>
          <w:sz w:val="22"/>
          <w:szCs w:val="22"/>
        </w:rPr>
        <w:t xml:space="preserve"> circumstances but same has been ex</w:t>
      </w:r>
      <w:r w:rsidR="002A6445" w:rsidRPr="003C75C4">
        <w:rPr>
          <w:sz w:val="22"/>
          <w:szCs w:val="22"/>
        </w:rPr>
        <w:t>pressly stated.”</w:t>
      </w:r>
    </w:p>
    <w:p w:rsidR="002A6445" w:rsidRDefault="002A6445" w:rsidP="003C75C4">
      <w:pPr>
        <w:jc w:val="both"/>
      </w:pPr>
    </w:p>
    <w:p w:rsidR="002A6445" w:rsidRDefault="002A6445" w:rsidP="00A51CB9">
      <w:pPr>
        <w:spacing w:line="360" w:lineRule="auto"/>
        <w:ind w:firstLine="720"/>
        <w:jc w:val="both"/>
      </w:pPr>
      <w:r>
        <w:t>I find it difficult to appreciate or uphold the respondent’s contention, given the manner the</w:t>
      </w:r>
      <w:r w:rsidR="00697DEB">
        <w:t xml:space="preserve"> arbitral award is framed.  Reinstatement is with effect from 7 November 2014.  There is no additional </w:t>
      </w:r>
      <w:r w:rsidR="00B94D15">
        <w:t>order</w:t>
      </w:r>
      <w:r w:rsidR="009F02AA">
        <w:t xml:space="preserve"> for back pay and benefits, be it with effect </w:t>
      </w:r>
      <w:r w:rsidR="006619A3">
        <w:t xml:space="preserve">from date of dismissal </w:t>
      </w:r>
      <w:r w:rsidR="00DB7BE8">
        <w:t>or some other specified date.</w:t>
      </w:r>
    </w:p>
    <w:p w:rsidR="00DB7BE8" w:rsidRDefault="00DB7BE8" w:rsidP="003C75C4">
      <w:pPr>
        <w:jc w:val="both"/>
      </w:pPr>
    </w:p>
    <w:p w:rsidR="00DB7BE8" w:rsidRDefault="00DB7BE8" w:rsidP="002A6445">
      <w:pPr>
        <w:spacing w:line="360" w:lineRule="auto"/>
        <w:jc w:val="both"/>
      </w:pPr>
      <w:r>
        <w:tab/>
      </w:r>
      <w:r w:rsidR="00A51CB9">
        <w:t>Reference</w:t>
      </w:r>
      <w:r>
        <w:t xml:space="preserve"> was made to the </w:t>
      </w:r>
      <w:r w:rsidR="001534AE">
        <w:t xml:space="preserve">case of </w:t>
      </w:r>
      <w:proofErr w:type="spellStart"/>
      <w:r w:rsidR="001534AE" w:rsidRPr="00A51CB9">
        <w:rPr>
          <w:i/>
        </w:rPr>
        <w:t>Chegutu</w:t>
      </w:r>
      <w:proofErr w:type="spellEnd"/>
      <w:r w:rsidR="001534AE" w:rsidRPr="00A51CB9">
        <w:rPr>
          <w:i/>
        </w:rPr>
        <w:t xml:space="preserve"> </w:t>
      </w:r>
      <w:proofErr w:type="spellStart"/>
      <w:r w:rsidR="001534AE" w:rsidRPr="00A51CB9">
        <w:rPr>
          <w:i/>
        </w:rPr>
        <w:t>Muncipality</w:t>
      </w:r>
      <w:proofErr w:type="spellEnd"/>
      <w:r w:rsidR="001534AE">
        <w:t xml:space="preserve"> v </w:t>
      </w:r>
      <w:proofErr w:type="spellStart"/>
      <w:r w:rsidR="00DB64FF">
        <w:rPr>
          <w:i/>
        </w:rPr>
        <w:t>Manyora</w:t>
      </w:r>
      <w:proofErr w:type="spellEnd"/>
      <w:r w:rsidR="001534AE">
        <w:t xml:space="preserve"> 1996 (1) ZLR 262 (S), by both parties.  The </w:t>
      </w:r>
      <w:r w:rsidR="00D201B1">
        <w:t>following remarks by the Supreme Court, at page 268, are instructive;</w:t>
      </w:r>
    </w:p>
    <w:p w:rsidR="00165CBB" w:rsidRDefault="00165CBB" w:rsidP="008C3727">
      <w:pPr>
        <w:jc w:val="both"/>
      </w:pPr>
    </w:p>
    <w:p w:rsidR="00165CBB" w:rsidRDefault="00165CBB" w:rsidP="003C75C4">
      <w:pPr>
        <w:spacing w:line="276" w:lineRule="auto"/>
        <w:ind w:left="720"/>
        <w:jc w:val="both"/>
      </w:pPr>
      <w:r>
        <w:t>“</w:t>
      </w:r>
      <w:r w:rsidRPr="005045D4">
        <w:rPr>
          <w:sz w:val="22"/>
          <w:szCs w:val="22"/>
        </w:rPr>
        <w:t xml:space="preserve">I conclude therefore that the </w:t>
      </w:r>
      <w:proofErr w:type="gramStart"/>
      <w:r w:rsidRPr="005045D4">
        <w:rPr>
          <w:sz w:val="22"/>
          <w:szCs w:val="22"/>
        </w:rPr>
        <w:t>word “reinstate</w:t>
      </w:r>
      <w:proofErr w:type="gramEnd"/>
      <w:r w:rsidRPr="005045D4">
        <w:rPr>
          <w:sz w:val="22"/>
          <w:szCs w:val="22"/>
        </w:rPr>
        <w:t>” or “reinstatement”</w:t>
      </w:r>
      <w:r w:rsidR="000A7C60" w:rsidRPr="005045D4">
        <w:rPr>
          <w:sz w:val="22"/>
          <w:szCs w:val="22"/>
        </w:rPr>
        <w:t xml:space="preserve"> carries no automatic retrospective conno</w:t>
      </w:r>
      <w:r w:rsidR="00C8020D" w:rsidRPr="005045D4">
        <w:rPr>
          <w:sz w:val="22"/>
          <w:szCs w:val="22"/>
        </w:rPr>
        <w:t xml:space="preserve">tation, either in ordinary language or in our </w:t>
      </w:r>
      <w:r w:rsidR="009D0709" w:rsidRPr="005045D4">
        <w:rPr>
          <w:sz w:val="22"/>
          <w:szCs w:val="22"/>
        </w:rPr>
        <w:t>legislation.  Normally it means simply that the person c</w:t>
      </w:r>
      <w:r w:rsidR="006F0F08" w:rsidRPr="005045D4">
        <w:rPr>
          <w:sz w:val="22"/>
          <w:szCs w:val="22"/>
        </w:rPr>
        <w:t xml:space="preserve">oncerned will be placed again in his/her former job. </w:t>
      </w:r>
      <w:r w:rsidR="00030F13" w:rsidRPr="005045D4">
        <w:rPr>
          <w:sz w:val="22"/>
          <w:szCs w:val="22"/>
        </w:rPr>
        <w:t>If retrospectively is intended, one would normally look for additional words such as “with effect from the date of dismis</w:t>
      </w:r>
      <w:r w:rsidR="00464262" w:rsidRPr="005045D4">
        <w:rPr>
          <w:sz w:val="22"/>
          <w:szCs w:val="22"/>
        </w:rPr>
        <w:t xml:space="preserve">sal” or with effect from a particular date in the </w:t>
      </w:r>
      <w:r w:rsidR="004654C5" w:rsidRPr="005045D4">
        <w:rPr>
          <w:sz w:val="22"/>
          <w:szCs w:val="22"/>
        </w:rPr>
        <w:t>past” or</w:t>
      </w:r>
      <w:r w:rsidR="00464262" w:rsidRPr="005045D4">
        <w:rPr>
          <w:sz w:val="22"/>
          <w:szCs w:val="22"/>
        </w:rPr>
        <w:t xml:space="preserve"> “with </w:t>
      </w:r>
      <w:r w:rsidR="00566FDA" w:rsidRPr="005045D4">
        <w:rPr>
          <w:sz w:val="22"/>
          <w:szCs w:val="22"/>
        </w:rPr>
        <w:t>back pay</w:t>
      </w:r>
      <w:r w:rsidR="00464262" w:rsidRPr="005045D4">
        <w:rPr>
          <w:sz w:val="22"/>
          <w:szCs w:val="22"/>
        </w:rPr>
        <w:t xml:space="preserve"> and all benefits from </w:t>
      </w:r>
      <w:proofErr w:type="gramStart"/>
      <w:r w:rsidR="00464262" w:rsidRPr="005045D4">
        <w:rPr>
          <w:sz w:val="22"/>
          <w:szCs w:val="22"/>
        </w:rPr>
        <w:t>…(</w:t>
      </w:r>
      <w:proofErr w:type="gramEnd"/>
      <w:r w:rsidR="00464262" w:rsidRPr="005045D4">
        <w:rPr>
          <w:sz w:val="22"/>
          <w:szCs w:val="22"/>
        </w:rPr>
        <w:t>date</w:t>
      </w:r>
      <w:r w:rsidR="00B2510C" w:rsidRPr="005045D4">
        <w:rPr>
          <w:sz w:val="22"/>
          <w:szCs w:val="22"/>
        </w:rPr>
        <w:t xml:space="preserve">).  In the absence of any such words, the </w:t>
      </w:r>
      <w:r w:rsidR="003166B6" w:rsidRPr="005045D4">
        <w:rPr>
          <w:sz w:val="22"/>
          <w:szCs w:val="22"/>
        </w:rPr>
        <w:t>Municipality’s</w:t>
      </w:r>
      <w:r w:rsidR="00AC14D7" w:rsidRPr="005045D4">
        <w:rPr>
          <w:sz w:val="22"/>
          <w:szCs w:val="22"/>
        </w:rPr>
        <w:t xml:space="preserve"> interpretation was correct”</w:t>
      </w:r>
    </w:p>
    <w:p w:rsidR="00393358" w:rsidRDefault="00393358" w:rsidP="00764639">
      <w:pPr>
        <w:jc w:val="both"/>
      </w:pPr>
    </w:p>
    <w:p w:rsidR="00B01657" w:rsidRDefault="00393358" w:rsidP="002A6445">
      <w:pPr>
        <w:spacing w:line="360" w:lineRule="auto"/>
        <w:jc w:val="both"/>
      </w:pPr>
      <w:r>
        <w:tab/>
        <w:t xml:space="preserve">In the </w:t>
      </w:r>
      <w:r w:rsidR="00714CD0">
        <w:t xml:space="preserve">instant case, there is no </w:t>
      </w:r>
      <w:r w:rsidR="00566FDA">
        <w:t>order requiring payment of</w:t>
      </w:r>
      <w:r w:rsidR="00A83877">
        <w:t xml:space="preserve"> back pay from a </w:t>
      </w:r>
      <w:r w:rsidR="00A83877" w:rsidRPr="00EE7C66">
        <w:rPr>
          <w:i/>
        </w:rPr>
        <w:t>particular date prior to the effective date of reinstatement</w:t>
      </w:r>
      <w:r w:rsidR="00DB7C79">
        <w:t xml:space="preserve">.  It would, in my view, be wrong to read into the arbitral award </w:t>
      </w:r>
      <w:r w:rsidR="00EE7C66">
        <w:t>what it has</w:t>
      </w:r>
      <w:r w:rsidR="00DB7C79">
        <w:t xml:space="preserve"> not provided for.  I agree</w:t>
      </w:r>
      <w:r w:rsidR="005F09A5">
        <w:t xml:space="preserve"> with the </w:t>
      </w:r>
      <w:r w:rsidR="00EE7C66">
        <w:t xml:space="preserve">submissions made by </w:t>
      </w:r>
      <w:proofErr w:type="spellStart"/>
      <w:r w:rsidR="00EE7C66">
        <w:t>Ms</w:t>
      </w:r>
      <w:proofErr w:type="spellEnd"/>
      <w:r w:rsidR="00EE7C66">
        <w:t xml:space="preserve"> </w:t>
      </w:r>
      <w:proofErr w:type="spellStart"/>
      <w:r w:rsidR="00EE7C66" w:rsidRPr="00EE7C66">
        <w:rPr>
          <w:i/>
        </w:rPr>
        <w:t>Nya</w:t>
      </w:r>
      <w:r w:rsidR="003D0018" w:rsidRPr="00EE7C66">
        <w:rPr>
          <w:i/>
        </w:rPr>
        <w:t>gura</w:t>
      </w:r>
      <w:proofErr w:type="spellEnd"/>
      <w:r w:rsidR="003D0018">
        <w:t>, at the hearing of the matter, that</w:t>
      </w:r>
      <w:r w:rsidR="00B01657">
        <w:t>;</w:t>
      </w:r>
    </w:p>
    <w:p w:rsidR="00B01657" w:rsidRDefault="00B01657" w:rsidP="00764639">
      <w:pPr>
        <w:jc w:val="both"/>
      </w:pPr>
    </w:p>
    <w:p w:rsidR="00A530A3" w:rsidRPr="00764639" w:rsidRDefault="00EF0D4A" w:rsidP="00764639">
      <w:pPr>
        <w:spacing w:line="276" w:lineRule="auto"/>
        <w:ind w:left="720"/>
        <w:jc w:val="both"/>
        <w:rPr>
          <w:sz w:val="22"/>
          <w:szCs w:val="22"/>
        </w:rPr>
      </w:pPr>
      <w:r w:rsidRPr="00764639">
        <w:rPr>
          <w:sz w:val="22"/>
          <w:szCs w:val="22"/>
        </w:rPr>
        <w:t>“We submit that nothing can stand on the</w:t>
      </w:r>
      <w:r w:rsidR="00405AA3" w:rsidRPr="00764639">
        <w:rPr>
          <w:sz w:val="22"/>
          <w:szCs w:val="22"/>
        </w:rPr>
        <w:t xml:space="preserve"> phrase “without loss of </w:t>
      </w:r>
      <w:r w:rsidR="0016377E" w:rsidRPr="00764639">
        <w:rPr>
          <w:sz w:val="22"/>
          <w:szCs w:val="22"/>
        </w:rPr>
        <w:t>salary and benefits”</w:t>
      </w:r>
      <w:r w:rsidR="00906FEC" w:rsidRPr="00764639">
        <w:rPr>
          <w:sz w:val="22"/>
          <w:szCs w:val="22"/>
        </w:rPr>
        <w:t>, as</w:t>
      </w:r>
      <w:r w:rsidR="006533DE" w:rsidRPr="00764639">
        <w:rPr>
          <w:sz w:val="22"/>
          <w:szCs w:val="22"/>
        </w:rPr>
        <w:t xml:space="preserve"> effective date was specified in the award, and that phrase merely means on the same salary and benefits.”</w:t>
      </w:r>
    </w:p>
    <w:p w:rsidR="00A530A3" w:rsidRDefault="00A530A3" w:rsidP="00764639">
      <w:pPr>
        <w:jc w:val="both"/>
      </w:pPr>
    </w:p>
    <w:p w:rsidR="00DA562C" w:rsidRDefault="00A530A3" w:rsidP="002A6445">
      <w:pPr>
        <w:spacing w:line="360" w:lineRule="auto"/>
        <w:jc w:val="both"/>
      </w:pPr>
      <w:r>
        <w:tab/>
        <w:t xml:space="preserve">In </w:t>
      </w:r>
      <w:r w:rsidR="0014642A">
        <w:t xml:space="preserve">the circumstances, the second </w:t>
      </w:r>
      <w:r w:rsidR="00DA562C">
        <w:t>ground of appeal must also be upheld.</w:t>
      </w:r>
    </w:p>
    <w:p w:rsidR="00DA562C" w:rsidRDefault="00DA562C" w:rsidP="00764639">
      <w:pPr>
        <w:jc w:val="both"/>
      </w:pPr>
    </w:p>
    <w:p w:rsidR="00393358" w:rsidRDefault="00DA562C" w:rsidP="002A6445">
      <w:pPr>
        <w:spacing w:line="360" w:lineRule="auto"/>
        <w:jc w:val="both"/>
      </w:pPr>
      <w:r>
        <w:tab/>
        <w:t xml:space="preserve">The third ground of </w:t>
      </w:r>
      <w:r w:rsidR="00D873F0">
        <w:t xml:space="preserve">appeal is on the </w:t>
      </w:r>
      <w:r w:rsidR="00D873F0" w:rsidRPr="00271ABB">
        <w:rPr>
          <w:i/>
        </w:rPr>
        <w:t xml:space="preserve">locus </w:t>
      </w:r>
      <w:proofErr w:type="spellStart"/>
      <w:r w:rsidR="00D873F0" w:rsidRPr="00271ABB">
        <w:rPr>
          <w:i/>
        </w:rPr>
        <w:t>standi</w:t>
      </w:r>
      <w:proofErr w:type="spellEnd"/>
      <w:r w:rsidR="00D873F0">
        <w:t xml:space="preserve"> of </w:t>
      </w:r>
      <w:proofErr w:type="spellStart"/>
      <w:r w:rsidR="00D873F0">
        <w:t>Mr</w:t>
      </w:r>
      <w:proofErr w:type="spellEnd"/>
      <w:r w:rsidR="00D873F0">
        <w:t xml:space="preserve"> T </w:t>
      </w:r>
      <w:proofErr w:type="spellStart"/>
      <w:r w:rsidR="00D873F0">
        <w:t>Ndoro</w:t>
      </w:r>
      <w:proofErr w:type="spellEnd"/>
      <w:r w:rsidR="00D873F0">
        <w:t xml:space="preserve">, the consultant who appeared on behalf of the respondent (then claimant) at </w:t>
      </w:r>
      <w:r w:rsidR="00271ABB">
        <w:t xml:space="preserve">arbitration.  The appellant averred that the consultant had no </w:t>
      </w:r>
      <w:r w:rsidR="00271ABB" w:rsidRPr="00271ABB">
        <w:rPr>
          <w:i/>
        </w:rPr>
        <w:t>locus standi</w:t>
      </w:r>
      <w:r w:rsidR="00271ABB">
        <w:t xml:space="preserve"> to represent the respondent at arbitration.  </w:t>
      </w:r>
      <w:r w:rsidR="003D0018">
        <w:t xml:space="preserve"> </w:t>
      </w:r>
      <w:r w:rsidR="00CB18F7">
        <w:t xml:space="preserve">The appellant submitted that it in fact </w:t>
      </w:r>
      <w:r w:rsidR="009B5A18">
        <w:t>raised a</w:t>
      </w:r>
      <w:r w:rsidR="00CB18F7">
        <w:t xml:space="preserve"> point </w:t>
      </w:r>
      <w:r w:rsidR="00CB18F7" w:rsidRPr="009B5A18">
        <w:rPr>
          <w:i/>
        </w:rPr>
        <w:t>in limine</w:t>
      </w:r>
      <w:r w:rsidR="00CB18F7">
        <w:t xml:space="preserve"> before the arbitrator with regard to this issue.  The arbitrator simply went ahead</w:t>
      </w:r>
      <w:r w:rsidR="009B5A18">
        <w:t xml:space="preserve"> </w:t>
      </w:r>
      <w:r w:rsidR="008F28BA">
        <w:t>with his determination</w:t>
      </w:r>
      <w:r w:rsidR="00145FE4">
        <w:t xml:space="preserve"> of the matter, without ruling o</w:t>
      </w:r>
      <w:r w:rsidR="008F28BA">
        <w:t xml:space="preserve">n the preliminary point.  The appellant insisted the consultant </w:t>
      </w:r>
      <w:r w:rsidR="00E8513C">
        <w:t xml:space="preserve">had no </w:t>
      </w:r>
      <w:r w:rsidR="00E8513C" w:rsidRPr="00E8513C">
        <w:rPr>
          <w:i/>
        </w:rPr>
        <w:t>locus standi</w:t>
      </w:r>
      <w:r w:rsidR="00E8513C">
        <w:t>.</w:t>
      </w:r>
    </w:p>
    <w:p w:rsidR="00B42A2E" w:rsidRDefault="00B42A2E" w:rsidP="00764639">
      <w:pPr>
        <w:jc w:val="both"/>
      </w:pPr>
    </w:p>
    <w:p w:rsidR="00B42A2E" w:rsidRDefault="00B42A2E" w:rsidP="002A6445">
      <w:pPr>
        <w:spacing w:line="360" w:lineRule="auto"/>
        <w:jc w:val="both"/>
      </w:pPr>
      <w:r>
        <w:tab/>
        <w:t xml:space="preserve">The respondent contended that the parties only made written submissions before the arbitrator, </w:t>
      </w:r>
      <w:r w:rsidR="009D023B">
        <w:t>but did not appear in person.  For that reason, the consultant could not be said to have been improperly before the arbitrator.</w:t>
      </w:r>
    </w:p>
    <w:p w:rsidR="009D023B" w:rsidRDefault="009D023B" w:rsidP="00764639">
      <w:pPr>
        <w:jc w:val="both"/>
      </w:pPr>
    </w:p>
    <w:p w:rsidR="009D023B" w:rsidRDefault="009D023B" w:rsidP="002A6445">
      <w:pPr>
        <w:spacing w:line="360" w:lineRule="auto"/>
        <w:jc w:val="both"/>
      </w:pPr>
      <w:r>
        <w:tab/>
        <w:t xml:space="preserve">The point, in my view, is that the consultant represented the claimant, </w:t>
      </w:r>
      <w:r w:rsidR="00AB1C4B">
        <w:t xml:space="preserve">at arbitration.  Whether he made a personal </w:t>
      </w:r>
      <w:r w:rsidR="003E2EBD">
        <w:t xml:space="preserve">appearance </w:t>
      </w:r>
      <w:r w:rsidR="00DE2CB4">
        <w:t>o</w:t>
      </w:r>
      <w:r w:rsidR="009D7A24">
        <w:t>r</w:t>
      </w:r>
      <w:r w:rsidR="003E2EBD">
        <w:t xml:space="preserve"> filed </w:t>
      </w:r>
      <w:r w:rsidR="009D7A24">
        <w:t>written</w:t>
      </w:r>
      <w:r w:rsidR="003E2EBD">
        <w:t xml:space="preserve"> submissions o</w:t>
      </w:r>
      <w:r w:rsidR="00902FEA">
        <w:t xml:space="preserve">n </w:t>
      </w:r>
      <w:r w:rsidR="00902FEA">
        <w:lastRenderedPageBreak/>
        <w:t>behalf of the claimant, does not affect the representation.</w:t>
      </w:r>
      <w:r w:rsidR="008B724B">
        <w:t xml:space="preserve"> The arbitral award clearly shows that claimant was represented</w:t>
      </w:r>
      <w:r w:rsidR="00E913A7">
        <w:t xml:space="preserve"> by T Ndoro and </w:t>
      </w:r>
      <w:r w:rsidR="009D7A24">
        <w:t>the</w:t>
      </w:r>
      <w:r w:rsidR="00E913A7">
        <w:t xml:space="preserve"> respondent by </w:t>
      </w:r>
      <w:proofErr w:type="spellStart"/>
      <w:r w:rsidR="00E913A7">
        <w:t>Matsikidze</w:t>
      </w:r>
      <w:proofErr w:type="spellEnd"/>
      <w:r w:rsidR="00E913A7">
        <w:t xml:space="preserve"> and </w:t>
      </w:r>
      <w:proofErr w:type="spellStart"/>
      <w:r w:rsidR="00E913A7">
        <w:t>Mucheche</w:t>
      </w:r>
      <w:proofErr w:type="spellEnd"/>
      <w:r w:rsidR="009D7A24">
        <w:t xml:space="preserve"> legal practitioners</w:t>
      </w:r>
      <w:r w:rsidR="00E913A7">
        <w:t xml:space="preserve">.  Whether such representation was </w:t>
      </w:r>
      <w:r w:rsidR="00763A9B">
        <w:t>achieved</w:t>
      </w:r>
      <w:r w:rsidR="00E913A7">
        <w:t xml:space="preserve"> by means of written or oral arguments, </w:t>
      </w:r>
      <w:r w:rsidR="0027088D">
        <w:t>it seems to me, is an immaterial technical contention.  It is on record these are the person</w:t>
      </w:r>
      <w:r w:rsidR="00763A9B">
        <w:t>s</w:t>
      </w:r>
      <w:r w:rsidR="0027088D">
        <w:t xml:space="preserve"> who represented the parties before the arbitrator.</w:t>
      </w:r>
    </w:p>
    <w:p w:rsidR="0027088D" w:rsidRDefault="0027088D" w:rsidP="00764639">
      <w:pPr>
        <w:jc w:val="both"/>
      </w:pPr>
    </w:p>
    <w:p w:rsidR="0064537F" w:rsidRDefault="00790045" w:rsidP="002A6445">
      <w:pPr>
        <w:spacing w:line="360" w:lineRule="auto"/>
        <w:jc w:val="both"/>
      </w:pPr>
      <w:r>
        <w:tab/>
        <w:t>The issue raised concerns the validity of T Ndoro’s representation of the claimant.  The Labour Act,</w:t>
      </w:r>
      <w:r w:rsidR="008242DB">
        <w:t>[Chapter</w:t>
      </w:r>
      <w:r>
        <w:t xml:space="preserve"> </w:t>
      </w:r>
      <w:r w:rsidR="008242DB">
        <w:t>28:01] in section 92, provides for the representation of parties in the Labour Court</w:t>
      </w:r>
      <w:r w:rsidR="006B2106">
        <w:t xml:space="preserve">.  What is stated </w:t>
      </w:r>
      <w:r w:rsidR="00346728">
        <w:t>there</w:t>
      </w:r>
      <w:r w:rsidR="006B2106">
        <w:t xml:space="preserve"> clearly excludes consultants.  They </w:t>
      </w:r>
      <w:r w:rsidR="00763A9B">
        <w:t>do</w:t>
      </w:r>
      <w:r w:rsidR="006B2106">
        <w:t xml:space="preserve"> not fit into the</w:t>
      </w:r>
      <w:r w:rsidR="00346728">
        <w:t xml:space="preserve"> definition of “</w:t>
      </w:r>
      <w:r w:rsidR="00346728" w:rsidRPr="00763A9B">
        <w:rPr>
          <w:i/>
        </w:rPr>
        <w:t>an official</w:t>
      </w:r>
      <w:r w:rsidR="00ED54CC">
        <w:rPr>
          <w:i/>
        </w:rPr>
        <w:t xml:space="preserve"> or</w:t>
      </w:r>
      <w:r w:rsidR="00AE2607" w:rsidRPr="00763A9B">
        <w:rPr>
          <w:i/>
        </w:rPr>
        <w:t xml:space="preserve"> employee of a registered trade union</w:t>
      </w:r>
      <w:r w:rsidR="00671B06" w:rsidRPr="00763A9B">
        <w:rPr>
          <w:i/>
        </w:rPr>
        <w:t xml:space="preserve"> or employee organisation of which the party is a </w:t>
      </w:r>
      <w:r w:rsidR="007733FF" w:rsidRPr="00763A9B">
        <w:rPr>
          <w:i/>
        </w:rPr>
        <w:t>member</w:t>
      </w:r>
      <w:r w:rsidR="00FC00BC">
        <w:t xml:space="preserve">”, </w:t>
      </w:r>
      <w:r w:rsidR="007733FF">
        <w:t>as</w:t>
      </w:r>
      <w:r w:rsidR="00FC00BC">
        <w:t xml:space="preserve"> provided</w:t>
      </w:r>
      <w:r w:rsidR="00C451AE">
        <w:t xml:space="preserve"> </w:t>
      </w:r>
      <w:r w:rsidR="00FC00BC">
        <w:t>for</w:t>
      </w:r>
      <w:r w:rsidR="00C451AE">
        <w:t xml:space="preserve"> in paragraph (</w:t>
      </w:r>
      <w:r w:rsidR="0064537F">
        <w:t>b) of section 92.</w:t>
      </w:r>
    </w:p>
    <w:p w:rsidR="0064537F" w:rsidRDefault="0064537F" w:rsidP="00764639">
      <w:pPr>
        <w:jc w:val="both"/>
      </w:pPr>
    </w:p>
    <w:p w:rsidR="0097199E" w:rsidRDefault="0064537F" w:rsidP="002A6445">
      <w:pPr>
        <w:spacing w:line="360" w:lineRule="auto"/>
        <w:jc w:val="both"/>
      </w:pPr>
      <w:r>
        <w:tab/>
        <w:t>However, the position</w:t>
      </w:r>
      <w:r w:rsidR="00FC00BC">
        <w:t>,</w:t>
      </w:r>
      <w:r>
        <w:t xml:space="preserve"> </w:t>
      </w:r>
      <w:r w:rsidR="006C7DA4">
        <w:t xml:space="preserve">it seems, is not so clear at arbitration.  The provision governing representation, in the Arbitration Act, </w:t>
      </w:r>
      <w:r w:rsidR="004E592E">
        <w:t>[</w:t>
      </w:r>
      <w:r w:rsidR="00794F9F">
        <w:t>Chapter]</w:t>
      </w:r>
      <w:r w:rsidR="004E592E">
        <w:t xml:space="preserve"> is not couched in terms that are as clear as those in the Labour Act.  The relevant provision</w:t>
      </w:r>
      <w:r w:rsidR="00213C8F">
        <w:t xml:space="preserve">, in the Arbitration Act, is Article 24 (4) of the schedule to </w:t>
      </w:r>
      <w:r w:rsidR="00794F9F">
        <w:t>the</w:t>
      </w:r>
      <w:r w:rsidR="00213C8F">
        <w:t xml:space="preserve"> Arbitration Act </w:t>
      </w:r>
      <w:r w:rsidR="00794F9F">
        <w:t>(UNCTRAL</w:t>
      </w:r>
      <w:r w:rsidR="00213C8F">
        <w:t xml:space="preserve"> MODEL LAW). It provides:</w:t>
      </w:r>
    </w:p>
    <w:p w:rsidR="0097199E" w:rsidRDefault="0097199E" w:rsidP="00764639">
      <w:pPr>
        <w:jc w:val="both"/>
      </w:pPr>
    </w:p>
    <w:p w:rsidR="00E024B7" w:rsidRDefault="0097199E" w:rsidP="00764639">
      <w:pPr>
        <w:spacing w:line="276" w:lineRule="auto"/>
        <w:ind w:left="720"/>
        <w:jc w:val="both"/>
      </w:pPr>
      <w:r w:rsidRPr="00CB27EE">
        <w:rPr>
          <w:sz w:val="22"/>
          <w:szCs w:val="22"/>
        </w:rPr>
        <w:t xml:space="preserve">“At any hearing of the arbitral tribunal of which notice is required to be given under paragraph (2) of this article, or in any proceedings </w:t>
      </w:r>
      <w:r w:rsidR="00CE1FFF" w:rsidRPr="00CB27EE">
        <w:rPr>
          <w:sz w:val="22"/>
          <w:szCs w:val="22"/>
        </w:rPr>
        <w:t>conducted on the bas</w:t>
      </w:r>
      <w:r w:rsidR="00173229" w:rsidRPr="00CB27EE">
        <w:rPr>
          <w:sz w:val="22"/>
          <w:szCs w:val="22"/>
        </w:rPr>
        <w:t>i</w:t>
      </w:r>
      <w:r w:rsidR="00CE1FFF" w:rsidRPr="00CB27EE">
        <w:rPr>
          <w:sz w:val="22"/>
          <w:szCs w:val="22"/>
        </w:rPr>
        <w:t xml:space="preserve">s of documents or other materials, the parties may appear or act </w:t>
      </w:r>
      <w:r w:rsidR="00054CD2" w:rsidRPr="00CB27EE">
        <w:rPr>
          <w:sz w:val="22"/>
          <w:szCs w:val="22"/>
        </w:rPr>
        <w:t>in person</w:t>
      </w:r>
      <w:r w:rsidR="00CE1FFF" w:rsidRPr="00CB27EE">
        <w:rPr>
          <w:sz w:val="22"/>
          <w:szCs w:val="22"/>
        </w:rPr>
        <w:t xml:space="preserve"> or </w:t>
      </w:r>
      <w:r w:rsidR="00CE1FFF" w:rsidRPr="00CB27EE">
        <w:rPr>
          <w:sz w:val="22"/>
          <w:szCs w:val="22"/>
          <w:u w:val="single"/>
        </w:rPr>
        <w:t>may be represented by any other person of their choice</w:t>
      </w:r>
      <w:r w:rsidR="00CE1FFF" w:rsidRPr="00CB27EE">
        <w:rPr>
          <w:sz w:val="22"/>
          <w:szCs w:val="22"/>
        </w:rPr>
        <w:t>.”</w:t>
      </w:r>
      <w:r w:rsidR="00173229">
        <w:t xml:space="preserve"> </w:t>
      </w:r>
      <w:r w:rsidR="00CB27EE">
        <w:t>(Underlining added)</w:t>
      </w:r>
    </w:p>
    <w:p w:rsidR="00E024B7" w:rsidRDefault="00E024B7" w:rsidP="004F6DC0">
      <w:pPr>
        <w:jc w:val="both"/>
      </w:pPr>
    </w:p>
    <w:p w:rsidR="0027088D" w:rsidRDefault="00E024B7" w:rsidP="002A6445">
      <w:pPr>
        <w:spacing w:line="360" w:lineRule="auto"/>
        <w:jc w:val="both"/>
      </w:pPr>
      <w:r>
        <w:tab/>
        <w:t xml:space="preserve">The language used in this </w:t>
      </w:r>
      <w:r w:rsidR="0038151E">
        <w:t>article</w:t>
      </w:r>
      <w:r>
        <w:t xml:space="preserve"> is </w:t>
      </w:r>
      <w:r w:rsidR="0038151E">
        <w:t>wide</w:t>
      </w:r>
      <w:r w:rsidR="00932E31">
        <w:t>,</w:t>
      </w:r>
      <w:r w:rsidR="0038151E">
        <w:t xml:space="preserve"> “any other person of their choice”. There is no basis </w:t>
      </w:r>
      <w:r w:rsidR="0008256C">
        <w:t>on wh</w:t>
      </w:r>
      <w:r w:rsidR="006B7CBF">
        <w:t xml:space="preserve">ich to </w:t>
      </w:r>
      <w:r w:rsidR="00932E31">
        <w:t>restrict</w:t>
      </w:r>
      <w:r w:rsidR="006B7CBF">
        <w:t xml:space="preserve"> representation so as to exclude consultants.  The terms of the</w:t>
      </w:r>
      <w:r w:rsidR="00BA7036">
        <w:t xml:space="preserve"> statute </w:t>
      </w:r>
      <w:r w:rsidR="00AF162F">
        <w:t>simply do</w:t>
      </w:r>
      <w:r w:rsidR="00BA7036">
        <w:t xml:space="preserve"> not permit such rest</w:t>
      </w:r>
      <w:r w:rsidR="00980204">
        <w:t>riction or ex</w:t>
      </w:r>
      <w:r w:rsidR="00054CD2">
        <w:t xml:space="preserve">clusion. </w:t>
      </w:r>
      <w:r w:rsidR="00213C8F">
        <w:t xml:space="preserve"> </w:t>
      </w:r>
      <w:r w:rsidR="008B0B77">
        <w:t xml:space="preserve">Representation in the arbitral tribunal is not as </w:t>
      </w:r>
      <w:r w:rsidR="00980204">
        <w:t>circumscribed</w:t>
      </w:r>
      <w:r w:rsidR="009A748C">
        <w:t xml:space="preserve"> </w:t>
      </w:r>
      <w:r w:rsidR="002112F4">
        <w:t>a</w:t>
      </w:r>
      <w:r w:rsidR="009A748C">
        <w:t xml:space="preserve">s in </w:t>
      </w:r>
      <w:r w:rsidR="002112F4">
        <w:t xml:space="preserve">the </w:t>
      </w:r>
      <w:r w:rsidR="005F73BB">
        <w:t>Labour Court</w:t>
      </w:r>
      <w:r w:rsidR="00AA7156">
        <w:t>.</w:t>
      </w:r>
      <w:r w:rsidR="005F73BB">
        <w:t xml:space="preserve"> </w:t>
      </w:r>
      <w:r w:rsidR="00AA7156">
        <w:t>In</w:t>
      </w:r>
      <w:r w:rsidR="005F73BB">
        <w:t xml:space="preserve"> the </w:t>
      </w:r>
      <w:r w:rsidR="00AA7156">
        <w:t>light</w:t>
      </w:r>
      <w:r w:rsidR="005F73BB">
        <w:t xml:space="preserve"> of this, the appellant’s objection</w:t>
      </w:r>
      <w:r w:rsidR="00807772">
        <w:t xml:space="preserve"> to the appearance of </w:t>
      </w:r>
      <w:proofErr w:type="spellStart"/>
      <w:r w:rsidR="00807772">
        <w:t>Mr</w:t>
      </w:r>
      <w:proofErr w:type="spellEnd"/>
      <w:r w:rsidR="00807772">
        <w:t xml:space="preserve"> </w:t>
      </w:r>
      <w:proofErr w:type="spellStart"/>
      <w:r w:rsidR="00807772">
        <w:t>Ndoro</w:t>
      </w:r>
      <w:proofErr w:type="spellEnd"/>
      <w:r w:rsidR="00807772">
        <w:t>, the labour consultant</w:t>
      </w:r>
      <w:r w:rsidR="00AA7156">
        <w:t>,</w:t>
      </w:r>
      <w:r w:rsidR="00807772">
        <w:t xml:space="preserve"> on behalf of the respondent, cannot be sustained.</w:t>
      </w:r>
    </w:p>
    <w:p w:rsidR="0055315B" w:rsidRDefault="0055315B" w:rsidP="004F6DC0">
      <w:pPr>
        <w:jc w:val="both"/>
      </w:pPr>
    </w:p>
    <w:p w:rsidR="0055315B" w:rsidRDefault="0055315B" w:rsidP="002A6445">
      <w:pPr>
        <w:spacing w:line="360" w:lineRule="auto"/>
        <w:jc w:val="both"/>
      </w:pPr>
      <w:r>
        <w:tab/>
        <w:t xml:space="preserve">This point, on </w:t>
      </w:r>
      <w:r w:rsidRPr="00AF4419">
        <w:rPr>
          <w:i/>
        </w:rPr>
        <w:t>locus standi</w:t>
      </w:r>
      <w:r>
        <w:t xml:space="preserve">, </w:t>
      </w:r>
      <w:r w:rsidR="00AA7156">
        <w:t>has</w:t>
      </w:r>
      <w:r>
        <w:t xml:space="preserve"> however been </w:t>
      </w:r>
      <w:r w:rsidR="00AA7156">
        <w:t>rendered</w:t>
      </w:r>
      <w:r>
        <w:t xml:space="preserve"> a moot point.  The appeal </w:t>
      </w:r>
      <w:r w:rsidR="001A33C3">
        <w:t>tu</w:t>
      </w:r>
      <w:r w:rsidR="005A0D04">
        <w:t xml:space="preserve">rns on the merits, on the basis of the first and second grounds of appeal.  These </w:t>
      </w:r>
      <w:r w:rsidR="004143C8">
        <w:t>grounds</w:t>
      </w:r>
      <w:r w:rsidR="005A0D04">
        <w:t xml:space="preserve">, for the reasons </w:t>
      </w:r>
      <w:r w:rsidR="00AA7156">
        <w:t>indicated</w:t>
      </w:r>
      <w:r w:rsidR="005A0D04">
        <w:t xml:space="preserve"> above</w:t>
      </w:r>
      <w:r w:rsidR="004143C8">
        <w:t>, have been upheld.</w:t>
      </w:r>
    </w:p>
    <w:p w:rsidR="0069075B" w:rsidRDefault="0069075B" w:rsidP="004F6DC0">
      <w:pPr>
        <w:jc w:val="both"/>
      </w:pPr>
    </w:p>
    <w:p w:rsidR="0069075B" w:rsidRDefault="0069075B" w:rsidP="002A6445">
      <w:pPr>
        <w:spacing w:line="360" w:lineRule="auto"/>
        <w:jc w:val="both"/>
      </w:pPr>
      <w:r>
        <w:tab/>
        <w:t xml:space="preserve">It must be pointed out that </w:t>
      </w:r>
      <w:r w:rsidR="00F7065A">
        <w:t xml:space="preserve">the first ground of appeal has been allowed on the basis that no evidence was adduced to </w:t>
      </w:r>
      <w:r w:rsidR="004B053F">
        <w:t>substantiate</w:t>
      </w:r>
      <w:r w:rsidR="00F7065A">
        <w:t xml:space="preserve"> the 24 months</w:t>
      </w:r>
      <w:r w:rsidR="00D27983">
        <w:t xml:space="preserve"> award of damages for loss of employment.  The respondent conceded as much. This </w:t>
      </w:r>
      <w:r w:rsidR="00E66CD8">
        <w:t>ground of appeal has not been allowed on the basis that the respondent is not en</w:t>
      </w:r>
      <w:r w:rsidR="008E0138">
        <w:t>titled to any damages</w:t>
      </w:r>
      <w:r w:rsidR="00EC016C">
        <w:t xml:space="preserve"> at all.</w:t>
      </w:r>
      <w:r w:rsidR="00A17CF9">
        <w:t xml:space="preserve"> There is therefore </w:t>
      </w:r>
      <w:r w:rsidR="004B053F">
        <w:t>need</w:t>
      </w:r>
      <w:r w:rsidR="00A17CF9">
        <w:t xml:space="preserve"> for that aspect of </w:t>
      </w:r>
      <w:r w:rsidR="00794F9F">
        <w:t>the</w:t>
      </w:r>
      <w:r w:rsidR="00A17CF9">
        <w:t xml:space="preserve"> award to be properly attended to upon adduction of the necessary evidence from the parties.  This is the approach th</w:t>
      </w:r>
      <w:r w:rsidR="00DC649D">
        <w:t xml:space="preserve">e Supreme Court adopted in the </w:t>
      </w:r>
      <w:r w:rsidR="00DC649D" w:rsidRPr="00677AAD">
        <w:rPr>
          <w:i/>
        </w:rPr>
        <w:t xml:space="preserve">Ruturi </w:t>
      </w:r>
      <w:r w:rsidR="00DC649D">
        <w:t xml:space="preserve">case, </w:t>
      </w:r>
      <w:r w:rsidR="00DC649D" w:rsidRPr="00677AAD">
        <w:rPr>
          <w:i/>
        </w:rPr>
        <w:t>supra</w:t>
      </w:r>
      <w:r w:rsidR="00DC649D">
        <w:t>, after setting aside the award</w:t>
      </w:r>
      <w:r w:rsidR="00205519">
        <w:t>.</w:t>
      </w:r>
      <w:r w:rsidR="00C00B73">
        <w:t xml:space="preserve"> It remitted the matter to the tribunal) </w:t>
      </w:r>
      <w:r w:rsidR="00C00B73" w:rsidRPr="0014489D">
        <w:rPr>
          <w:i/>
        </w:rPr>
        <w:t>a quo</w:t>
      </w:r>
      <w:r w:rsidR="00C00B73">
        <w:t xml:space="preserve">, for it to hear evidence on </w:t>
      </w:r>
      <w:r w:rsidR="00EE437E">
        <w:t>damages</w:t>
      </w:r>
      <w:r w:rsidR="00C00B73">
        <w:t>.</w:t>
      </w:r>
    </w:p>
    <w:p w:rsidR="00205519" w:rsidRDefault="00205519" w:rsidP="004F6DC0">
      <w:pPr>
        <w:jc w:val="both"/>
      </w:pPr>
    </w:p>
    <w:p w:rsidR="00205519" w:rsidRDefault="00205519" w:rsidP="002A6445">
      <w:pPr>
        <w:spacing w:line="360" w:lineRule="auto"/>
        <w:jc w:val="both"/>
      </w:pPr>
      <w:r>
        <w:t>In the result, it is ordered that;</w:t>
      </w:r>
    </w:p>
    <w:p w:rsidR="00205519" w:rsidRDefault="00205519" w:rsidP="004F6DC0">
      <w:pPr>
        <w:jc w:val="both"/>
      </w:pPr>
    </w:p>
    <w:p w:rsidR="00205519" w:rsidRDefault="00205519" w:rsidP="00205519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The appeal be and is hereby allowed.</w:t>
      </w:r>
    </w:p>
    <w:p w:rsidR="00205519" w:rsidRDefault="00205519" w:rsidP="00205519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The arbitral award granted in favour of the respondent on 20 January 2015 be and is hereby set aside.</w:t>
      </w:r>
    </w:p>
    <w:p w:rsidR="0017258F" w:rsidRDefault="0017258F" w:rsidP="00205519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The matter be and is hereby remitted to the arbitrator f</w:t>
      </w:r>
      <w:r w:rsidR="00B339C1">
        <w:t>or determination of compensatory</w:t>
      </w:r>
      <w:r>
        <w:t xml:space="preserve"> damages for loss of employment after the</w:t>
      </w:r>
      <w:r w:rsidR="00B339C1">
        <w:t xml:space="preserve"> parties l</w:t>
      </w:r>
      <w:r w:rsidR="00D247D0">
        <w:t>ead evidence on the issue.</w:t>
      </w:r>
    </w:p>
    <w:p w:rsidR="00D247D0" w:rsidRDefault="00D247D0" w:rsidP="00205519">
      <w:pPr>
        <w:pStyle w:val="ListParagraph"/>
        <w:numPr>
          <w:ilvl w:val="0"/>
          <w:numId w:val="4"/>
        </w:numPr>
        <w:spacing w:line="360" w:lineRule="auto"/>
        <w:jc w:val="both"/>
      </w:pPr>
      <w:r>
        <w:t>Each party bears its own costs.</w:t>
      </w:r>
    </w:p>
    <w:p w:rsidR="00B01657" w:rsidRDefault="00B01657" w:rsidP="002A6445">
      <w:pPr>
        <w:spacing w:line="360" w:lineRule="auto"/>
        <w:jc w:val="both"/>
      </w:pPr>
    </w:p>
    <w:p w:rsidR="00023F53" w:rsidRDefault="00023F53" w:rsidP="002A6445">
      <w:pPr>
        <w:spacing w:line="360" w:lineRule="auto"/>
        <w:jc w:val="both"/>
      </w:pPr>
    </w:p>
    <w:p w:rsidR="00023F53" w:rsidRDefault="00A523C1" w:rsidP="002A6445">
      <w:pPr>
        <w:spacing w:line="360" w:lineRule="auto"/>
        <w:jc w:val="both"/>
      </w:pPr>
      <w:r w:rsidRPr="004F6DC0">
        <w:rPr>
          <w:i/>
        </w:rPr>
        <w:t xml:space="preserve">Messrs </w:t>
      </w:r>
      <w:r w:rsidR="00023F53" w:rsidRPr="004F6DC0">
        <w:rPr>
          <w:i/>
        </w:rPr>
        <w:t xml:space="preserve">Matsikidze &amp; </w:t>
      </w:r>
      <w:r w:rsidR="004F6DC0" w:rsidRPr="004F6DC0">
        <w:rPr>
          <w:i/>
        </w:rPr>
        <w:t>M</w:t>
      </w:r>
      <w:r w:rsidR="00023F53" w:rsidRPr="004F6DC0">
        <w:rPr>
          <w:i/>
        </w:rPr>
        <w:t>ucheche</w:t>
      </w:r>
      <w:r w:rsidR="00023F53">
        <w:t>, appellant’s legal practitioners</w:t>
      </w:r>
    </w:p>
    <w:p w:rsidR="00E576EF" w:rsidRDefault="00A523C1" w:rsidP="002A6445">
      <w:pPr>
        <w:spacing w:line="360" w:lineRule="auto"/>
        <w:jc w:val="both"/>
      </w:pPr>
      <w:r w:rsidRPr="00A523C1">
        <w:rPr>
          <w:i/>
        </w:rPr>
        <w:t>Messrs IEG Musimbe &amp; Partners</w:t>
      </w:r>
      <w:r>
        <w:t>, respondent’s legalpractitioners</w:t>
      </w:r>
    </w:p>
    <w:sectPr w:rsidR="00E576EF" w:rsidSect="009318B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D0" w:rsidRDefault="00836AD0" w:rsidP="009318BD">
      <w:r>
        <w:separator/>
      </w:r>
    </w:p>
  </w:endnote>
  <w:endnote w:type="continuationSeparator" w:id="0">
    <w:p w:rsidR="00836AD0" w:rsidRDefault="00836AD0" w:rsidP="0093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64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199E" w:rsidRDefault="00971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9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199E" w:rsidRDefault="00971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D0" w:rsidRDefault="00836AD0" w:rsidP="009318BD">
      <w:r>
        <w:separator/>
      </w:r>
    </w:p>
  </w:footnote>
  <w:footnote w:type="continuationSeparator" w:id="0">
    <w:p w:rsidR="00836AD0" w:rsidRDefault="00836AD0" w:rsidP="0093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9E" w:rsidRPr="009318BD" w:rsidRDefault="0097199E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6C198C">
      <w:rPr>
        <w:lang w:val="en-ZW"/>
      </w:rPr>
      <w:t>652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80E"/>
    <w:multiLevelType w:val="hybridMultilevel"/>
    <w:tmpl w:val="56042CC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E0007"/>
    <w:multiLevelType w:val="hybridMultilevel"/>
    <w:tmpl w:val="9810020C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8F59C1"/>
    <w:multiLevelType w:val="hybridMultilevel"/>
    <w:tmpl w:val="2D20B014"/>
    <w:lvl w:ilvl="0" w:tplc="3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962466"/>
    <w:multiLevelType w:val="hybridMultilevel"/>
    <w:tmpl w:val="E5B0119E"/>
    <w:lvl w:ilvl="0" w:tplc="F738E3E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4B"/>
    <w:rsid w:val="00023F53"/>
    <w:rsid w:val="0002787A"/>
    <w:rsid w:val="00030F13"/>
    <w:rsid w:val="0004358A"/>
    <w:rsid w:val="00054CD2"/>
    <w:rsid w:val="00074806"/>
    <w:rsid w:val="0008256C"/>
    <w:rsid w:val="000A7C60"/>
    <w:rsid w:val="000B19AD"/>
    <w:rsid w:val="000E61CB"/>
    <w:rsid w:val="000F23F5"/>
    <w:rsid w:val="00106EDE"/>
    <w:rsid w:val="00107796"/>
    <w:rsid w:val="00123C51"/>
    <w:rsid w:val="00140749"/>
    <w:rsid w:val="00143B08"/>
    <w:rsid w:val="0014489D"/>
    <w:rsid w:val="00145FE4"/>
    <w:rsid w:val="0014642A"/>
    <w:rsid w:val="00146804"/>
    <w:rsid w:val="001534AE"/>
    <w:rsid w:val="0016377E"/>
    <w:rsid w:val="00165CBB"/>
    <w:rsid w:val="00171482"/>
    <w:rsid w:val="0017258F"/>
    <w:rsid w:val="00173229"/>
    <w:rsid w:val="00184304"/>
    <w:rsid w:val="001A33C3"/>
    <w:rsid w:val="001A6987"/>
    <w:rsid w:val="001B32C3"/>
    <w:rsid w:val="001E3F83"/>
    <w:rsid w:val="00205519"/>
    <w:rsid w:val="00206FF9"/>
    <w:rsid w:val="002112F4"/>
    <w:rsid w:val="00213C8F"/>
    <w:rsid w:val="00213D6F"/>
    <w:rsid w:val="0027088D"/>
    <w:rsid w:val="00271ABB"/>
    <w:rsid w:val="00293A2F"/>
    <w:rsid w:val="002A274B"/>
    <w:rsid w:val="002A6445"/>
    <w:rsid w:val="0030450A"/>
    <w:rsid w:val="003166B6"/>
    <w:rsid w:val="00342B7B"/>
    <w:rsid w:val="00346728"/>
    <w:rsid w:val="00365FE7"/>
    <w:rsid w:val="0038151E"/>
    <w:rsid w:val="00393358"/>
    <w:rsid w:val="003C75C4"/>
    <w:rsid w:val="003D0018"/>
    <w:rsid w:val="003E2EBD"/>
    <w:rsid w:val="00405AA3"/>
    <w:rsid w:val="004143C8"/>
    <w:rsid w:val="0043373B"/>
    <w:rsid w:val="00464262"/>
    <w:rsid w:val="004654C5"/>
    <w:rsid w:val="00476CCE"/>
    <w:rsid w:val="004845B3"/>
    <w:rsid w:val="004B053F"/>
    <w:rsid w:val="004B12CF"/>
    <w:rsid w:val="004D050D"/>
    <w:rsid w:val="004E592E"/>
    <w:rsid w:val="004E665A"/>
    <w:rsid w:val="004F2B66"/>
    <w:rsid w:val="004F6DC0"/>
    <w:rsid w:val="005045D4"/>
    <w:rsid w:val="00514D84"/>
    <w:rsid w:val="00536036"/>
    <w:rsid w:val="00552428"/>
    <w:rsid w:val="0055315B"/>
    <w:rsid w:val="00565A71"/>
    <w:rsid w:val="00566FDA"/>
    <w:rsid w:val="005916BA"/>
    <w:rsid w:val="005A0D04"/>
    <w:rsid w:val="005E1032"/>
    <w:rsid w:val="005E1537"/>
    <w:rsid w:val="005F09A5"/>
    <w:rsid w:val="005F6526"/>
    <w:rsid w:val="005F73BB"/>
    <w:rsid w:val="00622C79"/>
    <w:rsid w:val="0064537F"/>
    <w:rsid w:val="006533DE"/>
    <w:rsid w:val="006619A3"/>
    <w:rsid w:val="00664BEB"/>
    <w:rsid w:val="00671B06"/>
    <w:rsid w:val="00677AAD"/>
    <w:rsid w:val="0069075B"/>
    <w:rsid w:val="00697DEB"/>
    <w:rsid w:val="006A07C2"/>
    <w:rsid w:val="006B2106"/>
    <w:rsid w:val="006B7CBF"/>
    <w:rsid w:val="006C198C"/>
    <w:rsid w:val="006C7DA4"/>
    <w:rsid w:val="006F0F08"/>
    <w:rsid w:val="00714CD0"/>
    <w:rsid w:val="007402EE"/>
    <w:rsid w:val="00754AE5"/>
    <w:rsid w:val="00763A9B"/>
    <w:rsid w:val="00764639"/>
    <w:rsid w:val="007733FF"/>
    <w:rsid w:val="00786DA1"/>
    <w:rsid w:val="00790045"/>
    <w:rsid w:val="00794F9F"/>
    <w:rsid w:val="00795F8D"/>
    <w:rsid w:val="00796B3E"/>
    <w:rsid w:val="007A3F83"/>
    <w:rsid w:val="007D2C89"/>
    <w:rsid w:val="007E35EE"/>
    <w:rsid w:val="007F053D"/>
    <w:rsid w:val="007F271E"/>
    <w:rsid w:val="0080315F"/>
    <w:rsid w:val="00807772"/>
    <w:rsid w:val="008242DB"/>
    <w:rsid w:val="00836AD0"/>
    <w:rsid w:val="00840B25"/>
    <w:rsid w:val="0084141D"/>
    <w:rsid w:val="00857894"/>
    <w:rsid w:val="008B0B77"/>
    <w:rsid w:val="008B5DC6"/>
    <w:rsid w:val="008B724B"/>
    <w:rsid w:val="008C3727"/>
    <w:rsid w:val="008E0138"/>
    <w:rsid w:val="008E0990"/>
    <w:rsid w:val="008F28BA"/>
    <w:rsid w:val="0090120D"/>
    <w:rsid w:val="00902FEA"/>
    <w:rsid w:val="00906FEC"/>
    <w:rsid w:val="00916B00"/>
    <w:rsid w:val="0092488E"/>
    <w:rsid w:val="009318BD"/>
    <w:rsid w:val="00932E31"/>
    <w:rsid w:val="00943916"/>
    <w:rsid w:val="0097199E"/>
    <w:rsid w:val="00980204"/>
    <w:rsid w:val="009A748C"/>
    <w:rsid w:val="009B5A18"/>
    <w:rsid w:val="009C0242"/>
    <w:rsid w:val="009C453C"/>
    <w:rsid w:val="009D023B"/>
    <w:rsid w:val="009D0709"/>
    <w:rsid w:val="009D172F"/>
    <w:rsid w:val="009D7A24"/>
    <w:rsid w:val="009F02AA"/>
    <w:rsid w:val="00A11651"/>
    <w:rsid w:val="00A1190D"/>
    <w:rsid w:val="00A16EA9"/>
    <w:rsid w:val="00A17CF9"/>
    <w:rsid w:val="00A20998"/>
    <w:rsid w:val="00A37F34"/>
    <w:rsid w:val="00A51CB9"/>
    <w:rsid w:val="00A523C1"/>
    <w:rsid w:val="00A530A3"/>
    <w:rsid w:val="00A83877"/>
    <w:rsid w:val="00A869B4"/>
    <w:rsid w:val="00A9771A"/>
    <w:rsid w:val="00AA7156"/>
    <w:rsid w:val="00AB1C4B"/>
    <w:rsid w:val="00AB7FD3"/>
    <w:rsid w:val="00AC14D7"/>
    <w:rsid w:val="00AD1575"/>
    <w:rsid w:val="00AE2607"/>
    <w:rsid w:val="00AF162F"/>
    <w:rsid w:val="00AF4419"/>
    <w:rsid w:val="00B01657"/>
    <w:rsid w:val="00B02D0A"/>
    <w:rsid w:val="00B03AAF"/>
    <w:rsid w:val="00B10810"/>
    <w:rsid w:val="00B2510C"/>
    <w:rsid w:val="00B339C1"/>
    <w:rsid w:val="00B42A2E"/>
    <w:rsid w:val="00B643D6"/>
    <w:rsid w:val="00B94D15"/>
    <w:rsid w:val="00BA7036"/>
    <w:rsid w:val="00BC255C"/>
    <w:rsid w:val="00BE19B7"/>
    <w:rsid w:val="00BF7734"/>
    <w:rsid w:val="00C00B73"/>
    <w:rsid w:val="00C42B0C"/>
    <w:rsid w:val="00C451AE"/>
    <w:rsid w:val="00C64732"/>
    <w:rsid w:val="00C76696"/>
    <w:rsid w:val="00C76D3E"/>
    <w:rsid w:val="00C8020D"/>
    <w:rsid w:val="00CB091B"/>
    <w:rsid w:val="00CB18F7"/>
    <w:rsid w:val="00CB27EE"/>
    <w:rsid w:val="00CB2893"/>
    <w:rsid w:val="00CC5ABE"/>
    <w:rsid w:val="00CE1FFF"/>
    <w:rsid w:val="00CE376B"/>
    <w:rsid w:val="00CE4095"/>
    <w:rsid w:val="00D201B1"/>
    <w:rsid w:val="00D247D0"/>
    <w:rsid w:val="00D27983"/>
    <w:rsid w:val="00D5680D"/>
    <w:rsid w:val="00D66605"/>
    <w:rsid w:val="00D873F0"/>
    <w:rsid w:val="00DA562C"/>
    <w:rsid w:val="00DB64FF"/>
    <w:rsid w:val="00DB7BE8"/>
    <w:rsid w:val="00DB7C79"/>
    <w:rsid w:val="00DC649D"/>
    <w:rsid w:val="00DD49C3"/>
    <w:rsid w:val="00DE2CB4"/>
    <w:rsid w:val="00DF0542"/>
    <w:rsid w:val="00DF6C40"/>
    <w:rsid w:val="00E024B7"/>
    <w:rsid w:val="00E4336E"/>
    <w:rsid w:val="00E50E79"/>
    <w:rsid w:val="00E56CC9"/>
    <w:rsid w:val="00E576EF"/>
    <w:rsid w:val="00E66BD9"/>
    <w:rsid w:val="00E66CD8"/>
    <w:rsid w:val="00E8513C"/>
    <w:rsid w:val="00E87B57"/>
    <w:rsid w:val="00E905E1"/>
    <w:rsid w:val="00E913A7"/>
    <w:rsid w:val="00E97333"/>
    <w:rsid w:val="00E973F1"/>
    <w:rsid w:val="00EB07DE"/>
    <w:rsid w:val="00EC016C"/>
    <w:rsid w:val="00EC0AA3"/>
    <w:rsid w:val="00EC2B95"/>
    <w:rsid w:val="00ED54CC"/>
    <w:rsid w:val="00EE437E"/>
    <w:rsid w:val="00EE7C66"/>
    <w:rsid w:val="00EF0D4A"/>
    <w:rsid w:val="00F12545"/>
    <w:rsid w:val="00F1671B"/>
    <w:rsid w:val="00F36B8C"/>
    <w:rsid w:val="00F650DC"/>
    <w:rsid w:val="00F7065A"/>
    <w:rsid w:val="00F72CA3"/>
    <w:rsid w:val="00F766EA"/>
    <w:rsid w:val="00FC00BC"/>
    <w:rsid w:val="00FD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4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74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F2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8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8BD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1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8BD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72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2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4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74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F2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8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8BD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1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8BD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72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3E44-0FED-420C-884A-74796CA6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40</cp:revision>
  <cp:lastPrinted>2016-10-11T13:07:00Z</cp:lastPrinted>
  <dcterms:created xsi:type="dcterms:W3CDTF">2016-10-06T10:55:00Z</dcterms:created>
  <dcterms:modified xsi:type="dcterms:W3CDTF">2016-10-18T10:15:00Z</dcterms:modified>
</cp:coreProperties>
</file>