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672" w:rsidRDefault="005E7E9F" w:rsidP="00D81A65">
      <w:pPr>
        <w:spacing w:line="240" w:lineRule="auto"/>
        <w:rPr>
          <w:b/>
        </w:rPr>
      </w:pPr>
      <w:proofErr w:type="gramStart"/>
      <w:r w:rsidRPr="005E7E9F">
        <w:rPr>
          <w:b/>
        </w:rPr>
        <w:t xml:space="preserve">IN THE LABOUR COURT OF ZIMBABWE </w:t>
      </w:r>
      <w:r w:rsidR="00D81A65">
        <w:rPr>
          <w:b/>
        </w:rPr>
        <w:t xml:space="preserve">   </w:t>
      </w:r>
      <w:r w:rsidRPr="005E7E9F">
        <w:rPr>
          <w:b/>
        </w:rPr>
        <w:t>JUDGE</w:t>
      </w:r>
      <w:r>
        <w:rPr>
          <w:b/>
        </w:rPr>
        <w:t>ME</w:t>
      </w:r>
      <w:r w:rsidRPr="005E7E9F">
        <w:rPr>
          <w:b/>
        </w:rPr>
        <w:t>NT NO</w:t>
      </w:r>
      <w:r w:rsidR="006073A6">
        <w:rPr>
          <w:b/>
        </w:rPr>
        <w:t>.</w:t>
      </w:r>
      <w:proofErr w:type="gramEnd"/>
      <w:r w:rsidR="006073A6">
        <w:rPr>
          <w:b/>
        </w:rPr>
        <w:t xml:space="preserve"> LC/H/</w:t>
      </w:r>
      <w:r w:rsidR="00D81A65">
        <w:rPr>
          <w:b/>
        </w:rPr>
        <w:t>251</w:t>
      </w:r>
      <w:r w:rsidR="006073A6">
        <w:rPr>
          <w:b/>
        </w:rPr>
        <w:t>/2020</w:t>
      </w:r>
    </w:p>
    <w:p w:rsidR="005E7E9F" w:rsidRDefault="005E7E9F" w:rsidP="00D81A65">
      <w:pPr>
        <w:spacing w:after="0" w:line="240" w:lineRule="auto"/>
        <w:rPr>
          <w:b/>
        </w:rPr>
      </w:pPr>
      <w:r>
        <w:rPr>
          <w:b/>
        </w:rPr>
        <w:t>HARARE</w:t>
      </w:r>
      <w:r w:rsidR="006073A6">
        <w:rPr>
          <w:b/>
        </w:rPr>
        <w:t>, 21 OCTOBER 2020</w:t>
      </w:r>
      <w:r w:rsidR="006073A6">
        <w:rPr>
          <w:b/>
        </w:rPr>
        <w:tab/>
      </w:r>
      <w:r w:rsidR="006073A6">
        <w:rPr>
          <w:b/>
        </w:rPr>
        <w:tab/>
      </w:r>
      <w:r w:rsidR="006073A6">
        <w:rPr>
          <w:b/>
        </w:rPr>
        <w:tab/>
      </w:r>
      <w:r w:rsidR="006073A6">
        <w:rPr>
          <w:b/>
        </w:rPr>
        <w:tab/>
      </w:r>
      <w:r>
        <w:rPr>
          <w:b/>
        </w:rPr>
        <w:t>CASE NO LC/H/REV/42/20</w:t>
      </w:r>
    </w:p>
    <w:p w:rsidR="00D81A65" w:rsidRDefault="00D81A65" w:rsidP="00D81A65">
      <w:pPr>
        <w:spacing w:after="0" w:line="240" w:lineRule="auto"/>
        <w:rPr>
          <w:b/>
        </w:rPr>
      </w:pPr>
    </w:p>
    <w:p w:rsidR="006073A6" w:rsidRDefault="006073A6" w:rsidP="00D81A65">
      <w:pPr>
        <w:spacing w:after="0" w:line="240" w:lineRule="auto"/>
        <w:rPr>
          <w:b/>
        </w:rPr>
      </w:pPr>
      <w:r>
        <w:rPr>
          <w:b/>
        </w:rPr>
        <w:t>AND 6 NOVEMBER 2020</w:t>
      </w:r>
    </w:p>
    <w:p w:rsidR="00D81A65" w:rsidRDefault="00D81A65" w:rsidP="00D81A65">
      <w:pPr>
        <w:spacing w:after="0" w:line="240" w:lineRule="auto"/>
        <w:rPr>
          <w:b/>
        </w:rPr>
      </w:pPr>
    </w:p>
    <w:p w:rsidR="005E7E9F" w:rsidRDefault="005E7E9F" w:rsidP="005E7E9F">
      <w:pPr>
        <w:spacing w:after="0"/>
      </w:pPr>
      <w:r>
        <w:t xml:space="preserve">In the matter between:- </w:t>
      </w:r>
    </w:p>
    <w:p w:rsidR="005E7E9F" w:rsidRDefault="005E7E9F" w:rsidP="005E7E9F">
      <w:pPr>
        <w:spacing w:after="0"/>
      </w:pPr>
    </w:p>
    <w:p w:rsidR="005E7E9F" w:rsidRDefault="001F1530" w:rsidP="006073A6">
      <w:pPr>
        <w:spacing w:after="0" w:line="240" w:lineRule="auto"/>
        <w:rPr>
          <w:b/>
        </w:rPr>
      </w:pPr>
      <w:r>
        <w:rPr>
          <w:b/>
        </w:rPr>
        <w:t xml:space="preserve">ROBSON MUNDANGA          </w:t>
      </w:r>
      <w:r w:rsidR="005E7E9F">
        <w:rPr>
          <w:b/>
        </w:rPr>
        <w:t xml:space="preserve">                                                 </w:t>
      </w:r>
      <w:r w:rsidR="00A82740">
        <w:rPr>
          <w:b/>
        </w:rPr>
        <w:t>APPLICANT</w:t>
      </w:r>
    </w:p>
    <w:p w:rsidR="005E7E9F" w:rsidRDefault="005E7E9F" w:rsidP="006073A6">
      <w:pPr>
        <w:spacing w:after="0" w:line="240" w:lineRule="auto"/>
        <w:rPr>
          <w:b/>
        </w:rPr>
      </w:pPr>
    </w:p>
    <w:p w:rsidR="005E7E9F" w:rsidRPr="006073A6" w:rsidRDefault="006073A6" w:rsidP="006073A6">
      <w:pPr>
        <w:spacing w:after="0" w:line="240" w:lineRule="auto"/>
      </w:pPr>
      <w:r w:rsidRPr="006073A6">
        <w:t>And</w:t>
      </w:r>
      <w:r w:rsidR="005E7E9F" w:rsidRPr="006073A6">
        <w:t xml:space="preserve"> </w:t>
      </w:r>
    </w:p>
    <w:p w:rsidR="005E7E9F" w:rsidRDefault="005E7E9F" w:rsidP="006073A6">
      <w:pPr>
        <w:spacing w:after="0" w:line="240" w:lineRule="auto"/>
        <w:rPr>
          <w:b/>
        </w:rPr>
      </w:pPr>
    </w:p>
    <w:p w:rsidR="005E7E9F" w:rsidRDefault="005E7E9F" w:rsidP="006073A6">
      <w:pPr>
        <w:spacing w:after="0" w:line="240" w:lineRule="auto"/>
        <w:rPr>
          <w:b/>
        </w:rPr>
      </w:pPr>
      <w:r>
        <w:rPr>
          <w:b/>
        </w:rPr>
        <w:t>RIOZIM CAM &amp; MOTOR MINE</w:t>
      </w:r>
      <w:r w:rsidR="001F1530">
        <w:rPr>
          <w:b/>
        </w:rPr>
        <w:t xml:space="preserve">        </w:t>
      </w:r>
      <w:r>
        <w:rPr>
          <w:b/>
        </w:rPr>
        <w:t xml:space="preserve"> </w:t>
      </w:r>
      <w:r w:rsidR="001F1530">
        <w:rPr>
          <w:b/>
        </w:rPr>
        <w:t xml:space="preserve">                                   RESPONDENT</w:t>
      </w:r>
    </w:p>
    <w:p w:rsidR="005E7E9F" w:rsidRDefault="005E7E9F" w:rsidP="006073A6">
      <w:pPr>
        <w:spacing w:after="0" w:line="240" w:lineRule="auto"/>
        <w:rPr>
          <w:b/>
        </w:rPr>
      </w:pPr>
    </w:p>
    <w:p w:rsidR="005E7E9F" w:rsidRDefault="005E7E9F" w:rsidP="005E7E9F">
      <w:pPr>
        <w:spacing w:after="0"/>
      </w:pPr>
      <w:r>
        <w:t>Before CHIVIZHE, J;</w:t>
      </w:r>
    </w:p>
    <w:p w:rsidR="005E7E9F" w:rsidRDefault="005E7E9F" w:rsidP="005E7E9F">
      <w:pPr>
        <w:spacing w:after="0"/>
      </w:pPr>
    </w:p>
    <w:p w:rsidR="005E7E9F" w:rsidRPr="006073A6" w:rsidRDefault="005E7E9F" w:rsidP="005E7E9F">
      <w:pPr>
        <w:spacing w:after="0"/>
        <w:rPr>
          <w:b/>
        </w:rPr>
      </w:pPr>
      <w:r w:rsidRPr="005E7E9F">
        <w:rPr>
          <w:b/>
        </w:rPr>
        <w:t xml:space="preserve">For </w:t>
      </w:r>
      <w:r w:rsidR="00A82740">
        <w:rPr>
          <w:b/>
        </w:rPr>
        <w:t>Applicant</w:t>
      </w:r>
      <w:r w:rsidRPr="005E7E9F">
        <w:rPr>
          <w:b/>
        </w:rPr>
        <w:t>:</w:t>
      </w:r>
      <w:r w:rsidR="00BF1817">
        <w:t xml:space="preserve"> </w:t>
      </w:r>
      <w:r w:rsidR="006073A6">
        <w:tab/>
      </w:r>
      <w:r w:rsidR="00BF1817" w:rsidRPr="006073A6">
        <w:rPr>
          <w:b/>
        </w:rPr>
        <w:t xml:space="preserve">Mr I. </w:t>
      </w:r>
      <w:proofErr w:type="spellStart"/>
      <w:r w:rsidR="00BF1817" w:rsidRPr="006073A6">
        <w:rPr>
          <w:b/>
        </w:rPr>
        <w:t>Mura</w:t>
      </w:r>
      <w:r w:rsidR="008B1933" w:rsidRPr="006073A6">
        <w:rPr>
          <w:b/>
        </w:rPr>
        <w:t>mbas</w:t>
      </w:r>
      <w:r w:rsidRPr="006073A6">
        <w:rPr>
          <w:b/>
        </w:rPr>
        <w:t>vina</w:t>
      </w:r>
      <w:proofErr w:type="spellEnd"/>
      <w:r w:rsidRPr="006073A6">
        <w:rPr>
          <w:b/>
        </w:rPr>
        <w:t xml:space="preserve"> (Legal Practitioner)</w:t>
      </w:r>
    </w:p>
    <w:p w:rsidR="005E7E9F" w:rsidRPr="006073A6" w:rsidRDefault="005E7E9F" w:rsidP="005E7E9F">
      <w:pPr>
        <w:spacing w:after="0"/>
        <w:rPr>
          <w:b/>
        </w:rPr>
      </w:pPr>
      <w:r w:rsidRPr="006073A6">
        <w:rPr>
          <w:b/>
        </w:rPr>
        <w:t>For Respondent</w:t>
      </w:r>
      <w:r w:rsidR="00695480" w:rsidRPr="006073A6">
        <w:rPr>
          <w:b/>
        </w:rPr>
        <w:t xml:space="preserve">: </w:t>
      </w:r>
      <w:r w:rsidR="006073A6" w:rsidRPr="006073A6">
        <w:rPr>
          <w:b/>
        </w:rPr>
        <w:tab/>
      </w:r>
      <w:r w:rsidR="00695480" w:rsidRPr="006073A6">
        <w:rPr>
          <w:b/>
        </w:rPr>
        <w:t xml:space="preserve">Ms J. </w:t>
      </w:r>
      <w:proofErr w:type="spellStart"/>
      <w:r w:rsidR="00695480" w:rsidRPr="006073A6">
        <w:rPr>
          <w:b/>
        </w:rPr>
        <w:t>Mushunje</w:t>
      </w:r>
      <w:proofErr w:type="spellEnd"/>
      <w:r w:rsidRPr="006073A6">
        <w:rPr>
          <w:b/>
        </w:rPr>
        <w:t xml:space="preserve"> (Legal Practitioner)</w:t>
      </w:r>
    </w:p>
    <w:p w:rsidR="005E7E9F" w:rsidRDefault="005E7E9F" w:rsidP="005E7E9F">
      <w:pPr>
        <w:spacing w:after="0"/>
      </w:pPr>
    </w:p>
    <w:p w:rsidR="005E7E9F" w:rsidRPr="002E0923" w:rsidRDefault="005E7E9F" w:rsidP="006073A6">
      <w:pPr>
        <w:spacing w:after="0"/>
        <w:rPr>
          <w:b/>
        </w:rPr>
      </w:pPr>
      <w:r w:rsidRPr="002E0923">
        <w:rPr>
          <w:b/>
        </w:rPr>
        <w:t>CHIVIZHE, J:</w:t>
      </w:r>
    </w:p>
    <w:p w:rsidR="005E7E9F" w:rsidRDefault="005E7E9F" w:rsidP="005E7E9F">
      <w:pPr>
        <w:spacing w:after="0"/>
      </w:pPr>
    </w:p>
    <w:p w:rsidR="005E7E9F" w:rsidRDefault="00BF1817" w:rsidP="005E7E9F">
      <w:pPr>
        <w:spacing w:after="0"/>
      </w:pPr>
      <w:r>
        <w:tab/>
      </w:r>
      <w:r w:rsidR="00D22DC9">
        <w:t>On the date of the hearing the Applicant made an application for withdrawal with costs on an ordinary scale. The Respondent having objected t</w:t>
      </w:r>
      <w:r w:rsidR="00E4755D">
        <w:t>h</w:t>
      </w:r>
      <w:r w:rsidR="00D22DC9">
        <w:t xml:space="preserve">e court handed down an </w:t>
      </w:r>
      <w:r w:rsidR="00D22DC9" w:rsidRPr="00E4755D">
        <w:rPr>
          <w:i/>
        </w:rPr>
        <w:t>extempo</w:t>
      </w:r>
      <w:r w:rsidR="00E4755D" w:rsidRPr="00E4755D">
        <w:rPr>
          <w:i/>
        </w:rPr>
        <w:t>re</w:t>
      </w:r>
      <w:r w:rsidR="00E4755D">
        <w:t xml:space="preserve"> ruling. Thereafter an order as follows was granted.</w:t>
      </w:r>
      <w:r w:rsidR="005E7E9F">
        <w:t xml:space="preserve"> </w:t>
      </w:r>
    </w:p>
    <w:p w:rsidR="005E7E9F" w:rsidRDefault="005E7E9F" w:rsidP="005E7E9F">
      <w:pPr>
        <w:spacing w:after="0"/>
      </w:pPr>
    </w:p>
    <w:p w:rsidR="005E7E9F" w:rsidRPr="006073A6" w:rsidRDefault="00BF1817" w:rsidP="005E7E9F">
      <w:pPr>
        <w:spacing w:after="0"/>
        <w:rPr>
          <w:b/>
          <w:sz w:val="22"/>
        </w:rPr>
      </w:pPr>
      <w:r w:rsidRPr="006073A6">
        <w:rPr>
          <w:b/>
          <w:sz w:val="22"/>
        </w:rPr>
        <w:t xml:space="preserve">“IT IS ORDERED THAT </w:t>
      </w:r>
    </w:p>
    <w:p w:rsidR="00BF1817" w:rsidRPr="006073A6" w:rsidRDefault="00BF1817" w:rsidP="005E7E9F">
      <w:pPr>
        <w:spacing w:after="0"/>
        <w:rPr>
          <w:sz w:val="22"/>
        </w:rPr>
      </w:pPr>
    </w:p>
    <w:p w:rsidR="00BF1817" w:rsidRPr="006073A6" w:rsidRDefault="00BF1817" w:rsidP="00BF1817">
      <w:pPr>
        <w:pStyle w:val="ListParagraph"/>
        <w:numPr>
          <w:ilvl w:val="0"/>
          <w:numId w:val="1"/>
        </w:numPr>
        <w:spacing w:after="0"/>
        <w:rPr>
          <w:sz w:val="22"/>
        </w:rPr>
      </w:pPr>
      <w:r w:rsidRPr="006073A6">
        <w:rPr>
          <w:sz w:val="22"/>
        </w:rPr>
        <w:t xml:space="preserve">The application filed under </w:t>
      </w:r>
      <w:r w:rsidRPr="006073A6">
        <w:rPr>
          <w:b/>
          <w:sz w:val="22"/>
        </w:rPr>
        <w:t xml:space="preserve">LC/H/REV/42/20 </w:t>
      </w:r>
      <w:r w:rsidRPr="006073A6">
        <w:rPr>
          <w:sz w:val="22"/>
        </w:rPr>
        <w:t>be and is hereby withdrawn.</w:t>
      </w:r>
    </w:p>
    <w:p w:rsidR="00BF1817" w:rsidRPr="006073A6" w:rsidRDefault="00BF1817" w:rsidP="00BF1817">
      <w:pPr>
        <w:pStyle w:val="ListParagraph"/>
        <w:numPr>
          <w:ilvl w:val="0"/>
          <w:numId w:val="1"/>
        </w:numPr>
        <w:spacing w:after="0"/>
        <w:rPr>
          <w:sz w:val="22"/>
        </w:rPr>
      </w:pPr>
      <w:r w:rsidRPr="006073A6">
        <w:rPr>
          <w:sz w:val="22"/>
        </w:rPr>
        <w:t>The Applicant shall pay costs on a higher scale</w:t>
      </w:r>
      <w:proofErr w:type="gramStart"/>
      <w:r w:rsidRPr="006073A6">
        <w:rPr>
          <w:sz w:val="22"/>
        </w:rPr>
        <w:t>.“</w:t>
      </w:r>
      <w:proofErr w:type="gramEnd"/>
    </w:p>
    <w:p w:rsidR="005E7E9F" w:rsidRDefault="005E7E9F" w:rsidP="005E7E9F">
      <w:pPr>
        <w:spacing w:after="0"/>
      </w:pPr>
    </w:p>
    <w:p w:rsidR="00AF0545" w:rsidRDefault="005E7E9F" w:rsidP="005E7E9F">
      <w:pPr>
        <w:spacing w:after="0"/>
      </w:pPr>
      <w:r>
        <w:tab/>
        <w:t>On 2</w:t>
      </w:r>
      <w:r w:rsidRPr="005E7E9F">
        <w:rPr>
          <w:vertAlign w:val="superscript"/>
        </w:rPr>
        <w:t>nd</w:t>
      </w:r>
      <w:r>
        <w:t xml:space="preserve"> October 2020 the </w:t>
      </w:r>
      <w:r w:rsidR="00A82740">
        <w:t>Applicant</w:t>
      </w:r>
      <w:r>
        <w:t xml:space="preserve"> Legal Practitioner wrote to the Registrar of court requesting for a copy the order as well as the </w:t>
      </w:r>
      <w:r w:rsidR="00495422">
        <w:t>written</w:t>
      </w:r>
      <w:r>
        <w:t xml:space="preserve"> reason</w:t>
      </w:r>
      <w:r w:rsidR="00495422">
        <w:t>s</w:t>
      </w:r>
      <w:r w:rsidR="00AF0545">
        <w:t xml:space="preserve"> for the said order. He indicated in the same letter his intention to appeal against this court’s order of punitive costs. The following constitutes my reasons for the order</w:t>
      </w:r>
      <w:r w:rsidR="00695480">
        <w:t xml:space="preserve"> of punitive costs</w:t>
      </w:r>
      <w:r w:rsidR="00AF0545">
        <w:t xml:space="preserve"> as granted.</w:t>
      </w:r>
    </w:p>
    <w:p w:rsidR="00C97672" w:rsidRDefault="00C97672" w:rsidP="00C97672">
      <w:pPr>
        <w:spacing w:after="0"/>
        <w:ind w:firstLine="720"/>
      </w:pPr>
    </w:p>
    <w:p w:rsidR="005E7E9F" w:rsidRDefault="00AF0545" w:rsidP="00C97672">
      <w:pPr>
        <w:spacing w:after="0"/>
        <w:ind w:firstLine="720"/>
      </w:pPr>
      <w:r>
        <w:lastRenderedPageBreak/>
        <w:t>By way of background</w:t>
      </w:r>
      <w:r w:rsidR="005E7E9F">
        <w:t xml:space="preserve"> </w:t>
      </w:r>
      <w:r w:rsidR="00C97672">
        <w:t>the matter was filed with this court as an application for review. The application was filed on 25 June 2020. On the 10</w:t>
      </w:r>
      <w:r w:rsidR="00C97672" w:rsidRPr="00C97672">
        <w:rPr>
          <w:vertAlign w:val="superscript"/>
        </w:rPr>
        <w:t>th</w:t>
      </w:r>
      <w:r w:rsidR="00C97672">
        <w:t xml:space="preserve"> of July 2020 the Respondent filed its Notice of Response. In</w:t>
      </w:r>
      <w:r w:rsidR="00296804">
        <w:t xml:space="preserve"> its O</w:t>
      </w:r>
      <w:r w:rsidR="00C97672">
        <w:t xml:space="preserve">pposing Affidavit </w:t>
      </w:r>
      <w:r w:rsidR="00695480">
        <w:t xml:space="preserve">the </w:t>
      </w:r>
      <w:r w:rsidR="00C97672">
        <w:t xml:space="preserve">Respondent raised several defects with the application. Firstly, that, whereas the Rules required an application for review to be </w:t>
      </w:r>
      <w:r w:rsidR="00296804">
        <w:t xml:space="preserve">on </w:t>
      </w:r>
      <w:r w:rsidR="00C97672">
        <w:t xml:space="preserve">Form L.C. 5 with an accompanying affidavit, the </w:t>
      </w:r>
      <w:r w:rsidR="00695480">
        <w:t>instan</w:t>
      </w:r>
      <w:r w:rsidR="00296804">
        <w:t xml:space="preserve">t </w:t>
      </w:r>
      <w:r w:rsidR="00C97672">
        <w:t>application had been filed on a ‘Form C4’</w:t>
      </w:r>
      <w:r w:rsidR="005E7E9F">
        <w:t xml:space="preserve"> </w:t>
      </w:r>
      <w:r w:rsidR="00C97672">
        <w:t xml:space="preserve">which is alien to the rules; secondly as the application was not filed on Form L.C. 5 there was consequently no accompanying sworn affidavit filed attesting to the facts giving rise to the review application. Thirdly, Respondent noted that aside from the procedural defects outlined above the </w:t>
      </w:r>
      <w:r w:rsidR="00A82740">
        <w:t>Applicant</w:t>
      </w:r>
      <w:r w:rsidR="00C97672">
        <w:t xml:space="preserve"> had also strangely attached instead of fact</w:t>
      </w:r>
      <w:r w:rsidR="00296804">
        <w:t>s</w:t>
      </w:r>
      <w:r w:rsidR="00C97672">
        <w:t xml:space="preserve"> giving rise </w:t>
      </w:r>
      <w:r w:rsidR="00296804">
        <w:t>to the application for review, a</w:t>
      </w:r>
      <w:r w:rsidR="00C97672">
        <w:t>n Annexure “A” which</w:t>
      </w:r>
      <w:r w:rsidR="00585898">
        <w:t xml:space="preserve"> was clearly listing “Grounds of Appeal”. On this basis the Respondent raised the point of the application before the court being vague and embarrassing </w:t>
      </w:r>
      <w:r w:rsidR="00797043">
        <w:t xml:space="preserve">to the extent the Respondent was not clear as to which case it was supposed to respond. </w:t>
      </w:r>
    </w:p>
    <w:p w:rsidR="00797043" w:rsidRDefault="00797043" w:rsidP="00C97672">
      <w:pPr>
        <w:spacing w:after="0"/>
        <w:ind w:firstLine="720"/>
      </w:pPr>
    </w:p>
    <w:p w:rsidR="00797043" w:rsidRDefault="00797043" w:rsidP="00C97672">
      <w:pPr>
        <w:spacing w:after="0"/>
        <w:ind w:firstLine="720"/>
      </w:pPr>
      <w:r>
        <w:t>The parties filed and served each other with the Heads of Arguments. In Respon</w:t>
      </w:r>
      <w:r w:rsidR="00695480">
        <w:t>dent Head of Arguments the issue</w:t>
      </w:r>
      <w:r>
        <w:t xml:space="preserve"> of</w:t>
      </w:r>
      <w:r w:rsidR="00296804">
        <w:t xml:space="preserve"> the defects in</w:t>
      </w:r>
      <w:r>
        <w:t xml:space="preserve"> the application was again</w:t>
      </w:r>
      <w:r w:rsidR="00695480">
        <w:t xml:space="preserve"> reiterated. The Respondent</w:t>
      </w:r>
      <w:r>
        <w:t xml:space="preserve"> again pointed to</w:t>
      </w:r>
      <w:r w:rsidR="00695480">
        <w:t xml:space="preserve"> the</w:t>
      </w:r>
      <w:r>
        <w:t xml:space="preserve"> vague and embarrassing application before </w:t>
      </w:r>
      <w:r w:rsidR="00296804">
        <w:t xml:space="preserve">the court. Needless to point out </w:t>
      </w:r>
      <w:r>
        <w:t xml:space="preserve">the matter </w:t>
      </w:r>
      <w:proofErr w:type="gramStart"/>
      <w:r>
        <w:t>proceeded</w:t>
      </w:r>
      <w:proofErr w:type="gramEnd"/>
      <w:r>
        <w:t xml:space="preserve"> </w:t>
      </w:r>
      <w:r w:rsidR="00296804">
        <w:t xml:space="preserve">headlong </w:t>
      </w:r>
      <w:r>
        <w:t>to the next stage</w:t>
      </w:r>
      <w:r w:rsidR="00695480">
        <w:t xml:space="preserve"> the Applicant not having reacted</w:t>
      </w:r>
      <w:r w:rsidR="00296804">
        <w:t xml:space="preserve"> </w:t>
      </w:r>
      <w:r w:rsidR="00E4755D">
        <w:t>i</w:t>
      </w:r>
      <w:r w:rsidR="00296804">
        <w:t>n any way</w:t>
      </w:r>
      <w:r>
        <w:t>. The matter was set down for hearing.</w:t>
      </w:r>
    </w:p>
    <w:p w:rsidR="00797043" w:rsidRDefault="00797043" w:rsidP="00C97672">
      <w:pPr>
        <w:spacing w:after="0"/>
        <w:ind w:firstLine="720"/>
      </w:pPr>
    </w:p>
    <w:p w:rsidR="00072A0E" w:rsidRDefault="00797043" w:rsidP="00C97672">
      <w:pPr>
        <w:spacing w:after="0"/>
        <w:ind w:firstLine="720"/>
      </w:pPr>
      <w:r>
        <w:t>On the date of hearing the parties appeared. The applicant attended wit</w:t>
      </w:r>
      <w:r w:rsidR="00695480">
        <w:t xml:space="preserve">h his Legal Practitioner, Mr </w:t>
      </w:r>
      <w:proofErr w:type="spellStart"/>
      <w:r w:rsidR="00695480">
        <w:t>Mu</w:t>
      </w:r>
      <w:r w:rsidR="00296804">
        <w:t>ra</w:t>
      </w:r>
      <w:r w:rsidR="00932A6F">
        <w:t>mbas</w:t>
      </w:r>
      <w:r w:rsidR="00695480">
        <w:t>v</w:t>
      </w:r>
      <w:r w:rsidR="00932A6F">
        <w:t>i</w:t>
      </w:r>
      <w:r w:rsidR="00695480">
        <w:t>na</w:t>
      </w:r>
      <w:proofErr w:type="spellEnd"/>
      <w:r w:rsidR="00695480">
        <w:t xml:space="preserve">. Mr </w:t>
      </w:r>
      <w:proofErr w:type="spellStart"/>
      <w:r w:rsidR="00695480">
        <w:t>Mu</w:t>
      </w:r>
      <w:r w:rsidR="00296804">
        <w:t>ra</w:t>
      </w:r>
      <w:r>
        <w:t>mbasvina</w:t>
      </w:r>
      <w:proofErr w:type="spellEnd"/>
      <w:r>
        <w:t xml:space="preserve"> then indicated that, after going through the Respondent’s Heads of Argument he was now withdrawing the application and tendering costs. Ms </w:t>
      </w:r>
      <w:proofErr w:type="spellStart"/>
      <w:r>
        <w:t>Mushunje</w:t>
      </w:r>
      <w:proofErr w:type="spellEnd"/>
      <w:r>
        <w:t>, for the Respondent,</w:t>
      </w:r>
      <w:r w:rsidR="00D15F75">
        <w:t xml:space="preserve"> then submitted that the matter clearly warranted an order of costs on the </w:t>
      </w:r>
      <w:r w:rsidR="00482B78">
        <w:t>higher</w:t>
      </w:r>
      <w:r w:rsidR="00D15F75">
        <w:t xml:space="preserve"> scale.</w:t>
      </w:r>
      <w:r w:rsidR="008958D3">
        <w:t xml:space="preserve"> This was in view of the history</w:t>
      </w:r>
      <w:r w:rsidR="00D15F75">
        <w:t xml:space="preserve"> of the matter. The </w:t>
      </w:r>
      <w:r w:rsidR="00A82740">
        <w:t>Applicant</w:t>
      </w:r>
      <w:r w:rsidR="00D15F75">
        <w:t xml:space="preserve"> had been advised through Respondent’s Notice of Opposition of the defects in his application. The </w:t>
      </w:r>
      <w:r w:rsidR="00A82740">
        <w:t>Applicant</w:t>
      </w:r>
      <w:r w:rsidR="00D15F75">
        <w:t xml:space="preserve"> had further been notified through Respondent’s Heads of Argument of the same point. The </w:t>
      </w:r>
      <w:r w:rsidR="00A82740">
        <w:t>Applicant</w:t>
      </w:r>
      <w:r w:rsidR="00D15F75">
        <w:t xml:space="preserve"> had however proceeded headlong with his application resulting in the matter being set down. The Respondent had made an appearance thus </w:t>
      </w:r>
      <w:r w:rsidR="00D15F75">
        <w:lastRenderedPageBreak/>
        <w:t>incur</w:t>
      </w:r>
      <w:r w:rsidR="000D11B1">
        <w:t>ring further unnecessary</w:t>
      </w:r>
      <w:r w:rsidR="00D15F75">
        <w:t xml:space="preserve"> costs. Ms </w:t>
      </w:r>
      <w:proofErr w:type="spellStart"/>
      <w:r w:rsidR="00D15F75">
        <w:t>Mushun</w:t>
      </w:r>
      <w:r w:rsidR="00835302">
        <w:t>j</w:t>
      </w:r>
      <w:r w:rsidR="00D15F75">
        <w:t>e</w:t>
      </w:r>
      <w:proofErr w:type="spellEnd"/>
      <w:r w:rsidR="00D15F75">
        <w:t xml:space="preserve"> further noted that it was the general position that costs are discretionary on the court. In circumstances </w:t>
      </w:r>
      <w:r w:rsidR="00835302">
        <w:t xml:space="preserve">however where a party had conducted itself then an award of costs on </w:t>
      </w:r>
      <w:r w:rsidR="006D2CF4">
        <w:t>the</w:t>
      </w:r>
      <w:r w:rsidR="000D11B1">
        <w:t xml:space="preserve"> </w:t>
      </w:r>
      <w:r w:rsidR="00835302">
        <w:t xml:space="preserve">punitive scale is warranted. Ms </w:t>
      </w:r>
      <w:proofErr w:type="spellStart"/>
      <w:r w:rsidR="00835302">
        <w:t>Mushunje</w:t>
      </w:r>
      <w:proofErr w:type="spellEnd"/>
      <w:r w:rsidR="00835302">
        <w:t xml:space="preserve"> placed reliance on authorities in </w:t>
      </w:r>
      <w:proofErr w:type="spellStart"/>
      <w:r w:rsidR="000D11B1" w:rsidRPr="000D11B1">
        <w:t>Herbstein</w:t>
      </w:r>
      <w:proofErr w:type="spellEnd"/>
      <w:r w:rsidR="000D11B1" w:rsidRPr="000D11B1">
        <w:t xml:space="preserve"> and Van </w:t>
      </w:r>
      <w:proofErr w:type="spellStart"/>
      <w:r w:rsidR="000D11B1" w:rsidRPr="000D11B1">
        <w:t>Winsen</w:t>
      </w:r>
      <w:proofErr w:type="spellEnd"/>
      <w:r w:rsidR="000D11B1" w:rsidRPr="000D11B1">
        <w:t xml:space="preserve">: </w:t>
      </w:r>
      <w:r w:rsidR="000D11B1" w:rsidRPr="000D11B1">
        <w:rPr>
          <w:i/>
        </w:rPr>
        <w:t>The Civil Practice of the High Courts &amp; Supreme Court of Appeal of South Africa</w:t>
      </w:r>
      <w:r w:rsidR="000D11B1">
        <w:t xml:space="preserve"> </w:t>
      </w:r>
      <w:r w:rsidR="00835302">
        <w:t>5</w:t>
      </w:r>
      <w:r w:rsidR="00835302" w:rsidRPr="00835302">
        <w:rPr>
          <w:vertAlign w:val="superscript"/>
        </w:rPr>
        <w:t>th</w:t>
      </w:r>
      <w:r w:rsidR="00835302">
        <w:t xml:space="preserve"> Edition and </w:t>
      </w:r>
      <w:r w:rsidR="00234814">
        <w:t xml:space="preserve">Professor AC </w:t>
      </w:r>
      <w:proofErr w:type="spellStart"/>
      <w:r w:rsidR="00234814">
        <w:t>Cilliers</w:t>
      </w:r>
      <w:proofErr w:type="spellEnd"/>
      <w:r w:rsidR="00234814">
        <w:t xml:space="preserve">, CR </w:t>
      </w:r>
      <w:proofErr w:type="spellStart"/>
      <w:r w:rsidR="00234814">
        <w:t>Cilliers</w:t>
      </w:r>
      <w:proofErr w:type="spellEnd"/>
      <w:r w:rsidR="00234814">
        <w:t xml:space="preserve"> and M </w:t>
      </w:r>
      <w:proofErr w:type="spellStart"/>
      <w:r w:rsidR="00234814">
        <w:t>Cilliers</w:t>
      </w:r>
      <w:proofErr w:type="spellEnd"/>
      <w:r w:rsidR="00234814">
        <w:t xml:space="preserve"> : </w:t>
      </w:r>
      <w:r w:rsidR="00B73859" w:rsidRPr="00B73859">
        <w:rPr>
          <w:i/>
        </w:rPr>
        <w:t>Law of Costs</w:t>
      </w:r>
      <w:r w:rsidR="00B73859">
        <w:t xml:space="preserve"> </w:t>
      </w:r>
      <w:r w:rsidR="00234814">
        <w:t xml:space="preserve"> </w:t>
      </w:r>
      <w:r w:rsidR="00B73859">
        <w:t>2</w:t>
      </w:r>
      <w:r w:rsidR="00B73859" w:rsidRPr="00B73859">
        <w:rPr>
          <w:vertAlign w:val="superscript"/>
        </w:rPr>
        <w:t>nd</w:t>
      </w:r>
      <w:r w:rsidR="00B73859">
        <w:t xml:space="preserve"> Edition. On this basis Ms </w:t>
      </w:r>
      <w:proofErr w:type="spellStart"/>
      <w:r w:rsidR="00B73859">
        <w:t>Mushunje</w:t>
      </w:r>
      <w:proofErr w:type="spellEnd"/>
      <w:r w:rsidR="00B73859">
        <w:t xml:space="preserve"> submitted</w:t>
      </w:r>
      <w:r w:rsidR="00482B78">
        <w:t xml:space="preserve"> that the Respondent was </w:t>
      </w:r>
      <w:r w:rsidR="00695480">
        <w:t>insisting</w:t>
      </w:r>
      <w:r w:rsidR="00482B78">
        <w:t xml:space="preserve"> on</w:t>
      </w:r>
      <w:r w:rsidR="00695480">
        <w:t xml:space="preserve"> costs on</w:t>
      </w:r>
      <w:r w:rsidR="00482B78">
        <w:t xml:space="preserve"> a higher scale</w:t>
      </w:r>
      <w:r w:rsidR="00072A0E">
        <w:t>.</w:t>
      </w:r>
    </w:p>
    <w:p w:rsidR="00072A0E" w:rsidRDefault="00072A0E" w:rsidP="00C97672">
      <w:pPr>
        <w:spacing w:after="0"/>
        <w:ind w:firstLine="720"/>
      </w:pPr>
    </w:p>
    <w:p w:rsidR="00CC5406" w:rsidRDefault="00072A0E" w:rsidP="00C97672">
      <w:pPr>
        <w:spacing w:after="0"/>
        <w:ind w:firstLine="720"/>
      </w:pPr>
      <w:r>
        <w:t xml:space="preserve">Mr </w:t>
      </w:r>
      <w:proofErr w:type="spellStart"/>
      <w:r>
        <w:t>Murambasvina</w:t>
      </w:r>
      <w:proofErr w:type="spellEnd"/>
      <w:r>
        <w:t>, for</w:t>
      </w:r>
      <w:r w:rsidR="00933C6A">
        <w:t xml:space="preserve"> the Applicant noted that whilst</w:t>
      </w:r>
      <w:r>
        <w:t xml:space="preserve"> it was indeed within the discretion of the court to award costs on a higher scale in a</w:t>
      </w:r>
      <w:r w:rsidR="00933C6A">
        <w:t>ny</w:t>
      </w:r>
      <w:r>
        <w:t xml:space="preserve"> matter, the circumstances in this matter </w:t>
      </w:r>
      <w:r w:rsidR="00933C6A">
        <w:t xml:space="preserve">however </w:t>
      </w:r>
      <w:r>
        <w:t>did not justify such an award.</w:t>
      </w:r>
      <w:r w:rsidR="00933C6A">
        <w:t xml:space="preserve"> It had to be emphasised that t</w:t>
      </w:r>
      <w:r>
        <w:t>he Applicant had withdrawn the defective application after it became apparent to him upon perusal of Respondent Heads of Argument</w:t>
      </w:r>
      <w:r w:rsidR="00695480">
        <w:t xml:space="preserve"> that the application was defective</w:t>
      </w:r>
      <w:r>
        <w:t xml:space="preserve">. </w:t>
      </w:r>
      <w:r w:rsidR="00933C6A">
        <w:t>Although</w:t>
      </w:r>
      <w:r>
        <w:t xml:space="preserve"> the point had </w:t>
      </w:r>
      <w:r w:rsidR="00933C6A">
        <w:t xml:space="preserve">initially </w:t>
      </w:r>
      <w:r>
        <w:t xml:space="preserve">been raised in Respondent Notice of Opposition </w:t>
      </w:r>
      <w:r w:rsidR="00695480">
        <w:t xml:space="preserve">the </w:t>
      </w:r>
      <w:r>
        <w:t>Applicant had persisted with the matter in a bid to ensure he obtained justice in the matter</w:t>
      </w:r>
      <w:r w:rsidR="00A82740">
        <w:t>.</w:t>
      </w:r>
      <w:r w:rsidR="00933C6A">
        <w:t xml:space="preserve"> Mr </w:t>
      </w:r>
      <w:proofErr w:type="spellStart"/>
      <w:proofErr w:type="gramStart"/>
      <w:r w:rsidR="00933C6A">
        <w:t>Mura</w:t>
      </w:r>
      <w:r w:rsidR="00CD61AE">
        <w:t>mbasvina</w:t>
      </w:r>
      <w:proofErr w:type="spellEnd"/>
      <w:r w:rsidR="00CD61AE">
        <w:t>,</w:t>
      </w:r>
      <w:proofErr w:type="gramEnd"/>
      <w:r w:rsidR="00CD61AE">
        <w:t xml:space="preserve"> also emphasised on the fact that Applicant had himself withdrawn his application. The court had not been forced to raise the issue </w:t>
      </w:r>
      <w:r w:rsidR="00CD61AE">
        <w:rPr>
          <w:i/>
        </w:rPr>
        <w:t xml:space="preserve">mero </w:t>
      </w:r>
      <w:proofErr w:type="spellStart"/>
      <w:r w:rsidR="00CD61AE">
        <w:rPr>
          <w:i/>
        </w:rPr>
        <w:t>motu</w:t>
      </w:r>
      <w:proofErr w:type="spellEnd"/>
      <w:r w:rsidR="00CD61AE">
        <w:rPr>
          <w:i/>
        </w:rPr>
        <w:t xml:space="preserve">. </w:t>
      </w:r>
      <w:r w:rsidR="00CD61AE">
        <w:t>On this basis higher costs were clearly not warranted</w:t>
      </w:r>
      <w:r w:rsidR="00F24DE1">
        <w:t xml:space="preserve">. His prayer was that the </w:t>
      </w:r>
      <w:proofErr w:type="gramStart"/>
      <w:r w:rsidR="00F24DE1">
        <w:t xml:space="preserve">court </w:t>
      </w:r>
      <w:r w:rsidR="00CD61AE">
        <w:t>grant</w:t>
      </w:r>
      <w:proofErr w:type="gramEnd"/>
      <w:r w:rsidR="00CD61AE">
        <w:t xml:space="preserve"> an order of costs on the ordinary scale.</w:t>
      </w:r>
    </w:p>
    <w:p w:rsidR="00CC5406" w:rsidRDefault="00CC5406" w:rsidP="00C97672">
      <w:pPr>
        <w:spacing w:after="0"/>
        <w:ind w:firstLine="720"/>
      </w:pPr>
    </w:p>
    <w:p w:rsidR="00CC5406" w:rsidRDefault="006D2CF4" w:rsidP="00C97672">
      <w:pPr>
        <w:spacing w:after="0"/>
        <w:ind w:firstLine="720"/>
        <w:rPr>
          <w:b/>
        </w:rPr>
      </w:pPr>
      <w:proofErr w:type="gramStart"/>
      <w:r>
        <w:rPr>
          <w:b/>
        </w:rPr>
        <w:t>Legal Practitioner</w:t>
      </w:r>
      <w:r w:rsidR="00CC5406" w:rsidRPr="00CC5406">
        <w:rPr>
          <w:b/>
        </w:rPr>
        <w:t xml:space="preserve"> and Clients Costs?</w:t>
      </w:r>
      <w:proofErr w:type="gramEnd"/>
      <w:r w:rsidR="00482B78" w:rsidRPr="00CC5406">
        <w:rPr>
          <w:b/>
        </w:rPr>
        <w:t xml:space="preserve"> </w:t>
      </w:r>
    </w:p>
    <w:p w:rsidR="00002A54" w:rsidRPr="00B5723B" w:rsidRDefault="00D22DC9" w:rsidP="00253E9C">
      <w:pPr>
        <w:spacing w:after="0"/>
        <w:ind w:firstLine="720"/>
      </w:pPr>
      <w:r>
        <w:t xml:space="preserve"> </w:t>
      </w:r>
      <w:r w:rsidR="00002A54" w:rsidRPr="00B5723B">
        <w:t>Rule 39 of the</w:t>
      </w:r>
      <w:r w:rsidR="00002A54">
        <w:t xml:space="preserve"> rules of</w:t>
      </w:r>
      <w:r w:rsidR="00002A54" w:rsidRPr="00B5723B">
        <w:t xml:space="preserve"> this court provides that;</w:t>
      </w:r>
    </w:p>
    <w:p w:rsidR="00002A54" w:rsidRPr="00B5723B" w:rsidRDefault="00002A54" w:rsidP="00002A54">
      <w:pPr>
        <w:pStyle w:val="Default"/>
        <w:spacing w:before="240" w:line="360" w:lineRule="auto"/>
        <w:ind w:left="720"/>
        <w:jc w:val="both"/>
        <w:rPr>
          <w:rFonts w:ascii="Tahoma" w:hAnsi="Tahoma" w:cs="Tahoma"/>
          <w:sz w:val="20"/>
          <w:szCs w:val="20"/>
        </w:rPr>
      </w:pPr>
      <w:r w:rsidRPr="00B5723B">
        <w:rPr>
          <w:rFonts w:ascii="Tahoma" w:hAnsi="Tahoma" w:cs="Tahoma"/>
          <w:b/>
          <w:bCs/>
          <w:i/>
          <w:iCs/>
          <w:sz w:val="20"/>
          <w:szCs w:val="20"/>
        </w:rPr>
        <w:t xml:space="preserve">39. Costs </w:t>
      </w:r>
    </w:p>
    <w:p w:rsidR="00002A54" w:rsidRPr="00D81A65" w:rsidRDefault="00002A54" w:rsidP="00D81A65">
      <w:pPr>
        <w:pStyle w:val="Default"/>
        <w:spacing w:before="240" w:line="276" w:lineRule="auto"/>
        <w:ind w:left="720"/>
        <w:jc w:val="both"/>
        <w:rPr>
          <w:rFonts w:ascii="Tahoma" w:hAnsi="Tahoma" w:cs="Tahoma"/>
          <w:sz w:val="22"/>
          <w:szCs w:val="22"/>
        </w:rPr>
      </w:pPr>
      <w:r w:rsidRPr="00D81A65">
        <w:rPr>
          <w:rFonts w:ascii="Tahoma" w:hAnsi="Tahoma" w:cs="Tahoma"/>
          <w:sz w:val="22"/>
          <w:szCs w:val="22"/>
        </w:rPr>
        <w:t xml:space="preserve">(1) The Court or Judge, in giving judgment or making any order, may make such order as to costs as it thinks just and equitable. </w:t>
      </w:r>
    </w:p>
    <w:p w:rsidR="00002A54" w:rsidRPr="00D81A65" w:rsidRDefault="00002A54" w:rsidP="00D81A65">
      <w:pPr>
        <w:pStyle w:val="Default"/>
        <w:spacing w:before="240" w:line="276" w:lineRule="auto"/>
        <w:ind w:left="720"/>
        <w:jc w:val="both"/>
        <w:rPr>
          <w:rFonts w:ascii="Tahoma" w:hAnsi="Tahoma" w:cs="Tahoma"/>
          <w:sz w:val="22"/>
          <w:szCs w:val="22"/>
        </w:rPr>
      </w:pPr>
      <w:r w:rsidRPr="00D81A65">
        <w:rPr>
          <w:rFonts w:ascii="Tahoma" w:hAnsi="Tahoma" w:cs="Tahoma"/>
          <w:sz w:val="22"/>
          <w:szCs w:val="22"/>
        </w:rPr>
        <w:t>(2) The costs of any appeal, application or review by the parties may be</w:t>
      </w:r>
      <w:r w:rsidR="00D81A65" w:rsidRPr="00D81A65">
        <w:rPr>
          <w:rFonts w:ascii="Tahoma" w:hAnsi="Tahoma" w:cs="Tahoma"/>
          <w:sz w:val="22"/>
          <w:szCs w:val="22"/>
        </w:rPr>
        <w:t xml:space="preserve"> </w:t>
      </w:r>
      <w:r w:rsidRPr="00D81A65">
        <w:rPr>
          <w:rFonts w:ascii="Tahoma" w:hAnsi="Tahoma" w:cs="Tahoma"/>
          <w:sz w:val="22"/>
          <w:szCs w:val="22"/>
        </w:rPr>
        <w:t xml:space="preserve">— </w:t>
      </w:r>
    </w:p>
    <w:p w:rsidR="00002A54" w:rsidRPr="00D81A65" w:rsidRDefault="00002A54" w:rsidP="00D81A65">
      <w:pPr>
        <w:pStyle w:val="Default"/>
        <w:spacing w:before="240" w:line="276" w:lineRule="auto"/>
        <w:ind w:left="720"/>
        <w:jc w:val="both"/>
        <w:rPr>
          <w:rFonts w:ascii="Tahoma" w:hAnsi="Tahoma" w:cs="Tahoma"/>
          <w:sz w:val="22"/>
          <w:szCs w:val="22"/>
        </w:rPr>
      </w:pPr>
      <w:r w:rsidRPr="00D81A65">
        <w:rPr>
          <w:rFonts w:ascii="Tahoma" w:hAnsi="Tahoma" w:cs="Tahoma"/>
          <w:sz w:val="22"/>
          <w:szCs w:val="22"/>
        </w:rPr>
        <w:t>(</w:t>
      </w:r>
      <w:r w:rsidRPr="00D81A65">
        <w:rPr>
          <w:rFonts w:ascii="Tahoma" w:hAnsi="Tahoma" w:cs="Tahoma"/>
          <w:i/>
          <w:iCs/>
          <w:sz w:val="22"/>
          <w:szCs w:val="22"/>
        </w:rPr>
        <w:t>a</w:t>
      </w:r>
      <w:r w:rsidRPr="00D81A65">
        <w:rPr>
          <w:rFonts w:ascii="Tahoma" w:hAnsi="Tahoma" w:cs="Tahoma"/>
          <w:sz w:val="22"/>
          <w:szCs w:val="22"/>
        </w:rPr>
        <w:t xml:space="preserve">) </w:t>
      </w:r>
      <w:proofErr w:type="gramStart"/>
      <w:r w:rsidRPr="00D81A65">
        <w:rPr>
          <w:rFonts w:ascii="Tahoma" w:hAnsi="Tahoma" w:cs="Tahoma"/>
          <w:sz w:val="22"/>
          <w:szCs w:val="22"/>
        </w:rPr>
        <w:t>awarded</w:t>
      </w:r>
      <w:proofErr w:type="gramEnd"/>
      <w:r w:rsidRPr="00D81A65">
        <w:rPr>
          <w:rFonts w:ascii="Tahoma" w:hAnsi="Tahoma" w:cs="Tahoma"/>
          <w:sz w:val="22"/>
          <w:szCs w:val="22"/>
        </w:rPr>
        <w:t xml:space="preserve"> by the Court or Judge irrespective of the judgment in the cause; or </w:t>
      </w:r>
    </w:p>
    <w:p w:rsidR="00002A54" w:rsidRPr="00D81A65" w:rsidRDefault="00002A54" w:rsidP="00D81A65">
      <w:pPr>
        <w:pStyle w:val="Default"/>
        <w:spacing w:before="240" w:line="276" w:lineRule="auto"/>
        <w:ind w:left="720"/>
        <w:jc w:val="both"/>
        <w:rPr>
          <w:rFonts w:ascii="Tahoma" w:hAnsi="Tahoma" w:cs="Tahoma"/>
          <w:sz w:val="22"/>
          <w:szCs w:val="22"/>
        </w:rPr>
      </w:pPr>
      <w:r w:rsidRPr="00D81A65">
        <w:rPr>
          <w:rFonts w:ascii="Tahoma" w:hAnsi="Tahoma" w:cs="Tahoma"/>
          <w:sz w:val="22"/>
          <w:szCs w:val="22"/>
        </w:rPr>
        <w:t>(</w:t>
      </w:r>
      <w:r w:rsidRPr="00D81A65">
        <w:rPr>
          <w:rFonts w:ascii="Tahoma" w:hAnsi="Tahoma" w:cs="Tahoma"/>
          <w:i/>
          <w:iCs/>
          <w:sz w:val="22"/>
          <w:szCs w:val="22"/>
        </w:rPr>
        <w:t>b</w:t>
      </w:r>
      <w:r w:rsidRPr="00D81A65">
        <w:rPr>
          <w:rFonts w:ascii="Tahoma" w:hAnsi="Tahoma" w:cs="Tahoma"/>
          <w:sz w:val="22"/>
          <w:szCs w:val="22"/>
        </w:rPr>
        <w:t xml:space="preserve">) </w:t>
      </w:r>
      <w:proofErr w:type="gramStart"/>
      <w:r w:rsidRPr="00D81A65">
        <w:rPr>
          <w:rFonts w:ascii="Tahoma" w:hAnsi="Tahoma" w:cs="Tahoma"/>
          <w:sz w:val="22"/>
          <w:szCs w:val="22"/>
        </w:rPr>
        <w:t>made</w:t>
      </w:r>
      <w:proofErr w:type="gramEnd"/>
      <w:r w:rsidRPr="00D81A65">
        <w:rPr>
          <w:rFonts w:ascii="Tahoma" w:hAnsi="Tahoma" w:cs="Tahoma"/>
          <w:sz w:val="22"/>
          <w:szCs w:val="22"/>
        </w:rPr>
        <w:t xml:space="preserve"> costs in the cause; or </w:t>
      </w:r>
    </w:p>
    <w:p w:rsidR="00002A54" w:rsidRPr="00D81A65" w:rsidRDefault="00002A54" w:rsidP="00D81A65">
      <w:pPr>
        <w:pStyle w:val="Default"/>
        <w:spacing w:before="240" w:line="276" w:lineRule="auto"/>
        <w:ind w:left="720"/>
        <w:jc w:val="both"/>
        <w:rPr>
          <w:rFonts w:ascii="Tahoma" w:hAnsi="Tahoma" w:cs="Tahoma"/>
          <w:sz w:val="22"/>
          <w:szCs w:val="22"/>
        </w:rPr>
      </w:pPr>
      <w:r w:rsidRPr="00D81A65">
        <w:rPr>
          <w:rFonts w:ascii="Tahoma" w:hAnsi="Tahoma" w:cs="Tahoma"/>
          <w:sz w:val="22"/>
          <w:szCs w:val="22"/>
        </w:rPr>
        <w:t>(</w:t>
      </w:r>
      <w:r w:rsidRPr="00D81A65">
        <w:rPr>
          <w:rFonts w:ascii="Tahoma" w:hAnsi="Tahoma" w:cs="Tahoma"/>
          <w:i/>
          <w:iCs/>
          <w:sz w:val="22"/>
          <w:szCs w:val="22"/>
        </w:rPr>
        <w:t>c</w:t>
      </w:r>
      <w:r w:rsidRPr="00D81A65">
        <w:rPr>
          <w:rFonts w:ascii="Tahoma" w:hAnsi="Tahoma" w:cs="Tahoma"/>
          <w:sz w:val="22"/>
          <w:szCs w:val="22"/>
        </w:rPr>
        <w:t xml:space="preserve">) </w:t>
      </w:r>
      <w:proofErr w:type="gramStart"/>
      <w:r w:rsidRPr="00D81A65">
        <w:rPr>
          <w:rFonts w:ascii="Tahoma" w:hAnsi="Tahoma" w:cs="Tahoma"/>
          <w:sz w:val="22"/>
          <w:szCs w:val="22"/>
        </w:rPr>
        <w:t>reserved</w:t>
      </w:r>
      <w:proofErr w:type="gramEnd"/>
      <w:r w:rsidRPr="00D81A65">
        <w:rPr>
          <w:rFonts w:ascii="Tahoma" w:hAnsi="Tahoma" w:cs="Tahoma"/>
          <w:sz w:val="22"/>
          <w:szCs w:val="22"/>
        </w:rPr>
        <w:t xml:space="preserve"> to be dealt with at the conclusion of the action. </w:t>
      </w:r>
    </w:p>
    <w:p w:rsidR="00002A54" w:rsidRPr="00D81A65" w:rsidRDefault="00002A54" w:rsidP="00D81A65">
      <w:pPr>
        <w:pStyle w:val="Default"/>
        <w:spacing w:before="240" w:line="276" w:lineRule="auto"/>
        <w:ind w:left="720"/>
        <w:jc w:val="both"/>
        <w:rPr>
          <w:rFonts w:ascii="Tahoma" w:hAnsi="Tahoma" w:cs="Tahoma"/>
          <w:sz w:val="22"/>
          <w:szCs w:val="22"/>
        </w:rPr>
      </w:pPr>
      <w:r w:rsidRPr="00D81A65">
        <w:rPr>
          <w:rFonts w:ascii="Tahoma" w:hAnsi="Tahoma" w:cs="Tahoma"/>
          <w:sz w:val="22"/>
          <w:szCs w:val="22"/>
        </w:rPr>
        <w:lastRenderedPageBreak/>
        <w:t xml:space="preserve">(3) If the court or a judge considers that the conduct of a party to an appeal or application under these rules has been such as to warrant such a course, the court may make any one or more of the following orders— </w:t>
      </w:r>
    </w:p>
    <w:p w:rsidR="00002A54" w:rsidRPr="00D81A65" w:rsidRDefault="00002A54" w:rsidP="00D81A65">
      <w:pPr>
        <w:pStyle w:val="Default"/>
        <w:spacing w:before="240" w:line="276" w:lineRule="auto"/>
        <w:ind w:left="720"/>
        <w:jc w:val="both"/>
        <w:rPr>
          <w:rFonts w:ascii="Tahoma" w:hAnsi="Tahoma" w:cs="Tahoma"/>
          <w:sz w:val="22"/>
          <w:szCs w:val="22"/>
        </w:rPr>
      </w:pPr>
      <w:r w:rsidRPr="00D81A65">
        <w:rPr>
          <w:rFonts w:ascii="Tahoma" w:hAnsi="Tahoma" w:cs="Tahoma"/>
          <w:sz w:val="22"/>
          <w:szCs w:val="22"/>
        </w:rPr>
        <w:t>(</w:t>
      </w:r>
      <w:r w:rsidRPr="00D81A65">
        <w:rPr>
          <w:rFonts w:ascii="Tahoma" w:hAnsi="Tahoma" w:cs="Tahoma"/>
          <w:i/>
          <w:iCs/>
          <w:sz w:val="22"/>
          <w:szCs w:val="22"/>
        </w:rPr>
        <w:t>a</w:t>
      </w:r>
      <w:r w:rsidRPr="00D81A65">
        <w:rPr>
          <w:rFonts w:ascii="Tahoma" w:hAnsi="Tahoma" w:cs="Tahoma"/>
          <w:sz w:val="22"/>
          <w:szCs w:val="22"/>
        </w:rPr>
        <w:t xml:space="preserve">) </w:t>
      </w:r>
      <w:proofErr w:type="gramStart"/>
      <w:r w:rsidRPr="00D81A65">
        <w:rPr>
          <w:rFonts w:ascii="Tahoma" w:hAnsi="Tahoma" w:cs="Tahoma"/>
          <w:sz w:val="22"/>
          <w:szCs w:val="22"/>
        </w:rPr>
        <w:t>depriving</w:t>
      </w:r>
      <w:proofErr w:type="gramEnd"/>
      <w:r w:rsidRPr="00D81A65">
        <w:rPr>
          <w:rFonts w:ascii="Tahoma" w:hAnsi="Tahoma" w:cs="Tahoma"/>
          <w:sz w:val="22"/>
          <w:szCs w:val="22"/>
        </w:rPr>
        <w:t xml:space="preserve"> a successful party of all or part of his or her costs in the appeal or application and additionally, or alternatively, in the tribunal below; </w:t>
      </w:r>
    </w:p>
    <w:p w:rsidR="00002A54" w:rsidRPr="00D81A65" w:rsidRDefault="00002A54" w:rsidP="00D81A65">
      <w:pPr>
        <w:pStyle w:val="Default"/>
        <w:spacing w:before="240" w:line="276" w:lineRule="auto"/>
        <w:ind w:left="720"/>
        <w:jc w:val="both"/>
        <w:rPr>
          <w:rFonts w:ascii="Tahoma" w:hAnsi="Tahoma" w:cs="Tahoma"/>
          <w:sz w:val="22"/>
          <w:szCs w:val="22"/>
        </w:rPr>
      </w:pPr>
      <w:r w:rsidRPr="00D81A65">
        <w:rPr>
          <w:rFonts w:ascii="Tahoma" w:hAnsi="Tahoma" w:cs="Tahoma"/>
          <w:sz w:val="22"/>
          <w:szCs w:val="22"/>
        </w:rPr>
        <w:t>(</w:t>
      </w:r>
      <w:r w:rsidRPr="00D81A65">
        <w:rPr>
          <w:rFonts w:ascii="Tahoma" w:hAnsi="Tahoma" w:cs="Tahoma"/>
          <w:i/>
          <w:iCs/>
          <w:sz w:val="22"/>
          <w:szCs w:val="22"/>
        </w:rPr>
        <w:t>b</w:t>
      </w:r>
      <w:r w:rsidRPr="00D81A65">
        <w:rPr>
          <w:rFonts w:ascii="Tahoma" w:hAnsi="Tahoma" w:cs="Tahoma"/>
          <w:sz w:val="22"/>
          <w:szCs w:val="22"/>
        </w:rPr>
        <w:t xml:space="preserve">) </w:t>
      </w:r>
      <w:proofErr w:type="gramStart"/>
      <w:r w:rsidRPr="00D81A65">
        <w:rPr>
          <w:rFonts w:ascii="Tahoma" w:hAnsi="Tahoma" w:cs="Tahoma"/>
          <w:sz w:val="22"/>
          <w:szCs w:val="22"/>
        </w:rPr>
        <w:t>ordering</w:t>
      </w:r>
      <w:proofErr w:type="gramEnd"/>
      <w:r w:rsidRPr="00D81A65">
        <w:rPr>
          <w:rFonts w:ascii="Tahoma" w:hAnsi="Tahoma" w:cs="Tahoma"/>
          <w:sz w:val="22"/>
          <w:szCs w:val="22"/>
        </w:rPr>
        <w:t xml:space="preserve"> a successful party to pay all or part of the costs of the other party in the appeal or application and additionally, or alternatively, in the tribunal below; </w:t>
      </w:r>
    </w:p>
    <w:p w:rsidR="00002A54" w:rsidRPr="00D81A65" w:rsidRDefault="00002A54" w:rsidP="00D81A65">
      <w:pPr>
        <w:spacing w:before="240" w:after="0" w:line="276" w:lineRule="auto"/>
        <w:ind w:left="720"/>
        <w:rPr>
          <w:rFonts w:cs="Tahoma"/>
          <w:b/>
          <w:sz w:val="22"/>
        </w:rPr>
      </w:pPr>
      <w:r w:rsidRPr="00D81A65">
        <w:rPr>
          <w:rFonts w:cs="Tahoma"/>
          <w:sz w:val="22"/>
        </w:rPr>
        <w:t xml:space="preserve">(c) </w:t>
      </w:r>
      <w:proofErr w:type="gramStart"/>
      <w:r w:rsidRPr="00D81A65">
        <w:rPr>
          <w:rFonts w:cs="Tahoma"/>
          <w:sz w:val="22"/>
        </w:rPr>
        <w:t>ordering</w:t>
      </w:r>
      <w:proofErr w:type="gramEnd"/>
      <w:r w:rsidRPr="00D81A65">
        <w:rPr>
          <w:rFonts w:cs="Tahoma"/>
          <w:sz w:val="22"/>
        </w:rPr>
        <w:t xml:space="preserve"> a party to pay costs on a legal practitioner-and-client scale or any other appropriate scale.</w:t>
      </w:r>
    </w:p>
    <w:p w:rsidR="00002A54" w:rsidRPr="00D81A65" w:rsidRDefault="00002A54" w:rsidP="00D81A65">
      <w:pPr>
        <w:spacing w:after="0" w:line="240" w:lineRule="auto"/>
        <w:ind w:firstLine="720"/>
        <w:rPr>
          <w:sz w:val="22"/>
        </w:rPr>
      </w:pPr>
    </w:p>
    <w:p w:rsidR="001D4FE1" w:rsidRDefault="00002A54" w:rsidP="00722ED3">
      <w:pPr>
        <w:spacing w:after="0"/>
        <w:ind w:firstLine="720"/>
      </w:pPr>
      <w:r>
        <w:t xml:space="preserve">It is </w:t>
      </w:r>
      <w:r>
        <w:rPr>
          <w:i/>
        </w:rPr>
        <w:t xml:space="preserve">trite </w:t>
      </w:r>
      <w:r>
        <w:t>that the Labour Court has power to order/aw</w:t>
      </w:r>
      <w:r w:rsidR="00722ED3">
        <w:t>ard costs on a punitive scale i</w:t>
      </w:r>
      <w:r>
        <w:t xml:space="preserve">n terms of </w:t>
      </w:r>
      <w:r>
        <w:rPr>
          <w:b/>
        </w:rPr>
        <w:t>Rule 39 (3) (c)</w:t>
      </w:r>
      <w:r w:rsidR="00722ED3">
        <w:rPr>
          <w:b/>
        </w:rPr>
        <w:t xml:space="preserve"> </w:t>
      </w:r>
      <w:r w:rsidR="00722ED3">
        <w:t>referred to above</w:t>
      </w:r>
      <w:r>
        <w:t xml:space="preserve">. In awarding </w:t>
      </w:r>
      <w:r w:rsidR="00722ED3">
        <w:t xml:space="preserve">the </w:t>
      </w:r>
      <w:r>
        <w:t xml:space="preserve">costs the court </w:t>
      </w:r>
      <w:r w:rsidR="00722ED3">
        <w:t>will consider the conduct of a party</w:t>
      </w:r>
      <w:r>
        <w:t>.</w:t>
      </w:r>
      <w:r w:rsidR="00722ED3">
        <w:t xml:space="preserve"> The rules do not specify the circumstances when punitive costs may be awarded. The </w:t>
      </w:r>
      <w:r w:rsidR="002F4A9C">
        <w:t>general rule</w:t>
      </w:r>
      <w:r w:rsidR="00A27759">
        <w:t xml:space="preserve"> is</w:t>
      </w:r>
      <w:r w:rsidR="002F4A9C">
        <w:t xml:space="preserve"> that courts may make orders of</w:t>
      </w:r>
      <w:r w:rsidR="00933C6A">
        <w:t xml:space="preserve"> punitive costs such as costs on an</w:t>
      </w:r>
      <w:r w:rsidR="002F4A9C">
        <w:t xml:space="preserve"> attorney and </w:t>
      </w:r>
      <w:r w:rsidR="001D4FE1">
        <w:t xml:space="preserve">client scale where it is believed to be appropriate to do so. Factors to be considered as to whether or not to grant punitive costs orders include where the conduct of the party – </w:t>
      </w:r>
    </w:p>
    <w:p w:rsidR="00B049D1" w:rsidRDefault="00B049D1" w:rsidP="00C97672">
      <w:pPr>
        <w:spacing w:after="0"/>
        <w:ind w:firstLine="720"/>
      </w:pPr>
    </w:p>
    <w:p w:rsidR="001D4FE1" w:rsidRPr="00D81A65" w:rsidRDefault="00933C6A" w:rsidP="00D81A65">
      <w:pPr>
        <w:spacing w:after="0" w:line="276" w:lineRule="auto"/>
        <w:ind w:left="720"/>
        <w:rPr>
          <w:sz w:val="22"/>
        </w:rPr>
      </w:pPr>
      <w:r w:rsidRPr="00D81A65">
        <w:rPr>
          <w:sz w:val="22"/>
        </w:rPr>
        <w:t>(</w:t>
      </w:r>
      <w:proofErr w:type="gramStart"/>
      <w:r w:rsidRPr="00D81A65">
        <w:rPr>
          <w:sz w:val="22"/>
        </w:rPr>
        <w:t>a</w:t>
      </w:r>
      <w:proofErr w:type="gramEnd"/>
      <w:r w:rsidRPr="00D81A65">
        <w:rPr>
          <w:sz w:val="22"/>
        </w:rPr>
        <w:t>) is vexatiou</w:t>
      </w:r>
      <w:r w:rsidR="001D4FE1" w:rsidRPr="00D81A65">
        <w:rPr>
          <w:sz w:val="22"/>
        </w:rPr>
        <w:t xml:space="preserve">s and amounts to an </w:t>
      </w:r>
      <w:r w:rsidRPr="00D81A65">
        <w:rPr>
          <w:sz w:val="22"/>
        </w:rPr>
        <w:t>abuse of legal process, even th</w:t>
      </w:r>
      <w:r w:rsidR="001D4FE1" w:rsidRPr="00D81A65">
        <w:rPr>
          <w:sz w:val="22"/>
        </w:rPr>
        <w:t>ough there is no reason to be vexatious;</w:t>
      </w:r>
    </w:p>
    <w:p w:rsidR="001D4FE1" w:rsidRPr="00D81A65" w:rsidRDefault="001D4FE1" w:rsidP="00D81A65">
      <w:pPr>
        <w:spacing w:after="0" w:line="276" w:lineRule="auto"/>
        <w:ind w:firstLine="720"/>
        <w:rPr>
          <w:i/>
          <w:sz w:val="22"/>
        </w:rPr>
      </w:pPr>
      <w:r w:rsidRPr="00D81A65">
        <w:rPr>
          <w:sz w:val="22"/>
        </w:rPr>
        <w:t xml:space="preserve">(b) </w:t>
      </w:r>
      <w:proofErr w:type="gramStart"/>
      <w:r w:rsidRPr="00D81A65">
        <w:rPr>
          <w:i/>
          <w:sz w:val="22"/>
        </w:rPr>
        <w:t>lack</w:t>
      </w:r>
      <w:proofErr w:type="gramEnd"/>
      <w:r w:rsidRPr="00D81A65">
        <w:rPr>
          <w:i/>
          <w:sz w:val="22"/>
        </w:rPr>
        <w:t xml:space="preserve"> of bona fides.</w:t>
      </w:r>
    </w:p>
    <w:p w:rsidR="00797043" w:rsidRPr="00D81A65" w:rsidRDefault="001D4FE1" w:rsidP="00D81A65">
      <w:pPr>
        <w:spacing w:after="0" w:line="276" w:lineRule="auto"/>
        <w:ind w:firstLine="720"/>
        <w:rPr>
          <w:b/>
          <w:sz w:val="22"/>
        </w:rPr>
      </w:pPr>
      <w:r w:rsidRPr="00D81A65">
        <w:rPr>
          <w:i/>
          <w:sz w:val="22"/>
        </w:rPr>
        <w:t>(</w:t>
      </w:r>
      <w:proofErr w:type="gramStart"/>
      <w:r w:rsidRPr="00D81A65">
        <w:rPr>
          <w:i/>
          <w:sz w:val="22"/>
        </w:rPr>
        <w:t>c</w:t>
      </w:r>
      <w:proofErr w:type="gramEnd"/>
      <w:r w:rsidRPr="00D81A65">
        <w:rPr>
          <w:i/>
          <w:sz w:val="22"/>
        </w:rPr>
        <w:t>) is reckless, malicious and unreasonable.</w:t>
      </w:r>
      <w:r w:rsidRPr="00D81A65">
        <w:rPr>
          <w:sz w:val="22"/>
        </w:rPr>
        <w:t xml:space="preserve"> </w:t>
      </w:r>
      <w:r w:rsidR="00835302" w:rsidRPr="00D81A65">
        <w:rPr>
          <w:b/>
          <w:sz w:val="22"/>
        </w:rPr>
        <w:t xml:space="preserve"> </w:t>
      </w:r>
    </w:p>
    <w:p w:rsidR="001D4FE1" w:rsidRDefault="001D4FE1" w:rsidP="00C97672">
      <w:pPr>
        <w:spacing w:after="0"/>
        <w:ind w:firstLine="720"/>
        <w:rPr>
          <w:b/>
        </w:rPr>
      </w:pPr>
    </w:p>
    <w:p w:rsidR="001200A5" w:rsidRDefault="001D4FE1" w:rsidP="00C97672">
      <w:pPr>
        <w:spacing w:after="0"/>
        <w:ind w:firstLine="720"/>
      </w:pPr>
      <w:r>
        <w:t xml:space="preserve">It is also </w:t>
      </w:r>
      <w:r w:rsidR="00F24DE1">
        <w:t xml:space="preserve">an </w:t>
      </w:r>
      <w:r>
        <w:t>established</w:t>
      </w:r>
      <w:r w:rsidR="00F24DE1">
        <w:t xml:space="preserve"> principle</w:t>
      </w:r>
      <w:r>
        <w:t xml:space="preserve"> that a court will not order a litigant to pay costs of another litigant on the attorney and clients scale unless there are special grounds justifying this. Such grounds have been found to be present in cases where litigants have been found to be guilty of dishonesty or fraud or where their motives</w:t>
      </w:r>
      <w:r w:rsidR="001200A5">
        <w:t xml:space="preserve"> have been vexatious, reckless, malicious or frivolous or where they acted unreasonably in the conduct of the litigation or where their conduct has been in some way reprehensible. See </w:t>
      </w:r>
      <w:proofErr w:type="spellStart"/>
      <w:r w:rsidR="001200A5">
        <w:rPr>
          <w:i/>
        </w:rPr>
        <w:t>Eramus</w:t>
      </w:r>
      <w:proofErr w:type="spellEnd"/>
      <w:r w:rsidR="001200A5">
        <w:rPr>
          <w:i/>
        </w:rPr>
        <w:t xml:space="preserve"> Superior Court Practice at E12-20. </w:t>
      </w:r>
      <w:r w:rsidR="001200A5">
        <w:t>The principle above has also been relied upo</w:t>
      </w:r>
      <w:r w:rsidR="00F24DE1">
        <w:t>n in the Supreme Court</w:t>
      </w:r>
      <w:r w:rsidR="001200A5">
        <w:t xml:space="preserve"> in labour matters. See for instance </w:t>
      </w:r>
      <w:r w:rsidR="001200A5">
        <w:rPr>
          <w:i/>
        </w:rPr>
        <w:t xml:space="preserve">Eunice </w:t>
      </w:r>
      <w:proofErr w:type="spellStart"/>
      <w:r w:rsidR="001200A5">
        <w:rPr>
          <w:i/>
        </w:rPr>
        <w:t>Madondo</w:t>
      </w:r>
      <w:proofErr w:type="spellEnd"/>
      <w:r w:rsidR="001200A5">
        <w:rPr>
          <w:i/>
        </w:rPr>
        <w:t xml:space="preserve"> vs </w:t>
      </w:r>
      <w:proofErr w:type="spellStart"/>
      <w:r w:rsidR="001200A5">
        <w:rPr>
          <w:i/>
        </w:rPr>
        <w:t>Conquip</w:t>
      </w:r>
      <w:proofErr w:type="spellEnd"/>
      <w:r w:rsidR="001200A5">
        <w:rPr>
          <w:i/>
        </w:rPr>
        <w:t xml:space="preserve"> SC 25/16 </w:t>
      </w:r>
      <w:r w:rsidR="001200A5">
        <w:t>where the Supreme Court stated as follows</w:t>
      </w:r>
      <w:r w:rsidR="00AA4FB5">
        <w:t>;</w:t>
      </w:r>
      <w:r w:rsidR="001200A5">
        <w:t xml:space="preserve"> </w:t>
      </w:r>
    </w:p>
    <w:p w:rsidR="00B71975" w:rsidRDefault="00B71975" w:rsidP="00C97672">
      <w:pPr>
        <w:spacing w:after="0"/>
        <w:ind w:firstLine="720"/>
      </w:pPr>
    </w:p>
    <w:p w:rsidR="00C17F44" w:rsidRPr="00D81A65" w:rsidRDefault="001200A5" w:rsidP="00D81A65">
      <w:pPr>
        <w:spacing w:after="0" w:line="276" w:lineRule="auto"/>
        <w:ind w:left="720"/>
        <w:rPr>
          <w:sz w:val="22"/>
        </w:rPr>
      </w:pPr>
      <w:r w:rsidRPr="00D81A65">
        <w:rPr>
          <w:sz w:val="22"/>
        </w:rPr>
        <w:lastRenderedPageBreak/>
        <w:t>“</w:t>
      </w:r>
      <w:r w:rsidR="00B71975" w:rsidRPr="00D81A65">
        <w:rPr>
          <w:sz w:val="22"/>
        </w:rPr>
        <w:t xml:space="preserve">Mr </w:t>
      </w:r>
      <w:proofErr w:type="spellStart"/>
      <w:r w:rsidR="00B71975" w:rsidRPr="00D81A65">
        <w:rPr>
          <w:sz w:val="22"/>
        </w:rPr>
        <w:t>Fo</w:t>
      </w:r>
      <w:r w:rsidR="00E47104" w:rsidRPr="00D81A65">
        <w:rPr>
          <w:sz w:val="22"/>
        </w:rPr>
        <w:t>roma</w:t>
      </w:r>
      <w:proofErr w:type="spellEnd"/>
      <w:r w:rsidR="00E47104" w:rsidRPr="00D81A65">
        <w:rPr>
          <w:sz w:val="22"/>
        </w:rPr>
        <w:t>, for the Respondent claimed costs on the legal</w:t>
      </w:r>
      <w:r w:rsidR="00C17F44" w:rsidRPr="00D81A65">
        <w:rPr>
          <w:sz w:val="22"/>
        </w:rPr>
        <w:t xml:space="preserve"> practitioner and clear scale on the basis that the appeal is entirely without merit. The court was satisfied on this basis and the clearly demonstrated dishonestly on the part of the Appellant that there was merit in Mr </w:t>
      </w:r>
      <w:proofErr w:type="spellStart"/>
      <w:r w:rsidR="00C17F44" w:rsidRPr="00D81A65">
        <w:rPr>
          <w:sz w:val="22"/>
        </w:rPr>
        <w:t>Foroma’s</w:t>
      </w:r>
      <w:proofErr w:type="spellEnd"/>
      <w:r w:rsidR="00C17F44" w:rsidRPr="00D81A65">
        <w:rPr>
          <w:sz w:val="22"/>
        </w:rPr>
        <w:t xml:space="preserve"> submissions. The Appellant must have know</w:t>
      </w:r>
      <w:r w:rsidR="00B71975" w:rsidRPr="00D81A65">
        <w:rPr>
          <w:sz w:val="22"/>
        </w:rPr>
        <w:t>n</w:t>
      </w:r>
      <w:r w:rsidR="00C17F44" w:rsidRPr="00D81A65">
        <w:rPr>
          <w:sz w:val="22"/>
        </w:rPr>
        <w:t xml:space="preserve"> that the appeal had no merit but nevertheless persisted with it, all, the way to this court. In the process she put the Respondent to the unnecessary e</w:t>
      </w:r>
      <w:r w:rsidR="00D81A65">
        <w:rPr>
          <w:sz w:val="22"/>
        </w:rPr>
        <w:t>xpense of defending litigation</w:t>
      </w:r>
      <w:proofErr w:type="gramStart"/>
      <w:r w:rsidR="00D81A65">
        <w:rPr>
          <w:sz w:val="22"/>
        </w:rPr>
        <w:t>.</w:t>
      </w:r>
      <w:r w:rsidR="00D81A65" w:rsidRPr="00D81A65">
        <w:rPr>
          <w:sz w:val="22"/>
        </w:rPr>
        <w:t>“</w:t>
      </w:r>
      <w:proofErr w:type="gramEnd"/>
    </w:p>
    <w:p w:rsidR="00C17F44" w:rsidRDefault="00C17F44" w:rsidP="00C97672">
      <w:pPr>
        <w:spacing w:after="0"/>
        <w:ind w:firstLine="720"/>
        <w:rPr>
          <w:sz w:val="20"/>
          <w:szCs w:val="20"/>
        </w:rPr>
      </w:pPr>
    </w:p>
    <w:p w:rsidR="00AA4FB5" w:rsidRDefault="00A27759" w:rsidP="00495422">
      <w:pPr>
        <w:spacing w:after="0"/>
        <w:ind w:firstLine="720"/>
        <w:rPr>
          <w:szCs w:val="24"/>
        </w:rPr>
      </w:pPr>
      <w:r>
        <w:rPr>
          <w:szCs w:val="24"/>
        </w:rPr>
        <w:t>The</w:t>
      </w:r>
      <w:r w:rsidR="00256CFE">
        <w:rPr>
          <w:szCs w:val="24"/>
        </w:rPr>
        <w:t xml:space="preserve"> </w:t>
      </w:r>
      <w:r w:rsidR="00296804">
        <w:rPr>
          <w:szCs w:val="24"/>
        </w:rPr>
        <w:t>Applicant</w:t>
      </w:r>
      <w:r w:rsidR="00256CFE">
        <w:rPr>
          <w:szCs w:val="24"/>
        </w:rPr>
        <w:t xml:space="preserve"> in this case was </w:t>
      </w:r>
      <w:r>
        <w:rPr>
          <w:szCs w:val="24"/>
        </w:rPr>
        <w:t xml:space="preserve">also </w:t>
      </w:r>
      <w:r w:rsidR="00256CFE">
        <w:rPr>
          <w:szCs w:val="24"/>
        </w:rPr>
        <w:t>represented by a Legal Practitioner. After filing the application and upon receipt of the Notice of Opposition it</w:t>
      </w:r>
      <w:r>
        <w:rPr>
          <w:szCs w:val="24"/>
        </w:rPr>
        <w:t xml:space="preserve"> clearly</w:t>
      </w:r>
      <w:r w:rsidR="00256CFE">
        <w:rPr>
          <w:szCs w:val="24"/>
        </w:rPr>
        <w:t xml:space="preserve"> ought to have been know</w:t>
      </w:r>
      <w:r w:rsidR="00B71975">
        <w:rPr>
          <w:szCs w:val="24"/>
        </w:rPr>
        <w:t>n</w:t>
      </w:r>
      <w:r w:rsidR="00256CFE">
        <w:rPr>
          <w:szCs w:val="24"/>
        </w:rPr>
        <w:t xml:space="preserve"> by Applicant</w:t>
      </w:r>
      <w:r w:rsidR="00F24DE1">
        <w:rPr>
          <w:szCs w:val="24"/>
        </w:rPr>
        <w:t>,</w:t>
      </w:r>
      <w:r w:rsidR="00256CFE">
        <w:rPr>
          <w:szCs w:val="24"/>
        </w:rPr>
        <w:t xml:space="preserve"> </w:t>
      </w:r>
      <w:r w:rsidR="00B71975">
        <w:rPr>
          <w:szCs w:val="24"/>
        </w:rPr>
        <w:t xml:space="preserve">through his legal practitioner </w:t>
      </w:r>
      <w:r w:rsidR="00256CFE">
        <w:rPr>
          <w:szCs w:val="24"/>
        </w:rPr>
        <w:t>that he had filed a defective application. The Applicant</w:t>
      </w:r>
      <w:r w:rsidR="00F24DE1">
        <w:rPr>
          <w:szCs w:val="24"/>
        </w:rPr>
        <w:t>,</w:t>
      </w:r>
      <w:r w:rsidR="00256CFE">
        <w:rPr>
          <w:szCs w:val="24"/>
        </w:rPr>
        <w:t xml:space="preserve"> through his legal practitioner </w:t>
      </w:r>
      <w:r>
        <w:rPr>
          <w:szCs w:val="24"/>
        </w:rPr>
        <w:t xml:space="preserve">however </w:t>
      </w:r>
      <w:r w:rsidR="00256CFE">
        <w:rPr>
          <w:szCs w:val="24"/>
        </w:rPr>
        <w:t>took no steps to rectify that situation. The Applicant instead proceeded headlong with</w:t>
      </w:r>
      <w:r w:rsidR="00F24DE1">
        <w:rPr>
          <w:szCs w:val="24"/>
        </w:rPr>
        <w:t xml:space="preserve"> the same application as </w:t>
      </w:r>
      <w:r w:rsidR="00256CFE">
        <w:rPr>
          <w:szCs w:val="24"/>
        </w:rPr>
        <w:t xml:space="preserve">presented. He proceeded to file Heads of Argument. When </w:t>
      </w:r>
      <w:r w:rsidR="00DA7DF0">
        <w:rPr>
          <w:szCs w:val="24"/>
        </w:rPr>
        <w:t xml:space="preserve">the Respondent </w:t>
      </w:r>
      <w:r w:rsidR="00B71975">
        <w:rPr>
          <w:szCs w:val="24"/>
        </w:rPr>
        <w:t xml:space="preserve">filed </w:t>
      </w:r>
      <w:r w:rsidR="00DA7DF0">
        <w:rPr>
          <w:szCs w:val="24"/>
        </w:rPr>
        <w:t xml:space="preserve">Heads of Argument it ought to have </w:t>
      </w:r>
      <w:r w:rsidR="0037370B">
        <w:rPr>
          <w:szCs w:val="24"/>
        </w:rPr>
        <w:t xml:space="preserve">once again raised a </w:t>
      </w:r>
      <w:r w:rsidR="00F24DE1">
        <w:rPr>
          <w:szCs w:val="24"/>
        </w:rPr>
        <w:t xml:space="preserve">red </w:t>
      </w:r>
      <w:r w:rsidR="0037370B">
        <w:rPr>
          <w:szCs w:val="24"/>
        </w:rPr>
        <w:t>flag to his legal practitioners</w:t>
      </w:r>
      <w:r w:rsidR="00AA4FB5">
        <w:rPr>
          <w:szCs w:val="24"/>
        </w:rPr>
        <w:t xml:space="preserve"> that the application was not only defective but</w:t>
      </w:r>
      <w:r w:rsidR="00B71975">
        <w:rPr>
          <w:szCs w:val="24"/>
        </w:rPr>
        <w:t xml:space="preserve"> was </w:t>
      </w:r>
      <w:r w:rsidR="00AA4FB5">
        <w:rPr>
          <w:szCs w:val="24"/>
        </w:rPr>
        <w:t xml:space="preserve">also </w:t>
      </w:r>
      <w:r w:rsidR="00B71975">
        <w:rPr>
          <w:szCs w:val="24"/>
        </w:rPr>
        <w:t xml:space="preserve">clearly </w:t>
      </w:r>
      <w:r w:rsidR="00AA4FB5">
        <w:rPr>
          <w:szCs w:val="24"/>
        </w:rPr>
        <w:t>carrying no merit. The Applicant still failed to do anything. Ultimately when the application was finall</w:t>
      </w:r>
      <w:r w:rsidR="00BD5A7E">
        <w:rPr>
          <w:szCs w:val="24"/>
        </w:rPr>
        <w:t>y set down the Applicant</w:t>
      </w:r>
      <w:r w:rsidR="00AA4FB5">
        <w:rPr>
          <w:szCs w:val="24"/>
        </w:rPr>
        <w:t xml:space="preserve"> then appeared</w:t>
      </w:r>
      <w:r>
        <w:rPr>
          <w:szCs w:val="24"/>
        </w:rPr>
        <w:t xml:space="preserve"> with</w:t>
      </w:r>
      <w:r w:rsidR="00AA4FB5">
        <w:rPr>
          <w:szCs w:val="24"/>
        </w:rPr>
        <w:t xml:space="preserve"> </w:t>
      </w:r>
      <w:r w:rsidR="00BD5A7E">
        <w:rPr>
          <w:szCs w:val="24"/>
        </w:rPr>
        <w:t>his legal practitioner</w:t>
      </w:r>
      <w:r w:rsidR="00AA4FB5">
        <w:rPr>
          <w:szCs w:val="24"/>
        </w:rPr>
        <w:t xml:space="preserve"> </w:t>
      </w:r>
      <w:r>
        <w:rPr>
          <w:szCs w:val="24"/>
        </w:rPr>
        <w:t xml:space="preserve">and he </w:t>
      </w:r>
      <w:r w:rsidR="00AA4FB5">
        <w:rPr>
          <w:szCs w:val="24"/>
        </w:rPr>
        <w:t>sought to withdr</w:t>
      </w:r>
      <w:r w:rsidR="003B79B1">
        <w:rPr>
          <w:szCs w:val="24"/>
        </w:rPr>
        <w:t>aw the application for review. Needless to point out h</w:t>
      </w:r>
      <w:r w:rsidR="00AA4FB5">
        <w:rPr>
          <w:szCs w:val="24"/>
        </w:rPr>
        <w:t>e only did so at the eleventh hour.</w:t>
      </w:r>
    </w:p>
    <w:p w:rsidR="00AA4FB5" w:rsidRDefault="00AA4FB5" w:rsidP="00C97672">
      <w:pPr>
        <w:spacing w:after="0"/>
        <w:ind w:firstLine="720"/>
        <w:rPr>
          <w:szCs w:val="24"/>
        </w:rPr>
      </w:pPr>
    </w:p>
    <w:p w:rsidR="00F24DE1" w:rsidRDefault="00AA4FB5" w:rsidP="00F24DE1">
      <w:pPr>
        <w:spacing w:after="0"/>
        <w:ind w:firstLine="720"/>
        <w:rPr>
          <w:szCs w:val="24"/>
        </w:rPr>
      </w:pPr>
      <w:proofErr w:type="gramStart"/>
      <w:r>
        <w:rPr>
          <w:szCs w:val="24"/>
        </w:rPr>
        <w:t>All these facts taken together point to a not so serious litigant.</w:t>
      </w:r>
      <w:proofErr w:type="gramEnd"/>
      <w:r>
        <w:rPr>
          <w:szCs w:val="24"/>
        </w:rPr>
        <w:t xml:space="preserve"> There</w:t>
      </w:r>
      <w:r w:rsidR="00BD5A7E">
        <w:rPr>
          <w:szCs w:val="24"/>
        </w:rPr>
        <w:t xml:space="preserve"> must have been</w:t>
      </w:r>
      <w:r>
        <w:rPr>
          <w:szCs w:val="24"/>
        </w:rPr>
        <w:t xml:space="preserve"> a point wh</w:t>
      </w:r>
      <w:r w:rsidR="00BD5A7E">
        <w:rPr>
          <w:szCs w:val="24"/>
        </w:rPr>
        <w:t>ere his l</w:t>
      </w:r>
      <w:r w:rsidR="00D1378B">
        <w:rPr>
          <w:szCs w:val="24"/>
        </w:rPr>
        <w:t>egal practitioner</w:t>
      </w:r>
      <w:r w:rsidR="00BD5A7E">
        <w:rPr>
          <w:szCs w:val="24"/>
        </w:rPr>
        <w:t xml:space="preserve"> ought to</w:t>
      </w:r>
      <w:r>
        <w:rPr>
          <w:szCs w:val="24"/>
        </w:rPr>
        <w:t xml:space="preserve"> have know</w:t>
      </w:r>
      <w:r w:rsidR="003B79B1">
        <w:rPr>
          <w:szCs w:val="24"/>
        </w:rPr>
        <w:t>n</w:t>
      </w:r>
      <w:r>
        <w:rPr>
          <w:szCs w:val="24"/>
        </w:rPr>
        <w:t xml:space="preserve"> that the application was going nowhere. They persisted with the matter resulting in the Respondent incurring further unnecessary costs in the matter including a court appearance. It was my considered view that the Applicant’s conduct through his Legal Practitioner was unreasonable and vexatious and that a costs order on the </w:t>
      </w:r>
      <w:r w:rsidR="00A27759">
        <w:rPr>
          <w:szCs w:val="24"/>
        </w:rPr>
        <w:t xml:space="preserve">legal practitioner </w:t>
      </w:r>
      <w:r>
        <w:rPr>
          <w:szCs w:val="24"/>
        </w:rPr>
        <w:t xml:space="preserve">and client scale was therefore warranted. </w:t>
      </w:r>
      <w:r w:rsidR="00F24DE1">
        <w:rPr>
          <w:szCs w:val="24"/>
        </w:rPr>
        <w:t xml:space="preserve">The </w:t>
      </w:r>
      <w:r w:rsidR="00A65881">
        <w:rPr>
          <w:b/>
          <w:szCs w:val="24"/>
        </w:rPr>
        <w:t xml:space="preserve">Labour Court </w:t>
      </w:r>
      <w:r w:rsidR="00F24DE1" w:rsidRPr="00B71975">
        <w:rPr>
          <w:b/>
          <w:szCs w:val="24"/>
        </w:rPr>
        <w:t>Rule</w:t>
      </w:r>
      <w:r w:rsidR="00A65881">
        <w:rPr>
          <w:b/>
          <w:szCs w:val="24"/>
        </w:rPr>
        <w:t xml:space="preserve">s, Statutory Instrument </w:t>
      </w:r>
      <w:r w:rsidR="00F24DE1" w:rsidRPr="00B71975">
        <w:rPr>
          <w:b/>
          <w:szCs w:val="24"/>
        </w:rPr>
        <w:t>of 2017</w:t>
      </w:r>
      <w:r w:rsidR="00F24DE1">
        <w:rPr>
          <w:szCs w:val="24"/>
        </w:rPr>
        <w:t xml:space="preserve"> actually provide for two instances when an application can be withdrawn. A matter can be withdrawn </w:t>
      </w:r>
      <w:r w:rsidR="00821CAD">
        <w:rPr>
          <w:szCs w:val="24"/>
        </w:rPr>
        <w:t xml:space="preserve">before the hearing </w:t>
      </w:r>
      <w:r w:rsidR="00F24DE1">
        <w:rPr>
          <w:szCs w:val="24"/>
        </w:rPr>
        <w:t xml:space="preserve">under </w:t>
      </w:r>
      <w:r w:rsidR="00F24DE1" w:rsidRPr="00B71975">
        <w:rPr>
          <w:b/>
          <w:szCs w:val="24"/>
        </w:rPr>
        <w:t>Rule 27 (1)</w:t>
      </w:r>
      <w:r w:rsidR="00F24DE1">
        <w:rPr>
          <w:szCs w:val="24"/>
        </w:rPr>
        <w:t xml:space="preserve"> whereas a matter set down can be withdrawn at the hearing </w:t>
      </w:r>
      <w:r w:rsidR="00F24DE1" w:rsidRPr="00B71975">
        <w:rPr>
          <w:b/>
          <w:szCs w:val="24"/>
        </w:rPr>
        <w:t>Rule 27 (3)</w:t>
      </w:r>
      <w:r w:rsidR="00BD5A7E">
        <w:rPr>
          <w:b/>
          <w:szCs w:val="24"/>
        </w:rPr>
        <w:t xml:space="preserve"> </w:t>
      </w:r>
      <w:r w:rsidR="00BD5A7E">
        <w:rPr>
          <w:szCs w:val="24"/>
        </w:rPr>
        <w:t>refers.</w:t>
      </w:r>
      <w:r w:rsidR="00821CAD">
        <w:rPr>
          <w:szCs w:val="24"/>
        </w:rPr>
        <w:t xml:space="preserve"> It was my considered </w:t>
      </w:r>
      <w:r w:rsidR="004C74D5">
        <w:rPr>
          <w:szCs w:val="24"/>
        </w:rPr>
        <w:t xml:space="preserve">view Applicant’s persistence with the application was unreasonable in view of the unsustainability of this application. By withdrawing </w:t>
      </w:r>
      <w:r w:rsidR="004C74D5">
        <w:rPr>
          <w:szCs w:val="24"/>
        </w:rPr>
        <w:lastRenderedPageBreak/>
        <w:t xml:space="preserve">the matter earlier utilizing the provisions in </w:t>
      </w:r>
      <w:r w:rsidR="004C74D5">
        <w:rPr>
          <w:b/>
          <w:szCs w:val="24"/>
        </w:rPr>
        <w:t>Rule 27 (1)</w:t>
      </w:r>
      <w:r w:rsidR="00C104DA">
        <w:rPr>
          <w:szCs w:val="24"/>
        </w:rPr>
        <w:t xml:space="preserve">, </w:t>
      </w:r>
      <w:r w:rsidR="004C74D5">
        <w:rPr>
          <w:szCs w:val="24"/>
        </w:rPr>
        <w:t xml:space="preserve">the Respondent would not have incurred further and </w:t>
      </w:r>
      <w:r w:rsidR="00B634B4">
        <w:rPr>
          <w:szCs w:val="24"/>
        </w:rPr>
        <w:t>unnecessary</w:t>
      </w:r>
      <w:r w:rsidR="004C74D5">
        <w:rPr>
          <w:szCs w:val="24"/>
        </w:rPr>
        <w:t xml:space="preserve"> legal costs. </w:t>
      </w:r>
    </w:p>
    <w:p w:rsidR="005D2C4E" w:rsidRPr="00BD5A7E" w:rsidRDefault="005D2C4E" w:rsidP="00F24DE1">
      <w:pPr>
        <w:spacing w:after="0"/>
        <w:ind w:firstLine="720"/>
        <w:rPr>
          <w:szCs w:val="24"/>
        </w:rPr>
      </w:pPr>
    </w:p>
    <w:p w:rsidR="001D4FE1" w:rsidRPr="001D4FE1" w:rsidRDefault="00A65881" w:rsidP="00C97672">
      <w:pPr>
        <w:spacing w:after="0"/>
        <w:ind w:firstLine="720"/>
      </w:pPr>
      <w:r>
        <w:rPr>
          <w:szCs w:val="24"/>
        </w:rPr>
        <w:t>It was on this basis I</w:t>
      </w:r>
      <w:r w:rsidR="00AA4FB5">
        <w:rPr>
          <w:szCs w:val="24"/>
        </w:rPr>
        <w:t xml:space="preserve"> then granted an order in terms as referred to </w:t>
      </w:r>
      <w:r w:rsidR="00AA4FB5">
        <w:rPr>
          <w:i/>
          <w:szCs w:val="24"/>
        </w:rPr>
        <w:t>supra.</w:t>
      </w:r>
      <w:r w:rsidR="00AA4FB5">
        <w:rPr>
          <w:szCs w:val="24"/>
        </w:rPr>
        <w:t xml:space="preserve">   </w:t>
      </w:r>
      <w:r w:rsidR="0037370B">
        <w:rPr>
          <w:szCs w:val="24"/>
        </w:rPr>
        <w:t xml:space="preserve"> </w:t>
      </w:r>
      <w:r w:rsidR="00256CFE">
        <w:rPr>
          <w:szCs w:val="24"/>
        </w:rPr>
        <w:t xml:space="preserve"> </w:t>
      </w:r>
      <w:r w:rsidR="00C17F44">
        <w:rPr>
          <w:sz w:val="20"/>
          <w:szCs w:val="20"/>
        </w:rPr>
        <w:t xml:space="preserve">  </w:t>
      </w:r>
      <w:r w:rsidR="001200A5">
        <w:rPr>
          <w:i/>
        </w:rPr>
        <w:t xml:space="preserve"> </w:t>
      </w:r>
      <w:r w:rsidR="001200A5">
        <w:t xml:space="preserve"> </w:t>
      </w:r>
      <w:r w:rsidR="001D4FE1">
        <w:t xml:space="preserve"> </w:t>
      </w:r>
    </w:p>
    <w:p w:rsidR="005E7E9F" w:rsidRDefault="005E7E9F" w:rsidP="005E7E9F">
      <w:pPr>
        <w:spacing w:after="0"/>
      </w:pPr>
    </w:p>
    <w:p w:rsidR="00C3010B" w:rsidRDefault="00C3010B" w:rsidP="005E7E9F">
      <w:pPr>
        <w:spacing w:after="0"/>
        <w:rPr>
          <w:b/>
        </w:rPr>
      </w:pPr>
    </w:p>
    <w:p w:rsidR="00C3010B" w:rsidRDefault="00C3010B" w:rsidP="005E7E9F">
      <w:pPr>
        <w:spacing w:after="0"/>
        <w:rPr>
          <w:b/>
        </w:rPr>
      </w:pPr>
    </w:p>
    <w:p w:rsidR="00C3010B" w:rsidRDefault="00C3010B" w:rsidP="005E7E9F">
      <w:pPr>
        <w:spacing w:after="0"/>
        <w:rPr>
          <w:b/>
        </w:rPr>
      </w:pPr>
    </w:p>
    <w:p w:rsidR="00495422" w:rsidRDefault="00C3010B" w:rsidP="005E7E9F">
      <w:pPr>
        <w:spacing w:after="0"/>
        <w:rPr>
          <w:b/>
        </w:rPr>
      </w:pPr>
      <w:proofErr w:type="spellStart"/>
      <w:r w:rsidRPr="00C3010B">
        <w:rPr>
          <w:b/>
          <w:i/>
        </w:rPr>
        <w:t>Murambasvina</w:t>
      </w:r>
      <w:proofErr w:type="spellEnd"/>
      <w:r w:rsidRPr="00C3010B">
        <w:rPr>
          <w:b/>
          <w:i/>
        </w:rPr>
        <w:t xml:space="preserve"> Legal Practice</w:t>
      </w:r>
      <w:r>
        <w:rPr>
          <w:b/>
        </w:rPr>
        <w:t>, applicant’s legal practitioner</w:t>
      </w:r>
    </w:p>
    <w:p w:rsidR="005E7E9F" w:rsidRPr="005E7E9F" w:rsidRDefault="00495422" w:rsidP="005E7E9F">
      <w:pPr>
        <w:spacing w:after="0"/>
        <w:rPr>
          <w:b/>
        </w:rPr>
      </w:pPr>
      <w:proofErr w:type="spellStart"/>
      <w:r w:rsidRPr="00495422">
        <w:rPr>
          <w:b/>
          <w:i/>
        </w:rPr>
        <w:t>Devitte</w:t>
      </w:r>
      <w:proofErr w:type="spellEnd"/>
      <w:r w:rsidRPr="00495422">
        <w:rPr>
          <w:b/>
          <w:i/>
        </w:rPr>
        <w:t xml:space="preserve"> Rodolph &amp; Timba</w:t>
      </w:r>
      <w:r>
        <w:rPr>
          <w:b/>
        </w:rPr>
        <w:t>, respondent’s legal p</w:t>
      </w:r>
      <w:bookmarkStart w:id="0" w:name="_GoBack"/>
      <w:bookmarkEnd w:id="0"/>
      <w:r>
        <w:rPr>
          <w:b/>
        </w:rPr>
        <w:t>ractitioner</w:t>
      </w:r>
      <w:r w:rsidR="005E7E9F">
        <w:rPr>
          <w:b/>
        </w:rPr>
        <w:t xml:space="preserve"> </w:t>
      </w:r>
    </w:p>
    <w:sectPr w:rsidR="005E7E9F" w:rsidRPr="005E7E9F" w:rsidSect="006073A6">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187" w:rsidRDefault="00006187" w:rsidP="005E7E9F">
      <w:pPr>
        <w:spacing w:after="0" w:line="240" w:lineRule="auto"/>
      </w:pPr>
      <w:r>
        <w:separator/>
      </w:r>
    </w:p>
  </w:endnote>
  <w:endnote w:type="continuationSeparator" w:id="0">
    <w:p w:rsidR="00006187" w:rsidRDefault="00006187" w:rsidP="005E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140658"/>
      <w:docPartObj>
        <w:docPartGallery w:val="Page Numbers (Bottom of Page)"/>
        <w:docPartUnique/>
      </w:docPartObj>
    </w:sdtPr>
    <w:sdtEndPr/>
    <w:sdtContent>
      <w:p w:rsidR="0037370B" w:rsidRDefault="00675BA5">
        <w:pPr>
          <w:pStyle w:val="Footer"/>
          <w:jc w:val="center"/>
        </w:pPr>
        <w:r>
          <w:rPr>
            <w:noProof/>
          </w:rPr>
          <w:fldChar w:fldCharType="begin"/>
        </w:r>
        <w:r w:rsidR="0013258C">
          <w:rPr>
            <w:noProof/>
          </w:rPr>
          <w:instrText xml:space="preserve"> PAGE   \* MERGEFORMAT </w:instrText>
        </w:r>
        <w:r>
          <w:rPr>
            <w:noProof/>
          </w:rPr>
          <w:fldChar w:fldCharType="separate"/>
        </w:r>
        <w:r w:rsidR="00495422">
          <w:rPr>
            <w:noProof/>
          </w:rPr>
          <w:t>5</w:t>
        </w:r>
        <w:r>
          <w:rPr>
            <w:noProof/>
          </w:rPr>
          <w:fldChar w:fldCharType="end"/>
        </w:r>
      </w:p>
    </w:sdtContent>
  </w:sdt>
  <w:p w:rsidR="0037370B" w:rsidRDefault="003737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A6" w:rsidRDefault="006073A6">
    <w:pPr>
      <w:pStyle w:val="Footer"/>
      <w:jc w:val="center"/>
    </w:pPr>
  </w:p>
  <w:p w:rsidR="006073A6" w:rsidRDefault="00607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187" w:rsidRDefault="00006187" w:rsidP="005E7E9F">
      <w:pPr>
        <w:spacing w:after="0" w:line="240" w:lineRule="auto"/>
      </w:pPr>
      <w:r>
        <w:separator/>
      </w:r>
    </w:p>
  </w:footnote>
  <w:footnote w:type="continuationSeparator" w:id="0">
    <w:p w:rsidR="00006187" w:rsidRDefault="00006187" w:rsidP="005E7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A6" w:rsidRDefault="006073A6">
    <w:pPr>
      <w:pStyle w:val="Header"/>
    </w:pPr>
    <w:r>
      <w:tab/>
    </w:r>
    <w:r>
      <w:tab/>
      <w:t>JUDGMENT NO. LC/H/</w:t>
    </w:r>
    <w:r w:rsidR="00D81A65">
      <w:t>251</w:t>
    </w:r>
    <w: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63A52"/>
    <w:multiLevelType w:val="hybridMultilevel"/>
    <w:tmpl w:val="B516B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9F"/>
    <w:rsid w:val="00002A54"/>
    <w:rsid w:val="00006187"/>
    <w:rsid w:val="00072A0E"/>
    <w:rsid w:val="000D11B1"/>
    <w:rsid w:val="001200A5"/>
    <w:rsid w:val="0013258C"/>
    <w:rsid w:val="001964CD"/>
    <w:rsid w:val="001D4FE1"/>
    <w:rsid w:val="001F1530"/>
    <w:rsid w:val="00234814"/>
    <w:rsid w:val="00253E9C"/>
    <w:rsid w:val="00256CFE"/>
    <w:rsid w:val="00261E43"/>
    <w:rsid w:val="00296804"/>
    <w:rsid w:val="002E0923"/>
    <w:rsid w:val="002F4A9C"/>
    <w:rsid w:val="0037370B"/>
    <w:rsid w:val="003B79B1"/>
    <w:rsid w:val="004172B2"/>
    <w:rsid w:val="00482B78"/>
    <w:rsid w:val="00495422"/>
    <w:rsid w:val="004C74D5"/>
    <w:rsid w:val="005721D3"/>
    <w:rsid w:val="00585898"/>
    <w:rsid w:val="005D2C4E"/>
    <w:rsid w:val="005E7E9F"/>
    <w:rsid w:val="006073A6"/>
    <w:rsid w:val="00675BA5"/>
    <w:rsid w:val="00695480"/>
    <w:rsid w:val="006D2CF4"/>
    <w:rsid w:val="00721106"/>
    <w:rsid w:val="00722ED3"/>
    <w:rsid w:val="0073015C"/>
    <w:rsid w:val="00797043"/>
    <w:rsid w:val="007E0ACC"/>
    <w:rsid w:val="00821CAD"/>
    <w:rsid w:val="00822329"/>
    <w:rsid w:val="00835302"/>
    <w:rsid w:val="00865E46"/>
    <w:rsid w:val="008958D3"/>
    <w:rsid w:val="008B1933"/>
    <w:rsid w:val="00932A6F"/>
    <w:rsid w:val="00933C6A"/>
    <w:rsid w:val="00A27759"/>
    <w:rsid w:val="00A65881"/>
    <w:rsid w:val="00A82740"/>
    <w:rsid w:val="00AA4FB5"/>
    <w:rsid w:val="00AF0545"/>
    <w:rsid w:val="00B049D1"/>
    <w:rsid w:val="00B0502E"/>
    <w:rsid w:val="00B634B4"/>
    <w:rsid w:val="00B71975"/>
    <w:rsid w:val="00B73859"/>
    <w:rsid w:val="00BD5A7E"/>
    <w:rsid w:val="00BF1817"/>
    <w:rsid w:val="00C0754C"/>
    <w:rsid w:val="00C104DA"/>
    <w:rsid w:val="00C17F44"/>
    <w:rsid w:val="00C3010B"/>
    <w:rsid w:val="00C97672"/>
    <w:rsid w:val="00CC5406"/>
    <w:rsid w:val="00CD61AE"/>
    <w:rsid w:val="00D033F0"/>
    <w:rsid w:val="00D1378B"/>
    <w:rsid w:val="00D15F75"/>
    <w:rsid w:val="00D22DC9"/>
    <w:rsid w:val="00D81A65"/>
    <w:rsid w:val="00DA7DF0"/>
    <w:rsid w:val="00DF672A"/>
    <w:rsid w:val="00E36E6F"/>
    <w:rsid w:val="00E47104"/>
    <w:rsid w:val="00E4755D"/>
    <w:rsid w:val="00EA321D"/>
    <w:rsid w:val="00F066B1"/>
    <w:rsid w:val="00F24DE1"/>
    <w:rsid w:val="00F83B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545"/>
    <w:pPr>
      <w:spacing w:line="360" w:lineRule="auto"/>
      <w:jc w:val="both"/>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E9F"/>
  </w:style>
  <w:style w:type="paragraph" w:styleId="Footer">
    <w:name w:val="footer"/>
    <w:basedOn w:val="Normal"/>
    <w:link w:val="FooterChar"/>
    <w:uiPriority w:val="99"/>
    <w:unhideWhenUsed/>
    <w:rsid w:val="005E7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E9F"/>
  </w:style>
  <w:style w:type="paragraph" w:styleId="BalloonText">
    <w:name w:val="Balloon Text"/>
    <w:basedOn w:val="Normal"/>
    <w:link w:val="BalloonTextChar"/>
    <w:uiPriority w:val="99"/>
    <w:semiHidden/>
    <w:unhideWhenUsed/>
    <w:rsid w:val="00730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5C"/>
    <w:rPr>
      <w:rFonts w:ascii="Segoe UI" w:hAnsi="Segoe UI" w:cs="Segoe UI"/>
      <w:sz w:val="18"/>
      <w:szCs w:val="18"/>
    </w:rPr>
  </w:style>
  <w:style w:type="paragraph" w:styleId="ListParagraph">
    <w:name w:val="List Paragraph"/>
    <w:basedOn w:val="Normal"/>
    <w:uiPriority w:val="34"/>
    <w:qFormat/>
    <w:rsid w:val="00BF1817"/>
    <w:pPr>
      <w:ind w:left="720"/>
      <w:contextualSpacing/>
    </w:pPr>
  </w:style>
  <w:style w:type="paragraph" w:customStyle="1" w:styleId="Default">
    <w:name w:val="Default"/>
    <w:rsid w:val="00002A54"/>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545"/>
    <w:pPr>
      <w:spacing w:line="360" w:lineRule="auto"/>
      <w:jc w:val="both"/>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E9F"/>
  </w:style>
  <w:style w:type="paragraph" w:styleId="Footer">
    <w:name w:val="footer"/>
    <w:basedOn w:val="Normal"/>
    <w:link w:val="FooterChar"/>
    <w:uiPriority w:val="99"/>
    <w:unhideWhenUsed/>
    <w:rsid w:val="005E7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E9F"/>
  </w:style>
  <w:style w:type="paragraph" w:styleId="BalloonText">
    <w:name w:val="Balloon Text"/>
    <w:basedOn w:val="Normal"/>
    <w:link w:val="BalloonTextChar"/>
    <w:uiPriority w:val="99"/>
    <w:semiHidden/>
    <w:unhideWhenUsed/>
    <w:rsid w:val="00730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5C"/>
    <w:rPr>
      <w:rFonts w:ascii="Segoe UI" w:hAnsi="Segoe UI" w:cs="Segoe UI"/>
      <w:sz w:val="18"/>
      <w:szCs w:val="18"/>
    </w:rPr>
  </w:style>
  <w:style w:type="paragraph" w:styleId="ListParagraph">
    <w:name w:val="List Paragraph"/>
    <w:basedOn w:val="Normal"/>
    <w:uiPriority w:val="34"/>
    <w:qFormat/>
    <w:rsid w:val="00BF1817"/>
    <w:pPr>
      <w:ind w:left="720"/>
      <w:contextualSpacing/>
    </w:pPr>
  </w:style>
  <w:style w:type="paragraph" w:customStyle="1" w:styleId="Default">
    <w:name w:val="Default"/>
    <w:rsid w:val="00002A54"/>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BTC_2</dc:creator>
  <cp:lastModifiedBy>library</cp:lastModifiedBy>
  <cp:revision>4</cp:revision>
  <cp:lastPrinted>2020-11-05T12:39:00Z</cp:lastPrinted>
  <dcterms:created xsi:type="dcterms:W3CDTF">2020-11-05T10:49:00Z</dcterms:created>
  <dcterms:modified xsi:type="dcterms:W3CDTF">2020-11-05T13:00:00Z</dcterms:modified>
</cp:coreProperties>
</file>