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51C7" w14:textId="77777777" w:rsidR="00743640" w:rsidRPr="00673375" w:rsidRDefault="00743640" w:rsidP="00673375">
      <w:pPr>
        <w:jc w:val="both"/>
        <w:rPr>
          <w:rFonts w:ascii="Times New Roman" w:hAnsi="Times New Roman"/>
          <w:sz w:val="24"/>
          <w:szCs w:val="24"/>
        </w:rPr>
      </w:pPr>
    </w:p>
    <w:p w14:paraId="301E49D6" w14:textId="6D872F38" w:rsidR="002718F4" w:rsidRPr="00864CDC" w:rsidRDefault="002718F4" w:rsidP="00864CDC">
      <w:pPr>
        <w:pStyle w:val="NoSpacing"/>
        <w:rPr>
          <w:rFonts w:ascii="Times New Roman" w:hAnsi="Times New Roman"/>
        </w:rPr>
      </w:pPr>
      <w:bookmarkStart w:id="0" w:name="_Hlk119583198"/>
      <w:r w:rsidRPr="00864CDC">
        <w:rPr>
          <w:rFonts w:ascii="Times New Roman" w:hAnsi="Times New Roman"/>
        </w:rPr>
        <w:t>ROBIN BOUCK</w:t>
      </w:r>
      <w:r w:rsidR="00121685">
        <w:rPr>
          <w:rFonts w:ascii="Times New Roman" w:hAnsi="Times New Roman"/>
        </w:rPr>
        <w:t>A</w:t>
      </w:r>
      <w:r w:rsidRPr="00864CDC">
        <w:rPr>
          <w:rFonts w:ascii="Times New Roman" w:hAnsi="Times New Roman"/>
        </w:rPr>
        <w:t>ERT</w:t>
      </w:r>
    </w:p>
    <w:p w14:paraId="15036B0A" w14:textId="24C9D07E" w:rsidR="002718F4" w:rsidRPr="00864CDC" w:rsidRDefault="003B17D7" w:rsidP="00864CDC">
      <w:pPr>
        <w:pStyle w:val="NoSpacing"/>
        <w:rPr>
          <w:rFonts w:ascii="Times New Roman" w:hAnsi="Times New Roman"/>
        </w:rPr>
      </w:pPr>
      <w:r>
        <w:rPr>
          <w:rFonts w:ascii="Times New Roman" w:hAnsi="Times New Roman"/>
        </w:rPr>
        <w:t>v</w:t>
      </w:r>
      <w:r w:rsidR="002718F4" w:rsidRPr="00864CDC">
        <w:rPr>
          <w:rFonts w:ascii="Times New Roman" w:hAnsi="Times New Roman"/>
        </w:rPr>
        <w:t>ersus</w:t>
      </w:r>
    </w:p>
    <w:p w14:paraId="3F2E1F5F" w14:textId="77777777" w:rsidR="002718F4" w:rsidRPr="00864CDC" w:rsidRDefault="002718F4" w:rsidP="00864CDC">
      <w:pPr>
        <w:pStyle w:val="NoSpacing"/>
        <w:rPr>
          <w:rFonts w:ascii="Times New Roman" w:hAnsi="Times New Roman"/>
        </w:rPr>
      </w:pPr>
      <w:r w:rsidRPr="00864CDC">
        <w:rPr>
          <w:rFonts w:ascii="Times New Roman" w:hAnsi="Times New Roman"/>
        </w:rPr>
        <w:t>GARY DUCKWORTH</w:t>
      </w:r>
    </w:p>
    <w:p w14:paraId="677656F3" w14:textId="7CD1194E" w:rsidR="002718F4" w:rsidRPr="00864CDC" w:rsidRDefault="003B17D7" w:rsidP="00864CDC">
      <w:pPr>
        <w:pStyle w:val="NoSpacing"/>
        <w:rPr>
          <w:rFonts w:ascii="Times New Roman" w:hAnsi="Times New Roman"/>
        </w:rPr>
      </w:pPr>
      <w:r>
        <w:rPr>
          <w:rFonts w:ascii="Times New Roman" w:hAnsi="Times New Roman"/>
        </w:rPr>
        <w:t>a</w:t>
      </w:r>
      <w:r w:rsidR="002718F4" w:rsidRPr="00864CDC">
        <w:rPr>
          <w:rFonts w:ascii="Times New Roman" w:hAnsi="Times New Roman"/>
        </w:rPr>
        <w:t>nd</w:t>
      </w:r>
    </w:p>
    <w:p w14:paraId="41F2A781" w14:textId="77777777" w:rsidR="002718F4" w:rsidRPr="00864CDC" w:rsidRDefault="002718F4" w:rsidP="00864CDC">
      <w:pPr>
        <w:pStyle w:val="NoSpacing"/>
        <w:rPr>
          <w:rFonts w:ascii="Times New Roman" w:hAnsi="Times New Roman"/>
        </w:rPr>
      </w:pPr>
      <w:r w:rsidRPr="00864CDC">
        <w:rPr>
          <w:rFonts w:ascii="Times New Roman" w:hAnsi="Times New Roman"/>
        </w:rPr>
        <w:t>WILFRIED PABST</w:t>
      </w:r>
    </w:p>
    <w:p w14:paraId="1510EA0A" w14:textId="3D75E4E6" w:rsidR="002718F4" w:rsidRPr="00864CDC" w:rsidRDefault="003B17D7" w:rsidP="00864CDC">
      <w:pPr>
        <w:pStyle w:val="NoSpacing"/>
        <w:rPr>
          <w:rFonts w:ascii="Times New Roman" w:hAnsi="Times New Roman"/>
        </w:rPr>
      </w:pPr>
      <w:r>
        <w:rPr>
          <w:rFonts w:ascii="Times New Roman" w:hAnsi="Times New Roman"/>
        </w:rPr>
        <w:t>a</w:t>
      </w:r>
      <w:r w:rsidR="002718F4" w:rsidRPr="00864CDC">
        <w:rPr>
          <w:rFonts w:ascii="Times New Roman" w:hAnsi="Times New Roman"/>
        </w:rPr>
        <w:t>nd</w:t>
      </w:r>
    </w:p>
    <w:p w14:paraId="44EF43DF" w14:textId="77777777" w:rsidR="002718F4" w:rsidRPr="00864CDC" w:rsidRDefault="002718F4" w:rsidP="00864CDC">
      <w:pPr>
        <w:pStyle w:val="NoSpacing"/>
        <w:rPr>
          <w:rFonts w:ascii="Times New Roman" w:hAnsi="Times New Roman"/>
        </w:rPr>
      </w:pPr>
      <w:r w:rsidRPr="00864CDC">
        <w:rPr>
          <w:rFonts w:ascii="Times New Roman" w:hAnsi="Times New Roman"/>
        </w:rPr>
        <w:t>GUY WITHAL</w:t>
      </w:r>
    </w:p>
    <w:p w14:paraId="2A0B8B5E" w14:textId="15B21261" w:rsidR="002718F4" w:rsidRPr="00864CDC" w:rsidRDefault="003B17D7" w:rsidP="00864CDC">
      <w:pPr>
        <w:pStyle w:val="NoSpacing"/>
        <w:rPr>
          <w:rFonts w:ascii="Times New Roman" w:hAnsi="Times New Roman"/>
        </w:rPr>
      </w:pPr>
      <w:r>
        <w:rPr>
          <w:rFonts w:ascii="Times New Roman" w:hAnsi="Times New Roman"/>
        </w:rPr>
        <w:t>a</w:t>
      </w:r>
      <w:r w:rsidR="002718F4" w:rsidRPr="00864CDC">
        <w:rPr>
          <w:rFonts w:ascii="Times New Roman" w:hAnsi="Times New Roman"/>
        </w:rPr>
        <w:t>nd</w:t>
      </w:r>
    </w:p>
    <w:p w14:paraId="17EE6852" w14:textId="77777777" w:rsidR="002718F4" w:rsidRPr="00864CDC" w:rsidRDefault="002718F4" w:rsidP="00864CDC">
      <w:pPr>
        <w:pStyle w:val="NoSpacing"/>
        <w:rPr>
          <w:rFonts w:ascii="Times New Roman" w:hAnsi="Times New Roman"/>
        </w:rPr>
      </w:pPr>
      <w:r w:rsidRPr="00864CDC">
        <w:rPr>
          <w:rFonts w:ascii="Times New Roman" w:hAnsi="Times New Roman"/>
        </w:rPr>
        <w:t>GUY STOCKIL</w:t>
      </w:r>
    </w:p>
    <w:p w14:paraId="3024DD18" w14:textId="2DB7E7D8" w:rsidR="002718F4" w:rsidRPr="00864CDC" w:rsidRDefault="003B17D7" w:rsidP="00864CDC">
      <w:pPr>
        <w:pStyle w:val="NoSpacing"/>
        <w:rPr>
          <w:rFonts w:ascii="Times New Roman" w:hAnsi="Times New Roman"/>
        </w:rPr>
      </w:pPr>
      <w:r>
        <w:rPr>
          <w:rFonts w:ascii="Times New Roman" w:hAnsi="Times New Roman"/>
        </w:rPr>
        <w:t>a</w:t>
      </w:r>
      <w:r w:rsidR="002718F4" w:rsidRPr="00864CDC">
        <w:rPr>
          <w:rFonts w:ascii="Times New Roman" w:hAnsi="Times New Roman"/>
        </w:rPr>
        <w:t>nd</w:t>
      </w:r>
    </w:p>
    <w:p w14:paraId="1142AA41" w14:textId="77777777" w:rsidR="002718F4" w:rsidRPr="00864CDC" w:rsidRDefault="002718F4" w:rsidP="00864CDC">
      <w:pPr>
        <w:pStyle w:val="NoSpacing"/>
        <w:rPr>
          <w:rFonts w:ascii="Times New Roman" w:hAnsi="Times New Roman"/>
        </w:rPr>
      </w:pPr>
      <w:r w:rsidRPr="00864CDC">
        <w:rPr>
          <w:rFonts w:ascii="Times New Roman" w:hAnsi="Times New Roman"/>
        </w:rPr>
        <w:t>SAVE VALLEY CONSERVANCY</w:t>
      </w:r>
    </w:p>
    <w:p w14:paraId="458A2C7F" w14:textId="4DE750F7" w:rsidR="002718F4" w:rsidRPr="00864CDC" w:rsidRDefault="003B17D7" w:rsidP="00864CDC">
      <w:pPr>
        <w:pStyle w:val="NoSpacing"/>
        <w:rPr>
          <w:rFonts w:ascii="Times New Roman" w:hAnsi="Times New Roman"/>
        </w:rPr>
      </w:pPr>
      <w:r>
        <w:rPr>
          <w:rFonts w:ascii="Times New Roman" w:hAnsi="Times New Roman"/>
        </w:rPr>
        <w:t>a</w:t>
      </w:r>
      <w:bookmarkStart w:id="1" w:name="_GoBack"/>
      <w:bookmarkEnd w:id="1"/>
      <w:r w:rsidR="002718F4" w:rsidRPr="00864CDC">
        <w:rPr>
          <w:rFonts w:ascii="Times New Roman" w:hAnsi="Times New Roman"/>
        </w:rPr>
        <w:t>nd</w:t>
      </w:r>
    </w:p>
    <w:p w14:paraId="60D9D668" w14:textId="77777777" w:rsidR="002718F4" w:rsidRPr="00864CDC" w:rsidRDefault="002718F4" w:rsidP="00864CDC">
      <w:pPr>
        <w:pStyle w:val="NoSpacing"/>
        <w:rPr>
          <w:rFonts w:ascii="Times New Roman" w:hAnsi="Times New Roman"/>
        </w:rPr>
      </w:pPr>
      <w:r w:rsidRPr="00864CDC">
        <w:rPr>
          <w:rFonts w:ascii="Times New Roman" w:hAnsi="Times New Roman"/>
        </w:rPr>
        <w:t xml:space="preserve">THE TRUSTEES FOR THE TIME BEING OF </w:t>
      </w:r>
    </w:p>
    <w:bookmarkEnd w:id="0"/>
    <w:p w14:paraId="20033E8E" w14:textId="77777777" w:rsidR="002718F4" w:rsidRPr="00864CDC" w:rsidRDefault="002718F4" w:rsidP="00864CDC">
      <w:pPr>
        <w:pStyle w:val="NoSpacing"/>
        <w:rPr>
          <w:rFonts w:ascii="Times New Roman" w:hAnsi="Times New Roman"/>
        </w:rPr>
      </w:pPr>
      <w:r w:rsidRPr="00864CDC">
        <w:rPr>
          <w:rFonts w:ascii="Times New Roman" w:hAnsi="Times New Roman"/>
        </w:rPr>
        <w:t>THE SAVE VALLEY CONSERVANCY TRUST</w:t>
      </w:r>
    </w:p>
    <w:p w14:paraId="3783A135" w14:textId="77777777" w:rsidR="002718F4" w:rsidRPr="00673375" w:rsidRDefault="002718F4" w:rsidP="00673375">
      <w:pPr>
        <w:jc w:val="both"/>
        <w:rPr>
          <w:rFonts w:ascii="Times New Roman" w:hAnsi="Times New Roman"/>
          <w:sz w:val="24"/>
          <w:szCs w:val="24"/>
        </w:rPr>
      </w:pPr>
    </w:p>
    <w:p w14:paraId="4FCC3D01" w14:textId="77777777" w:rsidR="002718F4" w:rsidRPr="00673375" w:rsidRDefault="002718F4" w:rsidP="00673375">
      <w:pPr>
        <w:pStyle w:val="NoSpacing"/>
        <w:jc w:val="both"/>
        <w:rPr>
          <w:rFonts w:ascii="Times New Roman" w:hAnsi="Times New Roman"/>
          <w:sz w:val="24"/>
          <w:szCs w:val="24"/>
        </w:rPr>
      </w:pPr>
      <w:r w:rsidRPr="00673375">
        <w:rPr>
          <w:rFonts w:ascii="Times New Roman" w:hAnsi="Times New Roman"/>
          <w:sz w:val="24"/>
          <w:szCs w:val="24"/>
        </w:rPr>
        <w:t>HIGH COURT OF ZIMBABWE</w:t>
      </w:r>
    </w:p>
    <w:p w14:paraId="694D2587" w14:textId="77777777" w:rsidR="002718F4" w:rsidRPr="00673375" w:rsidRDefault="002718F4" w:rsidP="00673375">
      <w:pPr>
        <w:pStyle w:val="NoSpacing"/>
        <w:jc w:val="both"/>
        <w:rPr>
          <w:rFonts w:ascii="Times New Roman" w:hAnsi="Times New Roman"/>
          <w:sz w:val="24"/>
          <w:szCs w:val="24"/>
        </w:rPr>
      </w:pPr>
      <w:r w:rsidRPr="00673375">
        <w:rPr>
          <w:rFonts w:ascii="Times New Roman" w:hAnsi="Times New Roman"/>
          <w:sz w:val="24"/>
          <w:szCs w:val="24"/>
        </w:rPr>
        <w:t>HARARE  26 May and 16 November 2022</w:t>
      </w:r>
    </w:p>
    <w:p w14:paraId="4FA5A7E6" w14:textId="77777777" w:rsidR="002718F4" w:rsidRPr="00673375" w:rsidRDefault="002718F4" w:rsidP="00673375">
      <w:pPr>
        <w:pStyle w:val="NoSpacing"/>
        <w:jc w:val="both"/>
        <w:rPr>
          <w:rFonts w:ascii="Times New Roman" w:hAnsi="Times New Roman"/>
          <w:sz w:val="24"/>
          <w:szCs w:val="24"/>
        </w:rPr>
      </w:pPr>
      <w:r w:rsidRPr="002718F4">
        <w:rPr>
          <w:rFonts w:ascii="Times New Roman" w:hAnsi="Times New Roman"/>
          <w:sz w:val="24"/>
          <w:szCs w:val="24"/>
        </w:rPr>
        <w:t>CHILIMBE J</w:t>
      </w:r>
    </w:p>
    <w:p w14:paraId="21270610" w14:textId="77777777" w:rsidR="002718F4" w:rsidRPr="00673375" w:rsidRDefault="002718F4" w:rsidP="00673375">
      <w:pPr>
        <w:jc w:val="both"/>
        <w:rPr>
          <w:rFonts w:ascii="Times New Roman" w:hAnsi="Times New Roman"/>
          <w:sz w:val="24"/>
          <w:szCs w:val="24"/>
        </w:rPr>
      </w:pPr>
    </w:p>
    <w:p w14:paraId="71204FAD" w14:textId="77777777" w:rsidR="002718F4" w:rsidRPr="00673375" w:rsidRDefault="002718F4" w:rsidP="00673375">
      <w:pPr>
        <w:jc w:val="both"/>
        <w:rPr>
          <w:rFonts w:ascii="Times New Roman" w:hAnsi="Times New Roman"/>
          <w:sz w:val="24"/>
          <w:szCs w:val="24"/>
        </w:rPr>
      </w:pPr>
      <w:r w:rsidRPr="00673375">
        <w:rPr>
          <w:rFonts w:ascii="Times New Roman" w:hAnsi="Times New Roman"/>
          <w:sz w:val="24"/>
          <w:szCs w:val="24"/>
        </w:rPr>
        <w:t>Opposed application</w:t>
      </w:r>
    </w:p>
    <w:p w14:paraId="7F9DA511" w14:textId="77777777" w:rsidR="002718F4" w:rsidRPr="00673375" w:rsidRDefault="002718F4" w:rsidP="00673375">
      <w:pPr>
        <w:jc w:val="both"/>
        <w:rPr>
          <w:rFonts w:ascii="Times New Roman" w:hAnsi="Times New Roman"/>
          <w:sz w:val="24"/>
          <w:szCs w:val="24"/>
        </w:rPr>
      </w:pPr>
    </w:p>
    <w:p w14:paraId="5DD27BE1" w14:textId="77777777" w:rsidR="002718F4" w:rsidRPr="00673375" w:rsidRDefault="002718F4" w:rsidP="00673375">
      <w:pPr>
        <w:pStyle w:val="NoSpacing"/>
        <w:jc w:val="both"/>
        <w:rPr>
          <w:rFonts w:ascii="Times New Roman" w:hAnsi="Times New Roman"/>
          <w:sz w:val="24"/>
          <w:szCs w:val="24"/>
        </w:rPr>
      </w:pPr>
      <w:r w:rsidRPr="00673375">
        <w:rPr>
          <w:rFonts w:ascii="Times New Roman" w:hAnsi="Times New Roman"/>
          <w:i/>
          <w:iCs/>
          <w:sz w:val="24"/>
          <w:szCs w:val="24"/>
        </w:rPr>
        <w:t>A. Moyo</w:t>
      </w:r>
      <w:r w:rsidRPr="00673375">
        <w:rPr>
          <w:rFonts w:ascii="Times New Roman" w:hAnsi="Times New Roman"/>
          <w:sz w:val="24"/>
          <w:szCs w:val="24"/>
        </w:rPr>
        <w:t xml:space="preserve"> with </w:t>
      </w:r>
      <w:r w:rsidRPr="00673375">
        <w:rPr>
          <w:rFonts w:ascii="Times New Roman" w:hAnsi="Times New Roman"/>
          <w:i/>
          <w:iCs/>
          <w:sz w:val="24"/>
          <w:szCs w:val="24"/>
        </w:rPr>
        <w:t>G. Sithole</w:t>
      </w:r>
      <w:r w:rsidRPr="00673375">
        <w:rPr>
          <w:rFonts w:ascii="Times New Roman" w:hAnsi="Times New Roman"/>
          <w:sz w:val="24"/>
          <w:szCs w:val="24"/>
        </w:rPr>
        <w:t xml:space="preserve"> -for applicant</w:t>
      </w:r>
    </w:p>
    <w:p w14:paraId="6EE74692" w14:textId="77777777" w:rsidR="002718F4" w:rsidRPr="00673375" w:rsidRDefault="002718F4" w:rsidP="00673375">
      <w:pPr>
        <w:pStyle w:val="NoSpacing"/>
        <w:jc w:val="both"/>
        <w:rPr>
          <w:rFonts w:ascii="Times New Roman" w:hAnsi="Times New Roman"/>
          <w:sz w:val="24"/>
          <w:szCs w:val="24"/>
        </w:rPr>
      </w:pPr>
      <w:r w:rsidRPr="00673375">
        <w:rPr>
          <w:rFonts w:ascii="Times New Roman" w:hAnsi="Times New Roman"/>
          <w:i/>
          <w:iCs/>
          <w:sz w:val="24"/>
          <w:szCs w:val="24"/>
        </w:rPr>
        <w:t>D.Tivadar</w:t>
      </w:r>
      <w:r w:rsidRPr="00673375">
        <w:rPr>
          <w:rFonts w:ascii="Times New Roman" w:hAnsi="Times New Roman"/>
          <w:sz w:val="24"/>
          <w:szCs w:val="24"/>
        </w:rPr>
        <w:t xml:space="preserve"> -for the respondents</w:t>
      </w:r>
    </w:p>
    <w:p w14:paraId="398B3518" w14:textId="77777777" w:rsidR="002718F4" w:rsidRPr="00673375" w:rsidRDefault="002718F4" w:rsidP="00673375">
      <w:pPr>
        <w:jc w:val="both"/>
        <w:rPr>
          <w:rFonts w:ascii="Times New Roman" w:hAnsi="Times New Roman"/>
          <w:sz w:val="24"/>
          <w:szCs w:val="24"/>
        </w:rPr>
      </w:pPr>
    </w:p>
    <w:p w14:paraId="2C809C7B" w14:textId="77777777" w:rsidR="002718F4" w:rsidRPr="00EB7EF6" w:rsidRDefault="002718F4" w:rsidP="00673375">
      <w:pPr>
        <w:spacing w:line="360" w:lineRule="auto"/>
        <w:jc w:val="both"/>
        <w:rPr>
          <w:rFonts w:ascii="Times New Roman" w:hAnsi="Times New Roman"/>
        </w:rPr>
      </w:pPr>
      <w:r w:rsidRPr="00EB7EF6">
        <w:rPr>
          <w:rFonts w:ascii="Times New Roman" w:hAnsi="Times New Roman"/>
        </w:rPr>
        <w:t>CHILIMBE J</w:t>
      </w:r>
    </w:p>
    <w:p w14:paraId="5CFFEE74" w14:textId="060C46D8" w:rsidR="00EB7EF6" w:rsidRDefault="00EB7EF6" w:rsidP="00673375">
      <w:pPr>
        <w:spacing w:line="360" w:lineRule="auto"/>
        <w:jc w:val="both"/>
        <w:rPr>
          <w:rFonts w:ascii="Times New Roman" w:hAnsi="Times New Roman"/>
        </w:rPr>
      </w:pPr>
      <w:r w:rsidRPr="00EB7EF6">
        <w:rPr>
          <w:rFonts w:ascii="Times New Roman" w:hAnsi="Times New Roman"/>
        </w:rPr>
        <w:t>BACKGROUND</w:t>
      </w:r>
    </w:p>
    <w:p w14:paraId="21312F91" w14:textId="166239FF" w:rsidR="00CA07AF" w:rsidRPr="00CA07AF" w:rsidRDefault="00CA07AF" w:rsidP="00CA07AF">
      <w:pPr>
        <w:spacing w:line="360" w:lineRule="auto"/>
        <w:jc w:val="both"/>
        <w:rPr>
          <w:rFonts w:ascii="Times New Roman" w:hAnsi="Times New Roman"/>
        </w:rPr>
      </w:pPr>
      <w:r w:rsidRPr="00CA07AF">
        <w:rPr>
          <w:rFonts w:ascii="Times New Roman" w:hAnsi="Times New Roman"/>
        </w:rPr>
        <w:t xml:space="preserve">[ 1] This application for a declaratur was on course for argument when Mr. </w:t>
      </w:r>
      <w:r w:rsidRPr="00CA07AF">
        <w:rPr>
          <w:rFonts w:ascii="Times New Roman" w:hAnsi="Times New Roman"/>
          <w:i/>
          <w:iCs/>
        </w:rPr>
        <w:t>Tivadar</w:t>
      </w:r>
      <w:r w:rsidRPr="00CA07AF">
        <w:rPr>
          <w:rFonts w:ascii="Times New Roman" w:hAnsi="Times New Roman"/>
        </w:rPr>
        <w:t xml:space="preserve"> for the respondents made application for leave to file an additional affidavit in terms of rule 59 (12) of the High Court Rules 2021.Both counsel agreed that such application be made and opposed from the bar with heads of argument be</w:t>
      </w:r>
      <w:r w:rsidR="00AE2CE3">
        <w:rPr>
          <w:rFonts w:ascii="Times New Roman" w:hAnsi="Times New Roman"/>
        </w:rPr>
        <w:t xml:space="preserve">ing subsequently </w:t>
      </w:r>
      <w:r w:rsidR="00AE2CE3" w:rsidRPr="00CA07AF">
        <w:rPr>
          <w:rFonts w:ascii="Times New Roman" w:hAnsi="Times New Roman"/>
        </w:rPr>
        <w:t>filed</w:t>
      </w:r>
      <w:r w:rsidRPr="00CA07AF">
        <w:rPr>
          <w:rFonts w:ascii="Times New Roman" w:hAnsi="Times New Roman"/>
        </w:rPr>
        <w:t xml:space="preserve"> by both sides to buttress submissions made. I will return to this point shortly, in the interim, the background to the dispute; -</w:t>
      </w:r>
    </w:p>
    <w:p w14:paraId="76FA83C5" w14:textId="3EFA5E96" w:rsidR="00CA07AF" w:rsidRPr="00CA07AF" w:rsidRDefault="00CA07AF" w:rsidP="00CA07AF">
      <w:pPr>
        <w:spacing w:line="360" w:lineRule="auto"/>
        <w:jc w:val="both"/>
        <w:rPr>
          <w:rFonts w:ascii="Times New Roman" w:hAnsi="Times New Roman"/>
        </w:rPr>
      </w:pPr>
      <w:r w:rsidRPr="00CA07AF">
        <w:rPr>
          <w:rFonts w:ascii="Times New Roman" w:hAnsi="Times New Roman"/>
        </w:rPr>
        <w:t>[ 2] The fifth respondent Save Valley Conservancy (“SVC”)</w:t>
      </w:r>
      <w:r w:rsidR="00AE2CE3">
        <w:rPr>
          <w:rFonts w:ascii="Times New Roman" w:hAnsi="Times New Roman"/>
        </w:rPr>
        <w:t>,</w:t>
      </w:r>
      <w:r w:rsidRPr="00CA07AF">
        <w:rPr>
          <w:rFonts w:ascii="Times New Roman" w:hAnsi="Times New Roman"/>
        </w:rPr>
        <w:t xml:space="preserve"> is a universitas comprising of natural and legal persons who own, occupy or operate farms, ranches and communal land in the South Eastern Lowveld area of Zimbabwe. The contiguous tract of land occupied by these properties is known collectively as “the Conservancy” For all intents and purposes, the Conservancy is predominantly a </w:t>
      </w:r>
      <w:r w:rsidRPr="00CA07AF">
        <w:rPr>
          <w:rFonts w:ascii="Times New Roman" w:hAnsi="Times New Roman"/>
        </w:rPr>
        <w:lastRenderedPageBreak/>
        <w:t>game reserve. The SVC`s objects are premised on the promotion of the Conservancy`s   primary interests as a game reserve.</w:t>
      </w:r>
      <w:r w:rsidRPr="00CA07AF">
        <w:rPr>
          <w:rFonts w:ascii="Times New Roman" w:hAnsi="Times New Roman"/>
          <w:vertAlign w:val="superscript"/>
        </w:rPr>
        <w:footnoteReference w:id="1"/>
      </w:r>
      <w:r w:rsidRPr="00CA07AF">
        <w:rPr>
          <w:rFonts w:ascii="Times New Roman" w:hAnsi="Times New Roman"/>
        </w:rPr>
        <w:t xml:space="preserve"> </w:t>
      </w:r>
    </w:p>
    <w:p w14:paraId="039E2251" w14:textId="77777777" w:rsidR="00CA07AF" w:rsidRPr="00CA07AF" w:rsidRDefault="00CA07AF" w:rsidP="00CA07AF">
      <w:pPr>
        <w:spacing w:line="360" w:lineRule="auto"/>
        <w:jc w:val="both"/>
        <w:rPr>
          <w:rFonts w:ascii="Times New Roman" w:hAnsi="Times New Roman"/>
        </w:rPr>
      </w:pPr>
      <w:r w:rsidRPr="00CA07AF">
        <w:rPr>
          <w:rFonts w:ascii="Times New Roman" w:hAnsi="Times New Roman"/>
        </w:rPr>
        <w:t xml:space="preserve">[ 3] Sixth respondent (“SVC Trust”) is a different and separate organisation whose objects are however, intrinsically linked to those of the SVC. The first, second, third and fourth (Duckworth, Pabst, Withal and Stockil) are members of the SVC holding therein, various positions in its structures. </w:t>
      </w:r>
    </w:p>
    <w:p w14:paraId="649739BE" w14:textId="36941BFE" w:rsidR="00CA07AF" w:rsidRPr="00CA07AF" w:rsidRDefault="00CA07AF" w:rsidP="00CA07AF">
      <w:pPr>
        <w:spacing w:line="360" w:lineRule="auto"/>
        <w:jc w:val="both"/>
        <w:rPr>
          <w:rFonts w:ascii="Times New Roman" w:hAnsi="Times New Roman"/>
        </w:rPr>
      </w:pPr>
      <w:r w:rsidRPr="00CA07AF">
        <w:rPr>
          <w:rFonts w:ascii="Times New Roman" w:hAnsi="Times New Roman"/>
        </w:rPr>
        <w:t>[ 4] It is common cause that applicant (“Bouck</w:t>
      </w:r>
      <w:r>
        <w:rPr>
          <w:rFonts w:ascii="Times New Roman" w:hAnsi="Times New Roman"/>
        </w:rPr>
        <w:t>a</w:t>
      </w:r>
      <w:r w:rsidRPr="00CA07AF">
        <w:rPr>
          <w:rFonts w:ascii="Times New Roman" w:hAnsi="Times New Roman"/>
        </w:rPr>
        <w:t>ert</w:t>
      </w:r>
      <w:r w:rsidR="00E438E1" w:rsidRPr="00CA07AF">
        <w:rPr>
          <w:rFonts w:ascii="Times New Roman" w:hAnsi="Times New Roman"/>
        </w:rPr>
        <w:t>”)</w:t>
      </w:r>
      <w:r w:rsidR="00E438E1">
        <w:rPr>
          <w:rFonts w:ascii="Times New Roman" w:hAnsi="Times New Roman"/>
        </w:rPr>
        <w:t xml:space="preserve"> </w:t>
      </w:r>
      <w:r w:rsidR="00E438E1" w:rsidRPr="00CA07AF">
        <w:rPr>
          <w:rFonts w:ascii="Times New Roman" w:hAnsi="Times New Roman"/>
        </w:rPr>
        <w:t>assumed</w:t>
      </w:r>
      <w:r w:rsidRPr="00CA07AF">
        <w:rPr>
          <w:rFonts w:ascii="Times New Roman" w:hAnsi="Times New Roman"/>
        </w:rPr>
        <w:t xml:space="preserve"> between November 2020 and June 2021, the post of (a) chairperson of the SVC, (b) chief executive officer of the SVC (c) trustee of the SVC Trust. On or around 21 June 2021, matters took a turn</w:t>
      </w:r>
      <w:r w:rsidR="006F542F">
        <w:rPr>
          <w:rFonts w:ascii="Times New Roman" w:hAnsi="Times New Roman"/>
        </w:rPr>
        <w:t xml:space="preserve"> as r</w:t>
      </w:r>
      <w:r w:rsidRPr="00CA07AF">
        <w:rPr>
          <w:rFonts w:ascii="Times New Roman" w:hAnsi="Times New Roman"/>
        </w:rPr>
        <w:t>elations</w:t>
      </w:r>
      <w:r w:rsidR="006F542F">
        <w:rPr>
          <w:rFonts w:ascii="Times New Roman" w:hAnsi="Times New Roman"/>
        </w:rPr>
        <w:t xml:space="preserve"> between Bouckaert and the respondents </w:t>
      </w:r>
      <w:r w:rsidR="006F542F" w:rsidRPr="00CA07AF">
        <w:rPr>
          <w:rFonts w:ascii="Times New Roman" w:hAnsi="Times New Roman"/>
        </w:rPr>
        <w:t>soured</w:t>
      </w:r>
      <w:r w:rsidR="006F542F">
        <w:rPr>
          <w:rFonts w:ascii="Times New Roman" w:hAnsi="Times New Roman"/>
        </w:rPr>
        <w:t xml:space="preserve">. This led </w:t>
      </w:r>
      <w:r w:rsidR="006F542F" w:rsidRPr="00CA07AF">
        <w:rPr>
          <w:rFonts w:ascii="Times New Roman" w:hAnsi="Times New Roman"/>
        </w:rPr>
        <w:t>to</w:t>
      </w:r>
      <w:r w:rsidR="006F542F">
        <w:rPr>
          <w:rFonts w:ascii="Times New Roman" w:hAnsi="Times New Roman"/>
        </w:rPr>
        <w:t xml:space="preserve"> Bouckaert`s </w:t>
      </w:r>
      <w:r w:rsidRPr="00CA07AF">
        <w:rPr>
          <w:rFonts w:ascii="Times New Roman" w:hAnsi="Times New Roman"/>
        </w:rPr>
        <w:t>suspen</w:t>
      </w:r>
      <w:r w:rsidR="006F542F">
        <w:rPr>
          <w:rFonts w:ascii="Times New Roman" w:hAnsi="Times New Roman"/>
        </w:rPr>
        <w:t xml:space="preserve">sion as Chairman of SVC </w:t>
      </w:r>
      <w:r w:rsidRPr="00CA07AF">
        <w:rPr>
          <w:rFonts w:ascii="Times New Roman" w:hAnsi="Times New Roman"/>
        </w:rPr>
        <w:t xml:space="preserve">by the </w:t>
      </w:r>
      <w:r w:rsidR="006F542F">
        <w:rPr>
          <w:rFonts w:ascii="Times New Roman" w:hAnsi="Times New Roman"/>
        </w:rPr>
        <w:t>E</w:t>
      </w:r>
      <w:r w:rsidRPr="00CA07AF">
        <w:rPr>
          <w:rFonts w:ascii="Times New Roman" w:hAnsi="Times New Roman"/>
        </w:rPr>
        <w:t xml:space="preserve">xecutive </w:t>
      </w:r>
      <w:r w:rsidR="006F542F">
        <w:rPr>
          <w:rFonts w:ascii="Times New Roman" w:hAnsi="Times New Roman"/>
        </w:rPr>
        <w:t>C</w:t>
      </w:r>
      <w:r w:rsidRPr="00CA07AF">
        <w:rPr>
          <w:rFonts w:ascii="Times New Roman" w:hAnsi="Times New Roman"/>
        </w:rPr>
        <w:t>ommittee of the SVC</w:t>
      </w:r>
      <w:r w:rsidR="006F542F">
        <w:rPr>
          <w:rFonts w:ascii="Times New Roman" w:hAnsi="Times New Roman"/>
        </w:rPr>
        <w:t xml:space="preserve"> between 23 and 25 June 2021.Bouckaert was also </w:t>
      </w:r>
      <w:r w:rsidRPr="00CA07AF">
        <w:rPr>
          <w:rFonts w:ascii="Times New Roman" w:hAnsi="Times New Roman"/>
        </w:rPr>
        <w:t>effectively ejected as a trustee of SVC Trust and removed from office of chief executive of SVC.O</w:t>
      </w:r>
      <w:r w:rsidR="006F542F">
        <w:rPr>
          <w:rFonts w:ascii="Times New Roman" w:hAnsi="Times New Roman"/>
        </w:rPr>
        <w:t>n</w:t>
      </w:r>
      <w:r w:rsidRPr="00CA07AF">
        <w:rPr>
          <w:rFonts w:ascii="Times New Roman" w:hAnsi="Times New Roman"/>
        </w:rPr>
        <w:t xml:space="preserve"> 16 July 2021, </w:t>
      </w:r>
      <w:r w:rsidR="00E438E1" w:rsidRPr="00CA07AF">
        <w:rPr>
          <w:rFonts w:ascii="Times New Roman" w:hAnsi="Times New Roman"/>
        </w:rPr>
        <w:t>B</w:t>
      </w:r>
      <w:r w:rsidR="00E438E1">
        <w:rPr>
          <w:rFonts w:ascii="Times New Roman" w:hAnsi="Times New Roman"/>
        </w:rPr>
        <w:t>ou</w:t>
      </w:r>
      <w:r w:rsidR="00E438E1" w:rsidRPr="00CA07AF">
        <w:rPr>
          <w:rFonts w:ascii="Times New Roman" w:hAnsi="Times New Roman"/>
        </w:rPr>
        <w:t>ck</w:t>
      </w:r>
      <w:r w:rsidR="00E438E1">
        <w:rPr>
          <w:rFonts w:ascii="Times New Roman" w:hAnsi="Times New Roman"/>
        </w:rPr>
        <w:t>a</w:t>
      </w:r>
      <w:r w:rsidR="00E438E1" w:rsidRPr="00CA07AF">
        <w:rPr>
          <w:rFonts w:ascii="Times New Roman" w:hAnsi="Times New Roman"/>
        </w:rPr>
        <w:t>ert</w:t>
      </w:r>
      <w:r w:rsidRPr="00CA07AF">
        <w:rPr>
          <w:rFonts w:ascii="Times New Roman" w:hAnsi="Times New Roman"/>
        </w:rPr>
        <w:t xml:space="preserve"> filed the present application seeking an order annulling the SVC and SVC Trust`s resolutions or actions to remove him from office.</w:t>
      </w:r>
    </w:p>
    <w:p w14:paraId="188F1055" w14:textId="4B82BFCA" w:rsidR="00CA07AF" w:rsidRPr="00CA07AF" w:rsidRDefault="00CA07AF" w:rsidP="00CA07AF">
      <w:pPr>
        <w:spacing w:line="360" w:lineRule="auto"/>
        <w:jc w:val="both"/>
        <w:rPr>
          <w:rFonts w:ascii="Times New Roman" w:hAnsi="Times New Roman"/>
        </w:rPr>
      </w:pPr>
      <w:r w:rsidRPr="00CA07AF">
        <w:rPr>
          <w:rFonts w:ascii="Times New Roman" w:hAnsi="Times New Roman"/>
        </w:rPr>
        <w:t xml:space="preserve">[5] On 29 November </w:t>
      </w:r>
      <w:r w:rsidR="006F542F" w:rsidRPr="00CA07AF">
        <w:rPr>
          <w:rFonts w:ascii="Times New Roman" w:hAnsi="Times New Roman"/>
        </w:rPr>
        <w:t>2021</w:t>
      </w:r>
      <w:r w:rsidR="006F542F">
        <w:rPr>
          <w:rFonts w:ascii="Times New Roman" w:hAnsi="Times New Roman"/>
        </w:rPr>
        <w:t xml:space="preserve">, </w:t>
      </w:r>
      <w:r w:rsidRPr="00CA07AF">
        <w:rPr>
          <w:rFonts w:ascii="Times New Roman" w:hAnsi="Times New Roman"/>
        </w:rPr>
        <w:t xml:space="preserve">after pleadings in this matter had </w:t>
      </w:r>
      <w:r w:rsidR="006F542F" w:rsidRPr="00CA07AF">
        <w:rPr>
          <w:rFonts w:ascii="Times New Roman" w:hAnsi="Times New Roman"/>
        </w:rPr>
        <w:t>closed</w:t>
      </w:r>
      <w:r w:rsidR="006F542F">
        <w:rPr>
          <w:rFonts w:ascii="Times New Roman" w:hAnsi="Times New Roman"/>
        </w:rPr>
        <w:t xml:space="preserve">, the </w:t>
      </w:r>
      <w:r w:rsidRPr="00CA07AF">
        <w:rPr>
          <w:rFonts w:ascii="Times New Roman" w:hAnsi="Times New Roman"/>
        </w:rPr>
        <w:t>SVC held its annual general meeting (AGM) which resolved to confirm the ejectment of Bouck</w:t>
      </w:r>
      <w:r w:rsidR="00E438E1">
        <w:rPr>
          <w:rFonts w:ascii="Times New Roman" w:hAnsi="Times New Roman"/>
        </w:rPr>
        <w:t>a</w:t>
      </w:r>
      <w:r w:rsidRPr="00CA07AF">
        <w:rPr>
          <w:rFonts w:ascii="Times New Roman" w:hAnsi="Times New Roman"/>
        </w:rPr>
        <w:t xml:space="preserve">ert as the SVC`s </w:t>
      </w:r>
      <w:r w:rsidR="006F542F">
        <w:rPr>
          <w:rFonts w:ascii="Times New Roman" w:hAnsi="Times New Roman"/>
        </w:rPr>
        <w:t>C</w:t>
      </w:r>
      <w:r w:rsidRPr="00CA07AF">
        <w:rPr>
          <w:rFonts w:ascii="Times New Roman" w:hAnsi="Times New Roman"/>
        </w:rPr>
        <w:t xml:space="preserve">hairperson and </w:t>
      </w:r>
      <w:r w:rsidR="006F542F">
        <w:rPr>
          <w:rFonts w:ascii="Times New Roman" w:hAnsi="Times New Roman"/>
        </w:rPr>
        <w:t>Chief E</w:t>
      </w:r>
      <w:r w:rsidRPr="00CA07AF">
        <w:rPr>
          <w:rFonts w:ascii="Times New Roman" w:hAnsi="Times New Roman"/>
        </w:rPr>
        <w:t xml:space="preserve">xecutive </w:t>
      </w:r>
      <w:r w:rsidR="006F542F">
        <w:rPr>
          <w:rFonts w:ascii="Times New Roman" w:hAnsi="Times New Roman"/>
        </w:rPr>
        <w:t>O</w:t>
      </w:r>
      <w:r w:rsidRPr="00CA07AF">
        <w:rPr>
          <w:rFonts w:ascii="Times New Roman" w:hAnsi="Times New Roman"/>
        </w:rPr>
        <w:t xml:space="preserve">fficer. It is this </w:t>
      </w:r>
      <w:r w:rsidR="006F542F">
        <w:rPr>
          <w:rFonts w:ascii="Times New Roman" w:hAnsi="Times New Roman"/>
        </w:rPr>
        <w:t xml:space="preserve">resolution taken at this </w:t>
      </w:r>
      <w:r w:rsidRPr="00CA07AF">
        <w:rPr>
          <w:rFonts w:ascii="Times New Roman" w:hAnsi="Times New Roman"/>
        </w:rPr>
        <w:t xml:space="preserve">event </w:t>
      </w:r>
      <w:r w:rsidR="006F542F">
        <w:rPr>
          <w:rFonts w:ascii="Times New Roman" w:hAnsi="Times New Roman"/>
        </w:rPr>
        <w:t xml:space="preserve">that </w:t>
      </w:r>
      <w:r w:rsidRPr="00CA07AF">
        <w:rPr>
          <w:rFonts w:ascii="Times New Roman" w:hAnsi="Times New Roman"/>
        </w:rPr>
        <w:t xml:space="preserve">respondents now </w:t>
      </w:r>
      <w:r w:rsidR="006F542F">
        <w:rPr>
          <w:rFonts w:ascii="Times New Roman" w:hAnsi="Times New Roman"/>
        </w:rPr>
        <w:t xml:space="preserve">seek </w:t>
      </w:r>
      <w:r w:rsidRPr="00CA07AF">
        <w:rPr>
          <w:rFonts w:ascii="Times New Roman" w:hAnsi="Times New Roman"/>
        </w:rPr>
        <w:t>to include in the papers before this court via the additional affidavit.</w:t>
      </w:r>
    </w:p>
    <w:p w14:paraId="43724C58" w14:textId="478E0A2B" w:rsidR="00CA07AF" w:rsidRPr="00CA07AF" w:rsidRDefault="00CA07AF" w:rsidP="00CA07AF">
      <w:pPr>
        <w:spacing w:line="360" w:lineRule="auto"/>
        <w:jc w:val="both"/>
        <w:rPr>
          <w:rFonts w:ascii="Times New Roman" w:hAnsi="Times New Roman"/>
        </w:rPr>
      </w:pPr>
      <w:r w:rsidRPr="00CA07AF">
        <w:rPr>
          <w:rFonts w:ascii="Times New Roman" w:hAnsi="Times New Roman"/>
        </w:rPr>
        <w:t xml:space="preserve">THE </w:t>
      </w:r>
      <w:r w:rsidR="00E438E1">
        <w:rPr>
          <w:rFonts w:ascii="Times New Roman" w:hAnsi="Times New Roman"/>
        </w:rPr>
        <w:t>NATURE OF THE INTERLOCUTORY APPLICATION</w:t>
      </w:r>
    </w:p>
    <w:p w14:paraId="12E7A00B" w14:textId="4D13A4BD" w:rsidR="00CA07AF" w:rsidRDefault="00CA07AF" w:rsidP="00CA07AF">
      <w:pPr>
        <w:spacing w:line="360" w:lineRule="auto"/>
        <w:jc w:val="both"/>
        <w:rPr>
          <w:rFonts w:ascii="Times New Roman" w:hAnsi="Times New Roman"/>
        </w:rPr>
      </w:pPr>
      <w:r w:rsidRPr="00CA07AF">
        <w:rPr>
          <w:rFonts w:ascii="Times New Roman" w:hAnsi="Times New Roman"/>
        </w:rPr>
        <w:t xml:space="preserve">[6] </w:t>
      </w:r>
      <w:r w:rsidR="00E438E1" w:rsidRPr="00E438E1">
        <w:rPr>
          <w:rFonts w:ascii="Times New Roman" w:hAnsi="Times New Roman"/>
        </w:rPr>
        <w:t>In presenting their arguments, counsel assumed disparate positions on the matter to be resolved.</w:t>
      </w:r>
      <w:r w:rsidR="00E438E1" w:rsidRPr="00CA07AF">
        <w:rPr>
          <w:rFonts w:ascii="Times New Roman" w:hAnsi="Times New Roman"/>
        </w:rPr>
        <w:t xml:space="preserve"> Mr</w:t>
      </w:r>
      <w:r w:rsidRPr="00CA07AF">
        <w:rPr>
          <w:rFonts w:ascii="Times New Roman" w:hAnsi="Times New Roman"/>
        </w:rPr>
        <w:t xml:space="preserve">. </w:t>
      </w:r>
      <w:r w:rsidRPr="00CA07AF">
        <w:rPr>
          <w:rFonts w:ascii="Times New Roman" w:hAnsi="Times New Roman"/>
          <w:i/>
          <w:iCs/>
        </w:rPr>
        <w:t>Tivadar</w:t>
      </w:r>
      <w:r w:rsidRPr="00CA07AF">
        <w:rPr>
          <w:rFonts w:ascii="Times New Roman" w:hAnsi="Times New Roman"/>
        </w:rPr>
        <w:t xml:space="preserve"> for the respondents argued that applying the established principles governing admissibility of additional affidavits, the court could easily determine whether to include or exclude the affidavit in question. </w:t>
      </w:r>
      <w:r w:rsidRPr="00CA07AF">
        <w:rPr>
          <w:rFonts w:ascii="Times New Roman" w:hAnsi="Times New Roman"/>
          <w:i/>
          <w:iCs/>
        </w:rPr>
        <w:t>Moyo</w:t>
      </w:r>
      <w:r w:rsidRPr="00CA07AF">
        <w:rPr>
          <w:rFonts w:ascii="Times New Roman" w:hAnsi="Times New Roman"/>
        </w:rPr>
        <w:t xml:space="preserve"> for the applicant argued that the matter went deeper than just the admissibility of an additional affidavit. He argued that this additional affidavit, </w:t>
      </w:r>
      <w:r w:rsidR="00E438E1">
        <w:rPr>
          <w:rFonts w:ascii="Times New Roman" w:hAnsi="Times New Roman"/>
        </w:rPr>
        <w:t xml:space="preserve">issued from a resolution that </w:t>
      </w:r>
      <w:r w:rsidRPr="00CA07AF">
        <w:rPr>
          <w:rFonts w:ascii="Times New Roman" w:hAnsi="Times New Roman"/>
        </w:rPr>
        <w:t xml:space="preserve">sought to </w:t>
      </w:r>
      <w:r w:rsidR="00E438E1">
        <w:rPr>
          <w:rFonts w:ascii="Times New Roman" w:hAnsi="Times New Roman"/>
        </w:rPr>
        <w:t xml:space="preserve">interfere with a matter </w:t>
      </w:r>
      <w:r w:rsidR="00E438E1" w:rsidRPr="00AE2CE3">
        <w:rPr>
          <w:rFonts w:ascii="Times New Roman" w:hAnsi="Times New Roman"/>
          <w:i/>
          <w:iCs/>
        </w:rPr>
        <w:t>litis contestatio</w:t>
      </w:r>
      <w:r w:rsidR="00E438E1">
        <w:rPr>
          <w:rFonts w:ascii="Times New Roman" w:hAnsi="Times New Roman"/>
        </w:rPr>
        <w:t xml:space="preserve"> and in </w:t>
      </w:r>
      <w:r w:rsidRPr="00CA07AF">
        <w:rPr>
          <w:rFonts w:ascii="Times New Roman" w:hAnsi="Times New Roman"/>
        </w:rPr>
        <w:t xml:space="preserve">furtherance of the unlawful </w:t>
      </w:r>
      <w:r w:rsidR="00E438E1" w:rsidRPr="00CA07AF">
        <w:rPr>
          <w:rFonts w:ascii="Times New Roman" w:hAnsi="Times New Roman"/>
        </w:rPr>
        <w:t>acts</w:t>
      </w:r>
      <w:r w:rsidR="00E438E1">
        <w:rPr>
          <w:rFonts w:ascii="Times New Roman" w:hAnsi="Times New Roman"/>
        </w:rPr>
        <w:t xml:space="preserve"> by respondents. </w:t>
      </w:r>
      <w:r w:rsidR="00AE2CE3">
        <w:rPr>
          <w:rFonts w:ascii="Times New Roman" w:hAnsi="Times New Roman"/>
        </w:rPr>
        <w:t>Accordingly,</w:t>
      </w:r>
      <w:r w:rsidR="00E438E1">
        <w:rPr>
          <w:rFonts w:ascii="Times New Roman" w:hAnsi="Times New Roman"/>
        </w:rPr>
        <w:t xml:space="preserve"> the court had to determine the issue </w:t>
      </w:r>
      <w:r w:rsidR="00AE2CE3">
        <w:rPr>
          <w:rFonts w:ascii="Times New Roman" w:hAnsi="Times New Roman"/>
        </w:rPr>
        <w:t xml:space="preserve">of </w:t>
      </w:r>
      <w:r w:rsidR="00AE2CE3" w:rsidRPr="00AE2CE3">
        <w:rPr>
          <w:rFonts w:ascii="Times New Roman" w:hAnsi="Times New Roman"/>
          <w:i/>
          <w:iCs/>
        </w:rPr>
        <w:t>res</w:t>
      </w:r>
      <w:r w:rsidR="00E438E1" w:rsidRPr="00AE2CE3">
        <w:rPr>
          <w:rFonts w:ascii="Times New Roman" w:hAnsi="Times New Roman"/>
          <w:i/>
          <w:iCs/>
        </w:rPr>
        <w:t xml:space="preserve"> litigiosa</w:t>
      </w:r>
      <w:r w:rsidR="00E438E1">
        <w:rPr>
          <w:rFonts w:ascii="Times New Roman" w:hAnsi="Times New Roman"/>
        </w:rPr>
        <w:t>.</w:t>
      </w:r>
      <w:r w:rsidRPr="00CA07AF">
        <w:rPr>
          <w:rFonts w:ascii="Times New Roman" w:hAnsi="Times New Roman"/>
        </w:rPr>
        <w:t xml:space="preserve"> </w:t>
      </w:r>
    </w:p>
    <w:p w14:paraId="49795F84" w14:textId="3AAEFE80" w:rsidR="00E438E1" w:rsidRPr="00E438E1" w:rsidRDefault="00E438E1" w:rsidP="00E438E1">
      <w:pPr>
        <w:spacing w:line="360" w:lineRule="auto"/>
        <w:jc w:val="both"/>
        <w:rPr>
          <w:rFonts w:ascii="Times New Roman" w:hAnsi="Times New Roman"/>
        </w:rPr>
      </w:pPr>
      <w:r>
        <w:rPr>
          <w:rFonts w:ascii="Times New Roman" w:hAnsi="Times New Roman"/>
        </w:rPr>
        <w:t xml:space="preserve">[ 7] </w:t>
      </w:r>
      <w:r w:rsidRPr="00E438E1">
        <w:rPr>
          <w:rFonts w:ascii="Times New Roman" w:hAnsi="Times New Roman"/>
        </w:rPr>
        <w:t xml:space="preserve">I will adopt the course proposed by Mr. </w:t>
      </w:r>
      <w:r w:rsidRPr="00E438E1">
        <w:rPr>
          <w:rFonts w:ascii="Times New Roman" w:hAnsi="Times New Roman"/>
          <w:i/>
          <w:iCs/>
        </w:rPr>
        <w:t>Tivadar</w:t>
      </w:r>
      <w:r w:rsidRPr="00E438E1">
        <w:rPr>
          <w:rFonts w:ascii="Times New Roman" w:hAnsi="Times New Roman"/>
        </w:rPr>
        <w:t xml:space="preserve"> for the simple reasons that it is counsel who moved the court for leave to file an additional affidavit and also for other grounds further articulated later in this judgment. Before reverting to the arguments, a summary of the dispute; -</w:t>
      </w:r>
    </w:p>
    <w:p w14:paraId="376AE0C2" w14:textId="50523846" w:rsidR="00E438E1" w:rsidRPr="00CA07AF" w:rsidRDefault="00E438E1" w:rsidP="00CA07AF">
      <w:pPr>
        <w:spacing w:line="360" w:lineRule="auto"/>
        <w:jc w:val="both"/>
        <w:rPr>
          <w:rFonts w:ascii="Times New Roman" w:hAnsi="Times New Roman"/>
        </w:rPr>
      </w:pPr>
    </w:p>
    <w:p w14:paraId="20068B56" w14:textId="361C24EE" w:rsidR="00CA07AF" w:rsidRDefault="00CA07AF" w:rsidP="00673375">
      <w:pPr>
        <w:spacing w:line="360" w:lineRule="auto"/>
        <w:jc w:val="both"/>
        <w:rPr>
          <w:rFonts w:ascii="Times New Roman" w:hAnsi="Times New Roman"/>
        </w:rPr>
      </w:pPr>
    </w:p>
    <w:p w14:paraId="70C18B43" w14:textId="77777777" w:rsidR="00CA07AF" w:rsidRPr="00EB7EF6" w:rsidRDefault="00CA07AF" w:rsidP="00673375">
      <w:pPr>
        <w:spacing w:line="360" w:lineRule="auto"/>
        <w:jc w:val="both"/>
        <w:rPr>
          <w:rFonts w:ascii="Times New Roman" w:hAnsi="Times New Roman"/>
        </w:rPr>
      </w:pPr>
    </w:p>
    <w:p w14:paraId="19713BD3" w14:textId="63A3425D" w:rsidR="00C5127B" w:rsidRPr="006C02F8" w:rsidRDefault="00C5127B" w:rsidP="00D95222">
      <w:pPr>
        <w:spacing w:line="360" w:lineRule="auto"/>
        <w:jc w:val="both"/>
        <w:rPr>
          <w:rFonts w:ascii="Times New Roman" w:hAnsi="Times New Roman"/>
        </w:rPr>
      </w:pPr>
      <w:r w:rsidRPr="006C02F8">
        <w:rPr>
          <w:rFonts w:ascii="Times New Roman" w:hAnsi="Times New Roman"/>
        </w:rPr>
        <w:t xml:space="preserve">APPLICANT`S PRAYER IN THE MAIN APPLICATION </w:t>
      </w:r>
    </w:p>
    <w:p w14:paraId="4812408A" w14:textId="76507DD7" w:rsidR="000E5F0F" w:rsidRDefault="000E5F0F" w:rsidP="00D95222">
      <w:pPr>
        <w:spacing w:line="360" w:lineRule="auto"/>
        <w:jc w:val="both"/>
        <w:rPr>
          <w:rFonts w:ascii="Times New Roman" w:hAnsi="Times New Roman"/>
          <w:sz w:val="24"/>
          <w:szCs w:val="24"/>
        </w:rPr>
      </w:pPr>
      <w:r>
        <w:rPr>
          <w:rFonts w:ascii="Times New Roman" w:hAnsi="Times New Roman"/>
          <w:sz w:val="24"/>
          <w:szCs w:val="24"/>
        </w:rPr>
        <w:t xml:space="preserve">[ </w:t>
      </w:r>
      <w:r w:rsidR="00AE2CE3">
        <w:rPr>
          <w:rFonts w:ascii="Times New Roman" w:hAnsi="Times New Roman"/>
          <w:sz w:val="24"/>
          <w:szCs w:val="24"/>
        </w:rPr>
        <w:t>8]</w:t>
      </w:r>
      <w:r>
        <w:rPr>
          <w:rFonts w:ascii="Times New Roman" w:hAnsi="Times New Roman"/>
          <w:sz w:val="24"/>
          <w:szCs w:val="24"/>
        </w:rPr>
        <w:t xml:space="preserve"> </w:t>
      </w:r>
      <w:r w:rsidR="00C5127B">
        <w:rPr>
          <w:rFonts w:ascii="Times New Roman" w:hAnsi="Times New Roman"/>
          <w:sz w:val="24"/>
          <w:szCs w:val="24"/>
        </w:rPr>
        <w:t xml:space="preserve">In </w:t>
      </w:r>
      <w:r w:rsidR="006C02F8">
        <w:rPr>
          <w:rFonts w:ascii="Times New Roman" w:hAnsi="Times New Roman"/>
          <w:sz w:val="24"/>
          <w:szCs w:val="24"/>
        </w:rPr>
        <w:t>paraphrase, Bouckaert</w:t>
      </w:r>
      <w:r w:rsidR="002C6271">
        <w:rPr>
          <w:rFonts w:ascii="Times New Roman" w:hAnsi="Times New Roman"/>
          <w:sz w:val="24"/>
          <w:szCs w:val="24"/>
        </w:rPr>
        <w:t xml:space="preserve"> sought the following </w:t>
      </w:r>
      <w:r w:rsidR="00C5127B">
        <w:rPr>
          <w:rFonts w:ascii="Times New Roman" w:hAnsi="Times New Roman"/>
          <w:sz w:val="24"/>
          <w:szCs w:val="24"/>
        </w:rPr>
        <w:t xml:space="preserve">prayer in his </w:t>
      </w:r>
      <w:r w:rsidR="006C02F8">
        <w:rPr>
          <w:rFonts w:ascii="Times New Roman" w:hAnsi="Times New Roman"/>
          <w:sz w:val="24"/>
          <w:szCs w:val="24"/>
        </w:rPr>
        <w:t>8-paragraph</w:t>
      </w:r>
      <w:r w:rsidR="00C5127B">
        <w:rPr>
          <w:rFonts w:ascii="Times New Roman" w:hAnsi="Times New Roman"/>
          <w:sz w:val="24"/>
          <w:szCs w:val="24"/>
        </w:rPr>
        <w:t xml:space="preserve"> draft </w:t>
      </w:r>
      <w:r w:rsidR="006C02F8">
        <w:rPr>
          <w:rFonts w:ascii="Times New Roman" w:hAnsi="Times New Roman"/>
          <w:sz w:val="24"/>
          <w:szCs w:val="24"/>
        </w:rPr>
        <w:t>order;</w:t>
      </w:r>
      <w:r w:rsidR="002C6271">
        <w:rPr>
          <w:rFonts w:ascii="Times New Roman" w:hAnsi="Times New Roman"/>
          <w:sz w:val="24"/>
          <w:szCs w:val="24"/>
        </w:rPr>
        <w:t xml:space="preserve"> -</w:t>
      </w:r>
    </w:p>
    <w:p w14:paraId="36862007" w14:textId="10F617C9" w:rsidR="00B644BE" w:rsidRPr="006F542F" w:rsidRDefault="002C6271" w:rsidP="00B644BE">
      <w:pPr>
        <w:pStyle w:val="ListParagraph"/>
        <w:numPr>
          <w:ilvl w:val="0"/>
          <w:numId w:val="1"/>
        </w:numPr>
        <w:spacing w:line="360" w:lineRule="auto"/>
        <w:ind w:left="1491" w:hanging="357"/>
        <w:jc w:val="both"/>
        <w:rPr>
          <w:rFonts w:ascii="Times New Roman" w:hAnsi="Times New Roman"/>
        </w:rPr>
      </w:pPr>
      <w:r w:rsidRPr="006F542F">
        <w:rPr>
          <w:rFonts w:ascii="Times New Roman" w:hAnsi="Times New Roman"/>
        </w:rPr>
        <w:t>A declaration that the SVC`s Executive Committee lacked the legal capacity to suspend and or dismiss him from his post as Chairman of the SVC.</w:t>
      </w:r>
    </w:p>
    <w:p w14:paraId="319A8D89" w14:textId="624A9EF6" w:rsidR="00B644BE" w:rsidRPr="006C02F8" w:rsidRDefault="002C6271" w:rsidP="00B644BE">
      <w:pPr>
        <w:pStyle w:val="ListParagraph"/>
        <w:numPr>
          <w:ilvl w:val="0"/>
          <w:numId w:val="1"/>
        </w:numPr>
        <w:spacing w:line="360" w:lineRule="auto"/>
        <w:ind w:left="1491" w:hanging="357"/>
        <w:jc w:val="both"/>
        <w:rPr>
          <w:rFonts w:ascii="Times New Roman" w:hAnsi="Times New Roman"/>
        </w:rPr>
      </w:pPr>
      <w:r w:rsidRPr="006C02F8">
        <w:rPr>
          <w:rFonts w:ascii="Times New Roman" w:hAnsi="Times New Roman"/>
        </w:rPr>
        <w:t xml:space="preserve">That the Executive Committee`s meeting of 22 June </w:t>
      </w:r>
      <w:r w:rsidR="00456CA3" w:rsidRPr="006C02F8">
        <w:rPr>
          <w:rFonts w:ascii="Times New Roman" w:hAnsi="Times New Roman"/>
        </w:rPr>
        <w:t>2021, together</w:t>
      </w:r>
      <w:r w:rsidRPr="006C02F8">
        <w:rPr>
          <w:rFonts w:ascii="Times New Roman" w:hAnsi="Times New Roman"/>
        </w:rPr>
        <w:t xml:space="preserve"> with its resultant resolution to authorise his suspension from office was invalid</w:t>
      </w:r>
      <w:r w:rsidR="00456CA3" w:rsidRPr="006C02F8">
        <w:rPr>
          <w:rFonts w:ascii="Times New Roman" w:hAnsi="Times New Roman"/>
        </w:rPr>
        <w:t xml:space="preserve"> and </w:t>
      </w:r>
      <w:r w:rsidR="004E4CD8" w:rsidRPr="006C02F8">
        <w:rPr>
          <w:rFonts w:ascii="Times New Roman" w:hAnsi="Times New Roman"/>
        </w:rPr>
        <w:t xml:space="preserve">therefore be </w:t>
      </w:r>
      <w:r w:rsidR="00456CA3" w:rsidRPr="006C02F8">
        <w:rPr>
          <w:rFonts w:ascii="Times New Roman" w:hAnsi="Times New Roman"/>
        </w:rPr>
        <w:t>set aside.</w:t>
      </w:r>
    </w:p>
    <w:p w14:paraId="7BA168E1" w14:textId="46947740" w:rsidR="00B644BE" w:rsidRPr="006F542F" w:rsidRDefault="00456CA3" w:rsidP="00B644BE">
      <w:pPr>
        <w:pStyle w:val="ListParagraph"/>
        <w:numPr>
          <w:ilvl w:val="0"/>
          <w:numId w:val="1"/>
        </w:numPr>
        <w:spacing w:line="360" w:lineRule="auto"/>
        <w:ind w:left="1491" w:hanging="357"/>
        <w:jc w:val="both"/>
        <w:rPr>
          <w:rFonts w:ascii="Times New Roman" w:hAnsi="Times New Roman"/>
        </w:rPr>
      </w:pPr>
      <w:r w:rsidRPr="006F542F">
        <w:rPr>
          <w:rFonts w:ascii="Times New Roman" w:hAnsi="Times New Roman"/>
        </w:rPr>
        <w:t xml:space="preserve">A declaration that Clause 5.13.1 of the SVC Trust`s Deed of Trust </w:t>
      </w:r>
      <w:r w:rsidR="004E4CD8" w:rsidRPr="006F542F">
        <w:rPr>
          <w:rFonts w:ascii="Times New Roman" w:hAnsi="Times New Roman"/>
        </w:rPr>
        <w:t>(Registration</w:t>
      </w:r>
      <w:r w:rsidRPr="006F542F">
        <w:rPr>
          <w:rFonts w:ascii="Times New Roman" w:hAnsi="Times New Roman"/>
        </w:rPr>
        <w:t xml:space="preserve"> No.MA 780/</w:t>
      </w:r>
      <w:r w:rsidR="004E4CD8" w:rsidRPr="006F542F">
        <w:rPr>
          <w:rFonts w:ascii="Times New Roman" w:hAnsi="Times New Roman"/>
        </w:rPr>
        <w:t>21 which</w:t>
      </w:r>
      <w:r w:rsidRPr="006F542F">
        <w:rPr>
          <w:rFonts w:ascii="Times New Roman" w:hAnsi="Times New Roman"/>
        </w:rPr>
        <w:t xml:space="preserve"> presumed the automatic resignation of a Trustee </w:t>
      </w:r>
      <w:r w:rsidR="004E4CD8" w:rsidRPr="006F542F">
        <w:rPr>
          <w:rFonts w:ascii="Times New Roman" w:hAnsi="Times New Roman"/>
        </w:rPr>
        <w:t>once he or she was “declared insolvent”), was</w:t>
      </w:r>
      <w:r w:rsidRPr="006F542F">
        <w:rPr>
          <w:rFonts w:ascii="Times New Roman" w:hAnsi="Times New Roman"/>
        </w:rPr>
        <w:t xml:space="preserve"> inapplicable in the absence of an Order of this Court so issuing such a declaration of insolvency.</w:t>
      </w:r>
    </w:p>
    <w:p w14:paraId="43631748" w14:textId="17CBEE93" w:rsidR="00456CA3" w:rsidRPr="00CD152D" w:rsidRDefault="00456CA3" w:rsidP="00CD152D">
      <w:pPr>
        <w:pStyle w:val="ListParagraph"/>
        <w:numPr>
          <w:ilvl w:val="0"/>
          <w:numId w:val="1"/>
        </w:numPr>
        <w:spacing w:line="360" w:lineRule="auto"/>
        <w:ind w:left="1491" w:hanging="357"/>
        <w:jc w:val="both"/>
        <w:rPr>
          <w:rFonts w:ascii="Times New Roman" w:hAnsi="Times New Roman"/>
        </w:rPr>
      </w:pPr>
      <w:r w:rsidRPr="00CD152D">
        <w:rPr>
          <w:rFonts w:ascii="Times New Roman" w:hAnsi="Times New Roman"/>
        </w:rPr>
        <w:t>That he be declared the substantive Chief Executive Office</w:t>
      </w:r>
      <w:r w:rsidR="00C5127B" w:rsidRPr="00CD152D">
        <w:rPr>
          <w:rFonts w:ascii="Times New Roman" w:hAnsi="Times New Roman"/>
        </w:rPr>
        <w:t>r of the SVC “until and unless his contract of employment is lawfully terminated in accordance with prescribed due process in terms of the Labour Act [ Chapter 28:01].</w:t>
      </w:r>
    </w:p>
    <w:p w14:paraId="6F26BE71" w14:textId="5A4B3015" w:rsidR="00432DD6" w:rsidRPr="003A0470" w:rsidRDefault="00E438E1" w:rsidP="00673375">
      <w:pPr>
        <w:spacing w:line="360" w:lineRule="auto"/>
        <w:jc w:val="both"/>
        <w:rPr>
          <w:rFonts w:ascii="Times New Roman" w:hAnsi="Times New Roman"/>
        </w:rPr>
      </w:pPr>
      <w:r>
        <w:rPr>
          <w:rFonts w:ascii="Times New Roman" w:hAnsi="Times New Roman"/>
        </w:rPr>
        <w:t xml:space="preserve">THE ADDITIONAL </w:t>
      </w:r>
      <w:r w:rsidR="00B22F05" w:rsidRPr="003A0470">
        <w:rPr>
          <w:rFonts w:ascii="Times New Roman" w:hAnsi="Times New Roman"/>
        </w:rPr>
        <w:t>AFFIDAVIT</w:t>
      </w:r>
    </w:p>
    <w:p w14:paraId="5AB9ED58" w14:textId="15728B27" w:rsidR="00CC0906" w:rsidRDefault="00126A31" w:rsidP="00673375">
      <w:pPr>
        <w:spacing w:line="360" w:lineRule="auto"/>
        <w:jc w:val="both"/>
        <w:rPr>
          <w:rFonts w:ascii="Times New Roman" w:hAnsi="Times New Roman"/>
          <w:sz w:val="24"/>
          <w:szCs w:val="24"/>
        </w:rPr>
      </w:pPr>
      <w:r>
        <w:rPr>
          <w:rFonts w:ascii="Times New Roman" w:hAnsi="Times New Roman"/>
          <w:sz w:val="24"/>
          <w:szCs w:val="24"/>
        </w:rPr>
        <w:t>[</w:t>
      </w:r>
      <w:r w:rsidR="00AE2CE3">
        <w:rPr>
          <w:rFonts w:ascii="Times New Roman" w:hAnsi="Times New Roman"/>
          <w:sz w:val="24"/>
          <w:szCs w:val="24"/>
        </w:rPr>
        <w:t>9</w:t>
      </w:r>
      <w:r>
        <w:rPr>
          <w:rFonts w:ascii="Times New Roman" w:hAnsi="Times New Roman"/>
          <w:sz w:val="24"/>
          <w:szCs w:val="24"/>
        </w:rPr>
        <w:t xml:space="preserve">] </w:t>
      </w:r>
      <w:r w:rsidR="00CC0906">
        <w:rPr>
          <w:rFonts w:ascii="Times New Roman" w:hAnsi="Times New Roman"/>
          <w:sz w:val="24"/>
          <w:szCs w:val="24"/>
        </w:rPr>
        <w:t xml:space="preserve">In his heads of argument in support of the application for leave to file an additional affidavit, Mr. </w:t>
      </w:r>
      <w:r w:rsidR="00CC0906" w:rsidRPr="006C02F8">
        <w:rPr>
          <w:rFonts w:ascii="Times New Roman" w:hAnsi="Times New Roman"/>
          <w:i/>
          <w:iCs/>
          <w:sz w:val="24"/>
          <w:szCs w:val="24"/>
        </w:rPr>
        <w:t>Tivadar</w:t>
      </w:r>
      <w:r w:rsidR="00CC0906">
        <w:rPr>
          <w:rFonts w:ascii="Times New Roman" w:hAnsi="Times New Roman"/>
          <w:sz w:val="24"/>
          <w:szCs w:val="24"/>
        </w:rPr>
        <w:t xml:space="preserve"> raised the following points</w:t>
      </w:r>
      <w:r w:rsidR="00E7332A">
        <w:rPr>
          <w:rFonts w:ascii="Times New Roman" w:hAnsi="Times New Roman"/>
          <w:sz w:val="24"/>
          <w:szCs w:val="24"/>
        </w:rPr>
        <w:t xml:space="preserve"> as (</w:t>
      </w:r>
      <w:r w:rsidR="00CD152D">
        <w:rPr>
          <w:rFonts w:ascii="Times New Roman" w:hAnsi="Times New Roman"/>
          <w:sz w:val="24"/>
          <w:szCs w:val="24"/>
        </w:rPr>
        <w:t>i</w:t>
      </w:r>
      <w:r w:rsidR="00E7332A">
        <w:rPr>
          <w:rFonts w:ascii="Times New Roman" w:hAnsi="Times New Roman"/>
          <w:sz w:val="24"/>
          <w:szCs w:val="24"/>
        </w:rPr>
        <w:t xml:space="preserve">) arising from </w:t>
      </w:r>
      <w:r w:rsidR="00CD152D">
        <w:rPr>
          <w:rFonts w:ascii="Times New Roman" w:hAnsi="Times New Roman"/>
          <w:sz w:val="24"/>
          <w:szCs w:val="24"/>
        </w:rPr>
        <w:t>the above</w:t>
      </w:r>
      <w:r w:rsidR="00E7332A">
        <w:rPr>
          <w:rFonts w:ascii="Times New Roman" w:hAnsi="Times New Roman"/>
          <w:sz w:val="24"/>
          <w:szCs w:val="24"/>
        </w:rPr>
        <w:t xml:space="preserve"> </w:t>
      </w:r>
      <w:r w:rsidR="00CD152D">
        <w:rPr>
          <w:rFonts w:ascii="Times New Roman" w:hAnsi="Times New Roman"/>
          <w:sz w:val="24"/>
          <w:szCs w:val="24"/>
        </w:rPr>
        <w:t>prayer</w:t>
      </w:r>
      <w:r w:rsidR="006C02F8">
        <w:rPr>
          <w:rFonts w:ascii="Times New Roman" w:hAnsi="Times New Roman"/>
          <w:sz w:val="24"/>
          <w:szCs w:val="24"/>
        </w:rPr>
        <w:t>,</w:t>
      </w:r>
      <w:r w:rsidR="00CD152D">
        <w:rPr>
          <w:rFonts w:ascii="Times New Roman" w:hAnsi="Times New Roman"/>
          <w:sz w:val="24"/>
          <w:szCs w:val="24"/>
        </w:rPr>
        <w:t xml:space="preserve"> (ii</w:t>
      </w:r>
      <w:r w:rsidR="00E7332A">
        <w:rPr>
          <w:rFonts w:ascii="Times New Roman" w:hAnsi="Times New Roman"/>
          <w:sz w:val="24"/>
          <w:szCs w:val="24"/>
        </w:rPr>
        <w:t xml:space="preserve">) answering </w:t>
      </w:r>
      <w:r w:rsidR="00CD152D">
        <w:rPr>
          <w:rFonts w:ascii="Times New Roman" w:hAnsi="Times New Roman"/>
          <w:sz w:val="24"/>
          <w:szCs w:val="24"/>
        </w:rPr>
        <w:t xml:space="preserve">Mr. </w:t>
      </w:r>
      <w:r w:rsidR="00CD152D" w:rsidRPr="006C02F8">
        <w:rPr>
          <w:rFonts w:ascii="Times New Roman" w:hAnsi="Times New Roman"/>
          <w:i/>
          <w:iCs/>
          <w:sz w:val="24"/>
          <w:szCs w:val="24"/>
        </w:rPr>
        <w:t>Moyo</w:t>
      </w:r>
      <w:r w:rsidR="00E7332A" w:rsidRPr="006C02F8">
        <w:rPr>
          <w:rFonts w:ascii="Times New Roman" w:hAnsi="Times New Roman"/>
          <w:i/>
          <w:iCs/>
          <w:sz w:val="24"/>
          <w:szCs w:val="24"/>
        </w:rPr>
        <w:t>`</w:t>
      </w:r>
      <w:r w:rsidR="00E7332A">
        <w:rPr>
          <w:rFonts w:ascii="Times New Roman" w:hAnsi="Times New Roman"/>
          <w:sz w:val="24"/>
          <w:szCs w:val="24"/>
        </w:rPr>
        <w:t xml:space="preserve">s legal </w:t>
      </w:r>
      <w:r w:rsidR="00CD152D">
        <w:rPr>
          <w:rFonts w:ascii="Times New Roman" w:hAnsi="Times New Roman"/>
          <w:sz w:val="24"/>
          <w:szCs w:val="24"/>
        </w:rPr>
        <w:t xml:space="preserve">point on </w:t>
      </w:r>
      <w:r w:rsidR="00E7332A" w:rsidRPr="00CD152D">
        <w:rPr>
          <w:rFonts w:ascii="Times New Roman" w:hAnsi="Times New Roman"/>
          <w:i/>
          <w:iCs/>
          <w:sz w:val="24"/>
          <w:szCs w:val="24"/>
        </w:rPr>
        <w:t>res litigiosa</w:t>
      </w:r>
      <w:r w:rsidR="00E7332A">
        <w:rPr>
          <w:rFonts w:ascii="Times New Roman" w:hAnsi="Times New Roman"/>
          <w:sz w:val="24"/>
          <w:szCs w:val="24"/>
        </w:rPr>
        <w:t xml:space="preserve"> and (</w:t>
      </w:r>
      <w:r w:rsidR="00CD152D">
        <w:rPr>
          <w:rFonts w:ascii="Times New Roman" w:hAnsi="Times New Roman"/>
          <w:sz w:val="24"/>
          <w:szCs w:val="24"/>
        </w:rPr>
        <w:t>iii)</w:t>
      </w:r>
      <w:r w:rsidR="00E7332A">
        <w:rPr>
          <w:rFonts w:ascii="Times New Roman" w:hAnsi="Times New Roman"/>
          <w:sz w:val="24"/>
          <w:szCs w:val="24"/>
        </w:rPr>
        <w:t xml:space="preserve"> justifying the inclusion of </w:t>
      </w:r>
      <w:r w:rsidR="00CD152D">
        <w:rPr>
          <w:rFonts w:ascii="Times New Roman" w:hAnsi="Times New Roman"/>
          <w:sz w:val="24"/>
          <w:szCs w:val="24"/>
        </w:rPr>
        <w:t xml:space="preserve">an </w:t>
      </w:r>
      <w:r w:rsidR="00E7332A">
        <w:rPr>
          <w:rFonts w:ascii="Times New Roman" w:hAnsi="Times New Roman"/>
          <w:sz w:val="24"/>
          <w:szCs w:val="24"/>
        </w:rPr>
        <w:t xml:space="preserve">additional </w:t>
      </w:r>
      <w:r w:rsidR="00CD152D">
        <w:rPr>
          <w:rFonts w:ascii="Times New Roman" w:hAnsi="Times New Roman"/>
          <w:sz w:val="24"/>
          <w:szCs w:val="24"/>
        </w:rPr>
        <w:t>affidavit</w:t>
      </w:r>
      <w:r w:rsidR="00CC0906">
        <w:rPr>
          <w:rFonts w:ascii="Times New Roman" w:hAnsi="Times New Roman"/>
          <w:sz w:val="24"/>
          <w:szCs w:val="24"/>
        </w:rPr>
        <w:t>; -</w:t>
      </w:r>
    </w:p>
    <w:p w14:paraId="25638D60" w14:textId="1064EB8C" w:rsidR="00B644BE" w:rsidRPr="006C02F8" w:rsidRDefault="00E7332A" w:rsidP="00B644BE">
      <w:pPr>
        <w:pStyle w:val="ListParagraph"/>
        <w:numPr>
          <w:ilvl w:val="0"/>
          <w:numId w:val="2"/>
        </w:numPr>
        <w:spacing w:line="360" w:lineRule="auto"/>
        <w:jc w:val="both"/>
        <w:rPr>
          <w:rFonts w:ascii="Times New Roman" w:hAnsi="Times New Roman"/>
        </w:rPr>
      </w:pPr>
      <w:r w:rsidRPr="006C02F8">
        <w:rPr>
          <w:rFonts w:ascii="Times New Roman" w:hAnsi="Times New Roman"/>
          <w:sz w:val="24"/>
          <w:szCs w:val="24"/>
        </w:rPr>
        <w:t>“</w:t>
      </w:r>
      <w:r w:rsidRPr="006C02F8">
        <w:rPr>
          <w:rFonts w:ascii="Times New Roman" w:hAnsi="Times New Roman"/>
        </w:rPr>
        <w:t xml:space="preserve">The Respondents have done exactly what Applicant has demanded that they </w:t>
      </w:r>
      <w:r w:rsidR="00CD152D" w:rsidRPr="006C02F8">
        <w:rPr>
          <w:rFonts w:ascii="Times New Roman" w:hAnsi="Times New Roman"/>
        </w:rPr>
        <w:t>do; namely, refer</w:t>
      </w:r>
      <w:r w:rsidRPr="006C02F8">
        <w:rPr>
          <w:rFonts w:ascii="Times New Roman" w:hAnsi="Times New Roman"/>
        </w:rPr>
        <w:t xml:space="preserve"> the matter to the </w:t>
      </w:r>
      <w:r w:rsidR="00CD152D" w:rsidRPr="006C02F8">
        <w:rPr>
          <w:rFonts w:ascii="Times New Roman" w:hAnsi="Times New Roman"/>
        </w:rPr>
        <w:t>members. [</w:t>
      </w:r>
      <w:r w:rsidRPr="006C02F8">
        <w:rPr>
          <w:rFonts w:ascii="Times New Roman" w:hAnsi="Times New Roman"/>
        </w:rPr>
        <w:t>paragraph 36]</w:t>
      </w:r>
    </w:p>
    <w:p w14:paraId="0832AD74" w14:textId="0B7C36BA" w:rsidR="00B644BE" w:rsidRPr="006C02F8" w:rsidRDefault="00E7332A" w:rsidP="00B644BE">
      <w:pPr>
        <w:pStyle w:val="ListParagraph"/>
        <w:numPr>
          <w:ilvl w:val="0"/>
          <w:numId w:val="2"/>
        </w:numPr>
        <w:spacing w:line="360" w:lineRule="auto"/>
        <w:jc w:val="both"/>
        <w:rPr>
          <w:rFonts w:ascii="Times New Roman" w:hAnsi="Times New Roman"/>
        </w:rPr>
      </w:pPr>
      <w:r w:rsidRPr="006C02F8">
        <w:rPr>
          <w:rFonts w:ascii="Times New Roman" w:hAnsi="Times New Roman"/>
        </w:rPr>
        <w:t xml:space="preserve">In the circumstances, Applicant cannot complain that his rights were “undermined”. On the contrary, the rights he demanded were given effect </w:t>
      </w:r>
      <w:r w:rsidR="00837A2C" w:rsidRPr="006C02F8">
        <w:rPr>
          <w:rFonts w:ascii="Times New Roman" w:hAnsi="Times New Roman"/>
        </w:rPr>
        <w:t>to. [</w:t>
      </w:r>
      <w:r w:rsidRPr="006C02F8">
        <w:rPr>
          <w:rFonts w:ascii="Times New Roman" w:hAnsi="Times New Roman"/>
        </w:rPr>
        <w:t>paragraph 37]</w:t>
      </w:r>
    </w:p>
    <w:p w14:paraId="44567E01" w14:textId="7A2DFDE7" w:rsidR="00B644BE" w:rsidRPr="006C02F8" w:rsidRDefault="00837A2C" w:rsidP="00B644BE">
      <w:pPr>
        <w:pStyle w:val="ListParagraph"/>
        <w:numPr>
          <w:ilvl w:val="0"/>
          <w:numId w:val="2"/>
        </w:numPr>
        <w:spacing w:line="360" w:lineRule="auto"/>
        <w:jc w:val="both"/>
        <w:rPr>
          <w:rFonts w:ascii="Times New Roman" w:hAnsi="Times New Roman"/>
        </w:rPr>
      </w:pPr>
      <w:r w:rsidRPr="006C02F8">
        <w:rPr>
          <w:rFonts w:ascii="Times New Roman" w:hAnsi="Times New Roman"/>
        </w:rPr>
        <w:t xml:space="preserve">Applicant is not assisted by the cases it cites. These cases concerned situations where a party did what the other party did not wish it to do-such as disposing of an asset that was being sued for-see quotation from </w:t>
      </w:r>
      <w:r w:rsidRPr="006C02F8">
        <w:rPr>
          <w:rFonts w:ascii="Times New Roman" w:hAnsi="Times New Roman"/>
          <w:i/>
          <w:iCs/>
        </w:rPr>
        <w:t>Chikadaya v Chenga</w:t>
      </w:r>
      <w:r w:rsidRPr="006C02F8">
        <w:rPr>
          <w:rFonts w:ascii="Times New Roman" w:hAnsi="Times New Roman"/>
        </w:rPr>
        <w:t xml:space="preserve"> that applicant relies on. [ paragraph 38]</w:t>
      </w:r>
    </w:p>
    <w:p w14:paraId="10D628BF" w14:textId="47979E18" w:rsidR="00B644BE" w:rsidRPr="006C02F8" w:rsidRDefault="00837A2C" w:rsidP="00B644BE">
      <w:pPr>
        <w:pStyle w:val="ListParagraph"/>
        <w:numPr>
          <w:ilvl w:val="0"/>
          <w:numId w:val="2"/>
        </w:numPr>
        <w:spacing w:line="360" w:lineRule="auto"/>
        <w:jc w:val="both"/>
        <w:rPr>
          <w:rFonts w:ascii="Times New Roman" w:hAnsi="Times New Roman"/>
        </w:rPr>
      </w:pPr>
      <w:r w:rsidRPr="006C02F8">
        <w:rPr>
          <w:rFonts w:ascii="Times New Roman" w:hAnsi="Times New Roman"/>
        </w:rPr>
        <w:t>The present case is the very opposite. The Respondents did exactly what Applicant -and his legal representatives -demanded. [paragraph 39]</w:t>
      </w:r>
    </w:p>
    <w:p w14:paraId="4A4E9C53" w14:textId="3FBDD141" w:rsidR="00B644BE" w:rsidRPr="00AE2CE3" w:rsidRDefault="00876DCF" w:rsidP="00B644BE">
      <w:pPr>
        <w:pStyle w:val="ListParagraph"/>
        <w:numPr>
          <w:ilvl w:val="0"/>
          <w:numId w:val="2"/>
        </w:numPr>
        <w:spacing w:line="360" w:lineRule="auto"/>
        <w:jc w:val="both"/>
        <w:rPr>
          <w:rFonts w:ascii="Times New Roman" w:hAnsi="Times New Roman"/>
        </w:rPr>
      </w:pPr>
      <w:r w:rsidRPr="00AE2CE3">
        <w:rPr>
          <w:rFonts w:ascii="Times New Roman" w:hAnsi="Times New Roman"/>
        </w:rPr>
        <w:lastRenderedPageBreak/>
        <w:t xml:space="preserve">The Applicant was aware that the AGM would be held. The Applicant was entitled to attend the AGM and convince the members that they should continue supporting him. The Applicant clearly did achieve this. Had members sided with him, no doubt, the Applicant would wish to rely on the </w:t>
      </w:r>
      <w:r w:rsidR="00CD152D" w:rsidRPr="00AE2CE3">
        <w:rPr>
          <w:rFonts w:ascii="Times New Roman" w:hAnsi="Times New Roman"/>
        </w:rPr>
        <w:t>resolution. [</w:t>
      </w:r>
      <w:r w:rsidRPr="00AE2CE3">
        <w:rPr>
          <w:rFonts w:ascii="Times New Roman" w:hAnsi="Times New Roman"/>
        </w:rPr>
        <w:t>paragraph 48]</w:t>
      </w:r>
    </w:p>
    <w:p w14:paraId="798724AA" w14:textId="0F62CEDB" w:rsidR="00B644BE" w:rsidRPr="006C02F8" w:rsidRDefault="00876DCF" w:rsidP="00B644BE">
      <w:pPr>
        <w:pStyle w:val="ListParagraph"/>
        <w:numPr>
          <w:ilvl w:val="0"/>
          <w:numId w:val="2"/>
        </w:numPr>
        <w:spacing w:line="360" w:lineRule="auto"/>
        <w:jc w:val="both"/>
        <w:rPr>
          <w:rFonts w:ascii="Times New Roman" w:hAnsi="Times New Roman"/>
        </w:rPr>
      </w:pPr>
      <w:r w:rsidRPr="006C02F8">
        <w:rPr>
          <w:rFonts w:ascii="Times New Roman" w:hAnsi="Times New Roman"/>
        </w:rPr>
        <w:t>As pointed out at the hearing it is Applicant himself who insisted that members in a general meeting should consider whether or not to remove him as Chairman. Applicant simply has no answer to this most fundamental point; [paragraph 31]</w:t>
      </w:r>
    </w:p>
    <w:p w14:paraId="1FAD572E" w14:textId="5EC3C911" w:rsidR="00B644BE" w:rsidRPr="006C02F8" w:rsidRDefault="00876DCF" w:rsidP="00B644BE">
      <w:pPr>
        <w:pStyle w:val="ListParagraph"/>
        <w:numPr>
          <w:ilvl w:val="0"/>
          <w:numId w:val="2"/>
        </w:numPr>
        <w:spacing w:line="360" w:lineRule="auto"/>
        <w:jc w:val="both"/>
        <w:rPr>
          <w:rFonts w:ascii="Times New Roman" w:hAnsi="Times New Roman"/>
        </w:rPr>
      </w:pPr>
      <w:r w:rsidRPr="006C02F8">
        <w:rPr>
          <w:rFonts w:ascii="Times New Roman" w:hAnsi="Times New Roman"/>
        </w:rPr>
        <w:t xml:space="preserve">Applicant`s own Counsel confirmed at the hearing that it is only the actions of the Executive Committee that are being </w:t>
      </w:r>
      <w:r w:rsidR="006C02F8" w:rsidRPr="006C02F8">
        <w:rPr>
          <w:rFonts w:ascii="Times New Roman" w:hAnsi="Times New Roman"/>
        </w:rPr>
        <w:t>challenged. This</w:t>
      </w:r>
      <w:r w:rsidRPr="006C02F8">
        <w:rPr>
          <w:rFonts w:ascii="Times New Roman" w:hAnsi="Times New Roman"/>
        </w:rPr>
        <w:t xml:space="preserve"> is also clear if one has regard to paragraphs 2 to 4 of the Draft Order [ Record pg 93</w:t>
      </w:r>
      <w:r w:rsidR="006C02F8" w:rsidRPr="006C02F8">
        <w:rPr>
          <w:rFonts w:ascii="Times New Roman" w:hAnsi="Times New Roman"/>
        </w:rPr>
        <w:t>], which</w:t>
      </w:r>
      <w:r w:rsidRPr="006C02F8">
        <w:rPr>
          <w:rFonts w:ascii="Times New Roman" w:hAnsi="Times New Roman"/>
        </w:rPr>
        <w:t xml:space="preserve"> are limited to the Executive Committee`s </w:t>
      </w:r>
      <w:r w:rsidR="006C02F8" w:rsidRPr="006C02F8">
        <w:rPr>
          <w:rFonts w:ascii="Times New Roman" w:hAnsi="Times New Roman"/>
        </w:rPr>
        <w:t>actions. [</w:t>
      </w:r>
      <w:r w:rsidRPr="006C02F8">
        <w:rPr>
          <w:rFonts w:ascii="Times New Roman" w:hAnsi="Times New Roman"/>
        </w:rPr>
        <w:t>paragraph 26]</w:t>
      </w:r>
    </w:p>
    <w:p w14:paraId="753F2212" w14:textId="179ED8AD" w:rsidR="00350C03" w:rsidRPr="00D30B0A" w:rsidRDefault="00CD152D" w:rsidP="00350C03">
      <w:pPr>
        <w:pStyle w:val="ListParagraph"/>
        <w:numPr>
          <w:ilvl w:val="0"/>
          <w:numId w:val="2"/>
        </w:numPr>
        <w:spacing w:line="360" w:lineRule="auto"/>
        <w:jc w:val="both"/>
        <w:rPr>
          <w:rFonts w:ascii="Times New Roman" w:hAnsi="Times New Roman"/>
          <w:sz w:val="24"/>
          <w:szCs w:val="24"/>
        </w:rPr>
      </w:pPr>
      <w:r w:rsidRPr="00D30B0A">
        <w:rPr>
          <w:rFonts w:ascii="Times New Roman" w:hAnsi="Times New Roman"/>
        </w:rPr>
        <w:t xml:space="preserve">If the Applicant wishes to argue that the Respondent`s conduct was </w:t>
      </w:r>
      <w:r w:rsidRPr="00D30B0A">
        <w:rPr>
          <w:rFonts w:ascii="Times New Roman" w:hAnsi="Times New Roman"/>
          <w:i/>
          <w:iCs/>
        </w:rPr>
        <w:t>mala fide</w:t>
      </w:r>
      <w:r w:rsidRPr="00D30B0A">
        <w:rPr>
          <w:rFonts w:ascii="Times New Roman" w:hAnsi="Times New Roman"/>
        </w:rPr>
        <w:t xml:space="preserve"> or contemptuous, it is at liberty to do </w:t>
      </w:r>
      <w:r w:rsidR="006C02F8" w:rsidRPr="00D30B0A">
        <w:rPr>
          <w:rFonts w:ascii="Times New Roman" w:hAnsi="Times New Roman"/>
        </w:rPr>
        <w:t>so. However, those</w:t>
      </w:r>
      <w:r w:rsidRPr="00D30B0A">
        <w:rPr>
          <w:rFonts w:ascii="Times New Roman" w:hAnsi="Times New Roman"/>
        </w:rPr>
        <w:t xml:space="preserve"> arguments are relevant to the issue of what weight if any, should be attached to the Further Affidavit; rather than dealing with the issue of whether the document should be admitted onto the record in the first place. [paragraph 17]”</w:t>
      </w:r>
    </w:p>
    <w:p w14:paraId="241F4A76" w14:textId="1D8C42A2" w:rsidR="00CB1379" w:rsidRDefault="00B644BE" w:rsidP="00673375">
      <w:pPr>
        <w:spacing w:line="360" w:lineRule="auto"/>
        <w:jc w:val="both"/>
        <w:rPr>
          <w:rFonts w:ascii="Times New Roman" w:hAnsi="Times New Roman"/>
          <w:sz w:val="24"/>
          <w:szCs w:val="24"/>
        </w:rPr>
      </w:pPr>
      <w:r>
        <w:rPr>
          <w:rFonts w:ascii="Times New Roman" w:hAnsi="Times New Roman"/>
          <w:sz w:val="24"/>
          <w:szCs w:val="24"/>
        </w:rPr>
        <w:t xml:space="preserve">[ </w:t>
      </w:r>
      <w:r w:rsidR="00AE2CE3">
        <w:rPr>
          <w:rFonts w:ascii="Times New Roman" w:hAnsi="Times New Roman"/>
          <w:sz w:val="24"/>
          <w:szCs w:val="24"/>
        </w:rPr>
        <w:t>10</w:t>
      </w:r>
      <w:r w:rsidR="00350C03">
        <w:rPr>
          <w:rFonts w:ascii="Times New Roman" w:hAnsi="Times New Roman"/>
          <w:sz w:val="24"/>
          <w:szCs w:val="24"/>
        </w:rPr>
        <w:t>]</w:t>
      </w:r>
      <w:r>
        <w:rPr>
          <w:rFonts w:ascii="Times New Roman" w:hAnsi="Times New Roman"/>
          <w:sz w:val="24"/>
          <w:szCs w:val="24"/>
        </w:rPr>
        <w:t xml:space="preserve"> The additional affidavit itself is a brief one pager which </w:t>
      </w:r>
      <w:r w:rsidR="00CB1379">
        <w:rPr>
          <w:rFonts w:ascii="Times New Roman" w:hAnsi="Times New Roman"/>
          <w:sz w:val="24"/>
          <w:szCs w:val="24"/>
        </w:rPr>
        <w:t xml:space="preserve">refers to an equally terse resolution of the </w:t>
      </w:r>
      <w:r>
        <w:rPr>
          <w:rFonts w:ascii="Times New Roman" w:hAnsi="Times New Roman"/>
          <w:sz w:val="24"/>
          <w:szCs w:val="24"/>
        </w:rPr>
        <w:t>SVC</w:t>
      </w:r>
      <w:r w:rsidR="00CB1379">
        <w:rPr>
          <w:rFonts w:ascii="Times New Roman" w:hAnsi="Times New Roman"/>
          <w:sz w:val="24"/>
          <w:szCs w:val="24"/>
        </w:rPr>
        <w:t xml:space="preserve">`s annual general meeting of </w:t>
      </w:r>
      <w:r>
        <w:rPr>
          <w:rFonts w:ascii="Times New Roman" w:hAnsi="Times New Roman"/>
          <w:sz w:val="24"/>
          <w:szCs w:val="24"/>
        </w:rPr>
        <w:t xml:space="preserve">29 November 2021 </w:t>
      </w:r>
      <w:r w:rsidR="00CB1379">
        <w:rPr>
          <w:rFonts w:ascii="Times New Roman" w:hAnsi="Times New Roman"/>
          <w:sz w:val="24"/>
          <w:szCs w:val="24"/>
        </w:rPr>
        <w:t>which endorsed the Executive Committee`s decision to dismiss Bouckaert from the position of Chairman</w:t>
      </w:r>
      <w:r w:rsidR="006F542F">
        <w:rPr>
          <w:rFonts w:ascii="Times New Roman" w:hAnsi="Times New Roman"/>
          <w:sz w:val="24"/>
          <w:szCs w:val="24"/>
        </w:rPr>
        <w:t xml:space="preserve"> and Chief Executive Officer</w:t>
      </w:r>
      <w:r w:rsidR="00CB1379">
        <w:rPr>
          <w:rFonts w:ascii="Times New Roman" w:hAnsi="Times New Roman"/>
          <w:sz w:val="24"/>
          <w:szCs w:val="24"/>
        </w:rPr>
        <w:t>.</w:t>
      </w:r>
    </w:p>
    <w:p w14:paraId="1D269543" w14:textId="15D3E0AF" w:rsidR="009A4280" w:rsidRPr="003A0470" w:rsidRDefault="00CB1379" w:rsidP="00673375">
      <w:pPr>
        <w:spacing w:line="360" w:lineRule="auto"/>
        <w:jc w:val="both"/>
        <w:rPr>
          <w:rFonts w:ascii="Times New Roman" w:hAnsi="Times New Roman"/>
        </w:rPr>
      </w:pPr>
      <w:r>
        <w:rPr>
          <w:rFonts w:ascii="Times New Roman" w:hAnsi="Times New Roman"/>
          <w:sz w:val="24"/>
          <w:szCs w:val="24"/>
        </w:rPr>
        <w:t xml:space="preserve"> </w:t>
      </w:r>
      <w:r w:rsidR="00FE0497" w:rsidRPr="003A0470">
        <w:rPr>
          <w:rFonts w:ascii="Times New Roman" w:hAnsi="Times New Roman"/>
        </w:rPr>
        <w:t>REQUIREMETS FOR ADDUCTION OF ADDITIONAL AFFIDAVITS IN TERMS OF RULE 59 (</w:t>
      </w:r>
      <w:r w:rsidR="009A4280" w:rsidRPr="003A0470">
        <w:rPr>
          <w:rFonts w:ascii="Times New Roman" w:hAnsi="Times New Roman"/>
        </w:rPr>
        <w:t xml:space="preserve">12) </w:t>
      </w:r>
    </w:p>
    <w:p w14:paraId="1FD9B7CE" w14:textId="34210B0F" w:rsidR="00837A2C" w:rsidRDefault="009A4280" w:rsidP="00673375">
      <w:pPr>
        <w:spacing w:line="360" w:lineRule="auto"/>
        <w:jc w:val="both"/>
        <w:rPr>
          <w:rFonts w:ascii="Times New Roman" w:hAnsi="Times New Roman"/>
          <w:sz w:val="24"/>
          <w:szCs w:val="24"/>
        </w:rPr>
      </w:pPr>
      <w:r>
        <w:rPr>
          <w:rFonts w:ascii="Times New Roman" w:hAnsi="Times New Roman"/>
          <w:sz w:val="24"/>
          <w:szCs w:val="24"/>
        </w:rPr>
        <w:t xml:space="preserve">[ </w:t>
      </w:r>
      <w:r w:rsidR="00AE2CE3">
        <w:rPr>
          <w:rFonts w:ascii="Times New Roman" w:hAnsi="Times New Roman"/>
          <w:sz w:val="24"/>
          <w:szCs w:val="24"/>
        </w:rPr>
        <w:t>11</w:t>
      </w:r>
      <w:r>
        <w:rPr>
          <w:rFonts w:ascii="Times New Roman" w:hAnsi="Times New Roman"/>
          <w:sz w:val="24"/>
          <w:szCs w:val="24"/>
        </w:rPr>
        <w:t xml:space="preserve">] </w:t>
      </w:r>
      <w:r w:rsidR="00FE0497">
        <w:rPr>
          <w:rFonts w:ascii="Times New Roman" w:hAnsi="Times New Roman"/>
          <w:sz w:val="24"/>
          <w:szCs w:val="24"/>
        </w:rPr>
        <w:t xml:space="preserve">It is settled law that where parties elect to litigate via motion proceedings </w:t>
      </w:r>
      <w:r w:rsidR="00874B99">
        <w:rPr>
          <w:rFonts w:ascii="Times New Roman" w:hAnsi="Times New Roman"/>
          <w:sz w:val="24"/>
          <w:szCs w:val="24"/>
        </w:rPr>
        <w:t xml:space="preserve">,the courts will </w:t>
      </w:r>
      <w:r w:rsidR="00FE0497">
        <w:rPr>
          <w:rFonts w:ascii="Times New Roman" w:hAnsi="Times New Roman"/>
          <w:sz w:val="24"/>
          <w:szCs w:val="24"/>
        </w:rPr>
        <w:t xml:space="preserve">(i)  insist on </w:t>
      </w:r>
      <w:r w:rsidR="00874B99">
        <w:rPr>
          <w:rFonts w:ascii="Times New Roman" w:hAnsi="Times New Roman"/>
          <w:sz w:val="24"/>
          <w:szCs w:val="24"/>
        </w:rPr>
        <w:t xml:space="preserve">such </w:t>
      </w:r>
      <w:r w:rsidR="00FE0497">
        <w:rPr>
          <w:rFonts w:ascii="Times New Roman" w:hAnsi="Times New Roman"/>
          <w:sz w:val="24"/>
          <w:szCs w:val="24"/>
        </w:rPr>
        <w:t xml:space="preserve">parties adhering to the sequence prescribed in the </w:t>
      </w:r>
      <w:r w:rsidR="00D30B0A">
        <w:rPr>
          <w:rFonts w:ascii="Times New Roman" w:hAnsi="Times New Roman"/>
          <w:sz w:val="24"/>
          <w:szCs w:val="24"/>
        </w:rPr>
        <w:t>rules</w:t>
      </w:r>
      <w:r w:rsidR="00D30B0A">
        <w:rPr>
          <w:rStyle w:val="FootnoteReference"/>
          <w:rFonts w:ascii="Times New Roman" w:hAnsi="Times New Roman"/>
          <w:sz w:val="24"/>
          <w:szCs w:val="24"/>
        </w:rPr>
        <w:footnoteReference w:id="2"/>
      </w:r>
      <w:r w:rsidR="00D30B0A">
        <w:rPr>
          <w:rFonts w:ascii="Times New Roman" w:hAnsi="Times New Roman"/>
          <w:sz w:val="24"/>
          <w:szCs w:val="24"/>
        </w:rPr>
        <w:t>, (</w:t>
      </w:r>
      <w:r w:rsidR="00FE0497">
        <w:rPr>
          <w:rFonts w:ascii="Times New Roman" w:hAnsi="Times New Roman"/>
          <w:sz w:val="24"/>
          <w:szCs w:val="24"/>
        </w:rPr>
        <w:t xml:space="preserve">ii) </w:t>
      </w:r>
      <w:r w:rsidR="00874B99">
        <w:rPr>
          <w:rFonts w:ascii="Times New Roman" w:hAnsi="Times New Roman"/>
          <w:sz w:val="24"/>
          <w:szCs w:val="24"/>
        </w:rPr>
        <w:t xml:space="preserve">permit a </w:t>
      </w:r>
      <w:r w:rsidR="00FE0497">
        <w:rPr>
          <w:rFonts w:ascii="Times New Roman" w:hAnsi="Times New Roman"/>
          <w:sz w:val="24"/>
          <w:szCs w:val="24"/>
        </w:rPr>
        <w:t>depart</w:t>
      </w:r>
      <w:r w:rsidR="00874B99">
        <w:rPr>
          <w:rFonts w:ascii="Times New Roman" w:hAnsi="Times New Roman"/>
          <w:sz w:val="24"/>
          <w:szCs w:val="24"/>
        </w:rPr>
        <w:t xml:space="preserve">ure </w:t>
      </w:r>
      <w:r w:rsidR="00FE0497">
        <w:rPr>
          <w:rFonts w:ascii="Times New Roman" w:hAnsi="Times New Roman"/>
          <w:sz w:val="24"/>
          <w:szCs w:val="24"/>
        </w:rPr>
        <w:t xml:space="preserve"> from </w:t>
      </w:r>
      <w:r w:rsidR="00874B99">
        <w:rPr>
          <w:rFonts w:ascii="Times New Roman" w:hAnsi="Times New Roman"/>
          <w:sz w:val="24"/>
          <w:szCs w:val="24"/>
        </w:rPr>
        <w:t xml:space="preserve">that </w:t>
      </w:r>
      <w:r w:rsidR="00FE0497">
        <w:rPr>
          <w:rFonts w:ascii="Times New Roman" w:hAnsi="Times New Roman"/>
          <w:sz w:val="24"/>
          <w:szCs w:val="24"/>
        </w:rPr>
        <w:t xml:space="preserve">order only in exceptional circumstances and (iii) </w:t>
      </w:r>
      <w:r w:rsidR="00874B99">
        <w:rPr>
          <w:rFonts w:ascii="Times New Roman" w:hAnsi="Times New Roman"/>
          <w:sz w:val="24"/>
          <w:szCs w:val="24"/>
        </w:rPr>
        <w:t xml:space="preserve">reiterate that the </w:t>
      </w:r>
      <w:r w:rsidR="00D30B0A">
        <w:rPr>
          <w:rFonts w:ascii="Times New Roman" w:hAnsi="Times New Roman"/>
          <w:sz w:val="24"/>
          <w:szCs w:val="24"/>
        </w:rPr>
        <w:t>granting</w:t>
      </w:r>
      <w:r w:rsidR="00FE0497">
        <w:rPr>
          <w:rFonts w:ascii="Times New Roman" w:hAnsi="Times New Roman"/>
          <w:sz w:val="24"/>
          <w:szCs w:val="24"/>
        </w:rPr>
        <w:t xml:space="preserve"> of </w:t>
      </w:r>
      <w:r w:rsidR="00874B99">
        <w:rPr>
          <w:rFonts w:ascii="Times New Roman" w:hAnsi="Times New Roman"/>
          <w:sz w:val="24"/>
          <w:szCs w:val="24"/>
        </w:rPr>
        <w:t xml:space="preserve">any </w:t>
      </w:r>
      <w:r w:rsidR="00FE0497">
        <w:rPr>
          <w:rFonts w:ascii="Times New Roman" w:hAnsi="Times New Roman"/>
          <w:sz w:val="24"/>
          <w:szCs w:val="24"/>
        </w:rPr>
        <w:t xml:space="preserve">leave to file additional affidavits is </w:t>
      </w:r>
      <w:r w:rsidR="00D30B0A">
        <w:rPr>
          <w:rFonts w:ascii="Times New Roman" w:hAnsi="Times New Roman"/>
          <w:sz w:val="24"/>
          <w:szCs w:val="24"/>
        </w:rPr>
        <w:t>discretionary.</w:t>
      </w:r>
      <w:r w:rsidR="00874B99">
        <w:rPr>
          <w:rFonts w:ascii="Times New Roman" w:hAnsi="Times New Roman"/>
          <w:sz w:val="24"/>
          <w:szCs w:val="24"/>
        </w:rPr>
        <w:t xml:space="preserve">Further,the courts will require of a party so seeking leave ( </w:t>
      </w:r>
      <w:r w:rsidR="003A0470">
        <w:rPr>
          <w:rFonts w:ascii="Times New Roman" w:hAnsi="Times New Roman"/>
          <w:sz w:val="24"/>
          <w:szCs w:val="24"/>
        </w:rPr>
        <w:t>i</w:t>
      </w:r>
      <w:r w:rsidR="00FE0497">
        <w:rPr>
          <w:rFonts w:ascii="Times New Roman" w:hAnsi="Times New Roman"/>
          <w:sz w:val="24"/>
          <w:szCs w:val="24"/>
        </w:rPr>
        <w:t xml:space="preserve">v) </w:t>
      </w:r>
      <w:r w:rsidR="003A0470">
        <w:rPr>
          <w:rFonts w:ascii="Times New Roman" w:hAnsi="Times New Roman"/>
          <w:sz w:val="24"/>
          <w:szCs w:val="24"/>
        </w:rPr>
        <w:t xml:space="preserve">to </w:t>
      </w:r>
      <w:r w:rsidR="00D30B0A">
        <w:rPr>
          <w:rFonts w:ascii="Times New Roman" w:hAnsi="Times New Roman"/>
          <w:sz w:val="24"/>
          <w:szCs w:val="24"/>
        </w:rPr>
        <w:t xml:space="preserve">prove that it is not motivated by </w:t>
      </w:r>
      <w:r w:rsidR="00D30B0A" w:rsidRPr="003A0470">
        <w:rPr>
          <w:rFonts w:ascii="Times New Roman" w:hAnsi="Times New Roman"/>
          <w:i/>
          <w:iCs/>
          <w:sz w:val="24"/>
          <w:szCs w:val="24"/>
        </w:rPr>
        <w:t>mala fides</w:t>
      </w:r>
      <w:r w:rsidR="00D30B0A">
        <w:rPr>
          <w:rFonts w:ascii="Times New Roman" w:hAnsi="Times New Roman"/>
          <w:sz w:val="24"/>
          <w:szCs w:val="24"/>
        </w:rPr>
        <w:t xml:space="preserve"> in seeking to introduce the additional evidence </w:t>
      </w:r>
      <w:r w:rsidR="003A0470">
        <w:rPr>
          <w:rFonts w:ascii="Times New Roman" w:hAnsi="Times New Roman"/>
          <w:sz w:val="24"/>
          <w:szCs w:val="24"/>
        </w:rPr>
        <w:t xml:space="preserve">and </w:t>
      </w:r>
      <w:r w:rsidR="006C02F8">
        <w:rPr>
          <w:rFonts w:ascii="Times New Roman" w:hAnsi="Times New Roman"/>
          <w:sz w:val="24"/>
          <w:szCs w:val="24"/>
        </w:rPr>
        <w:t>(v</w:t>
      </w:r>
      <w:r w:rsidR="00D30B0A">
        <w:rPr>
          <w:rFonts w:ascii="Times New Roman" w:hAnsi="Times New Roman"/>
          <w:sz w:val="24"/>
          <w:szCs w:val="24"/>
        </w:rPr>
        <w:t xml:space="preserve">) </w:t>
      </w:r>
      <w:r w:rsidR="003A0470">
        <w:rPr>
          <w:rFonts w:ascii="Times New Roman" w:hAnsi="Times New Roman"/>
          <w:sz w:val="24"/>
          <w:szCs w:val="24"/>
        </w:rPr>
        <w:t xml:space="preserve">to </w:t>
      </w:r>
      <w:r w:rsidR="00D30B0A">
        <w:rPr>
          <w:rFonts w:ascii="Times New Roman" w:hAnsi="Times New Roman"/>
          <w:sz w:val="24"/>
          <w:szCs w:val="24"/>
        </w:rPr>
        <w:t>tender valid reason</w:t>
      </w:r>
      <w:r w:rsidR="003A0470">
        <w:rPr>
          <w:rFonts w:ascii="Times New Roman" w:hAnsi="Times New Roman"/>
          <w:sz w:val="24"/>
          <w:szCs w:val="24"/>
        </w:rPr>
        <w:t xml:space="preserve">s </w:t>
      </w:r>
      <w:r w:rsidR="00D30B0A">
        <w:rPr>
          <w:rFonts w:ascii="Times New Roman" w:hAnsi="Times New Roman"/>
          <w:sz w:val="24"/>
          <w:szCs w:val="24"/>
        </w:rPr>
        <w:t xml:space="preserve"> for not having availed the evidence </w:t>
      </w:r>
      <w:r w:rsidR="006C02F8">
        <w:rPr>
          <w:rFonts w:ascii="Times New Roman" w:hAnsi="Times New Roman"/>
          <w:sz w:val="24"/>
          <w:szCs w:val="24"/>
        </w:rPr>
        <w:lastRenderedPageBreak/>
        <w:t>earlier</w:t>
      </w:r>
      <w:r w:rsidR="003A0470">
        <w:rPr>
          <w:rFonts w:ascii="Times New Roman" w:hAnsi="Times New Roman"/>
          <w:sz w:val="24"/>
          <w:szCs w:val="24"/>
        </w:rPr>
        <w:t xml:space="preserve">.Finally,the court must be satisfied that (vi) adduction of additional affidavits </w:t>
      </w:r>
      <w:r w:rsidR="00D30B0A">
        <w:rPr>
          <w:rFonts w:ascii="Times New Roman" w:hAnsi="Times New Roman"/>
          <w:sz w:val="24"/>
          <w:szCs w:val="24"/>
        </w:rPr>
        <w:t xml:space="preserve"> will not prejudice the other party and </w:t>
      </w:r>
      <w:r w:rsidR="003A0470">
        <w:rPr>
          <w:rFonts w:ascii="Times New Roman" w:hAnsi="Times New Roman"/>
          <w:sz w:val="24"/>
          <w:szCs w:val="24"/>
        </w:rPr>
        <w:t xml:space="preserve">that </w:t>
      </w:r>
      <w:r w:rsidR="00D30B0A">
        <w:rPr>
          <w:rFonts w:ascii="Times New Roman" w:hAnsi="Times New Roman"/>
          <w:sz w:val="24"/>
          <w:szCs w:val="24"/>
        </w:rPr>
        <w:t xml:space="preserve">(vii) the new evidence </w:t>
      </w:r>
      <w:r w:rsidR="003A0470">
        <w:rPr>
          <w:rFonts w:ascii="Times New Roman" w:hAnsi="Times New Roman"/>
          <w:sz w:val="24"/>
          <w:szCs w:val="24"/>
        </w:rPr>
        <w:t xml:space="preserve">sought to be introduced </w:t>
      </w:r>
      <w:r w:rsidR="00D30B0A">
        <w:rPr>
          <w:rFonts w:ascii="Times New Roman" w:hAnsi="Times New Roman"/>
          <w:sz w:val="24"/>
          <w:szCs w:val="24"/>
        </w:rPr>
        <w:t xml:space="preserve">will </w:t>
      </w:r>
      <w:r w:rsidR="006C02F8">
        <w:rPr>
          <w:rFonts w:ascii="Times New Roman" w:hAnsi="Times New Roman"/>
          <w:sz w:val="24"/>
          <w:szCs w:val="24"/>
        </w:rPr>
        <w:t>not materially</w:t>
      </w:r>
      <w:r w:rsidR="00D30B0A">
        <w:rPr>
          <w:rFonts w:ascii="Times New Roman" w:hAnsi="Times New Roman"/>
          <w:sz w:val="24"/>
          <w:szCs w:val="24"/>
        </w:rPr>
        <w:t xml:space="preserve"> alter the causa</w:t>
      </w:r>
      <w:r w:rsidR="003A0470">
        <w:rPr>
          <w:rFonts w:ascii="Times New Roman" w:hAnsi="Times New Roman"/>
          <w:sz w:val="24"/>
          <w:szCs w:val="24"/>
        </w:rPr>
        <w:t xml:space="preserve"> or controversy between the parties</w:t>
      </w:r>
      <w:r w:rsidR="00D30B0A">
        <w:rPr>
          <w:rFonts w:ascii="Times New Roman" w:hAnsi="Times New Roman"/>
          <w:sz w:val="24"/>
          <w:szCs w:val="24"/>
        </w:rPr>
        <w:t>.</w:t>
      </w:r>
      <w:r w:rsidR="00FE0497">
        <w:rPr>
          <w:rFonts w:ascii="Times New Roman" w:hAnsi="Times New Roman"/>
          <w:sz w:val="24"/>
          <w:szCs w:val="24"/>
        </w:rPr>
        <w:t xml:space="preserve"> </w:t>
      </w:r>
    </w:p>
    <w:p w14:paraId="3D0B550A" w14:textId="34F32536" w:rsidR="00837A2C" w:rsidRDefault="009A4280" w:rsidP="00673375">
      <w:pPr>
        <w:spacing w:line="360" w:lineRule="auto"/>
        <w:jc w:val="both"/>
        <w:rPr>
          <w:rFonts w:ascii="Times New Roman" w:hAnsi="Times New Roman"/>
          <w:sz w:val="24"/>
          <w:szCs w:val="24"/>
        </w:rPr>
      </w:pPr>
      <w:r>
        <w:rPr>
          <w:rFonts w:ascii="Times New Roman" w:hAnsi="Times New Roman"/>
          <w:sz w:val="24"/>
          <w:szCs w:val="24"/>
        </w:rPr>
        <w:t xml:space="preserve">[ </w:t>
      </w:r>
      <w:r w:rsidR="003A0470">
        <w:rPr>
          <w:rFonts w:ascii="Times New Roman" w:hAnsi="Times New Roman"/>
          <w:sz w:val="24"/>
          <w:szCs w:val="24"/>
        </w:rPr>
        <w:t>1</w:t>
      </w:r>
      <w:r w:rsidR="00AE2CE3">
        <w:rPr>
          <w:rFonts w:ascii="Times New Roman" w:hAnsi="Times New Roman"/>
          <w:sz w:val="24"/>
          <w:szCs w:val="24"/>
        </w:rPr>
        <w:t>3</w:t>
      </w:r>
      <w:r w:rsidR="003A0470">
        <w:rPr>
          <w:rFonts w:ascii="Times New Roman" w:hAnsi="Times New Roman"/>
          <w:sz w:val="24"/>
          <w:szCs w:val="24"/>
        </w:rPr>
        <w:t>]</w:t>
      </w:r>
      <w:r>
        <w:rPr>
          <w:rFonts w:ascii="Times New Roman" w:hAnsi="Times New Roman"/>
          <w:sz w:val="24"/>
          <w:szCs w:val="24"/>
        </w:rPr>
        <w:t xml:space="preserve"> The above position </w:t>
      </w:r>
      <w:r w:rsidR="002A797F">
        <w:rPr>
          <w:rFonts w:ascii="Times New Roman" w:hAnsi="Times New Roman"/>
          <w:sz w:val="24"/>
          <w:szCs w:val="24"/>
        </w:rPr>
        <w:t>has been laid out in a number of decisions</w:t>
      </w:r>
      <w:r w:rsidR="002A797F">
        <w:rPr>
          <w:rStyle w:val="FootnoteReference"/>
          <w:rFonts w:ascii="Times New Roman" w:hAnsi="Times New Roman"/>
          <w:sz w:val="24"/>
          <w:szCs w:val="24"/>
        </w:rPr>
        <w:footnoteReference w:id="3"/>
      </w:r>
      <w:r w:rsidR="002A797F">
        <w:rPr>
          <w:rFonts w:ascii="Times New Roman" w:hAnsi="Times New Roman"/>
          <w:sz w:val="24"/>
          <w:szCs w:val="24"/>
        </w:rPr>
        <w:t xml:space="preserve"> including </w:t>
      </w:r>
      <w:r w:rsidR="00874B99" w:rsidRPr="003A0470">
        <w:rPr>
          <w:rFonts w:ascii="Times New Roman" w:hAnsi="Times New Roman"/>
          <w:i/>
          <w:iCs/>
          <w:sz w:val="24"/>
          <w:szCs w:val="24"/>
        </w:rPr>
        <w:t>Associated Newspapers Zimbabwe v Media &amp; Information</w:t>
      </w:r>
      <w:r w:rsidR="00874B99">
        <w:rPr>
          <w:rFonts w:ascii="Times New Roman" w:hAnsi="Times New Roman"/>
          <w:sz w:val="24"/>
          <w:szCs w:val="24"/>
        </w:rPr>
        <w:t xml:space="preserve"> 2006 (</w:t>
      </w:r>
      <w:r w:rsidR="003A0470">
        <w:rPr>
          <w:rFonts w:ascii="Times New Roman" w:hAnsi="Times New Roman"/>
          <w:sz w:val="24"/>
          <w:szCs w:val="24"/>
        </w:rPr>
        <w:t>1)</w:t>
      </w:r>
      <w:r w:rsidR="00874B99">
        <w:rPr>
          <w:rFonts w:ascii="Times New Roman" w:hAnsi="Times New Roman"/>
          <w:sz w:val="24"/>
          <w:szCs w:val="24"/>
        </w:rPr>
        <w:t xml:space="preserve"> 128 (H) at 131 E-</w:t>
      </w:r>
      <w:r w:rsidR="003A0470">
        <w:rPr>
          <w:rFonts w:ascii="Times New Roman" w:hAnsi="Times New Roman"/>
          <w:sz w:val="24"/>
          <w:szCs w:val="24"/>
        </w:rPr>
        <w:t>D, where</w:t>
      </w:r>
      <w:r w:rsidR="00874B99">
        <w:rPr>
          <w:rFonts w:ascii="Times New Roman" w:hAnsi="Times New Roman"/>
          <w:sz w:val="24"/>
          <w:szCs w:val="24"/>
        </w:rPr>
        <w:t xml:space="preserve"> MAKARAU J </w:t>
      </w:r>
      <w:r w:rsidR="003A0470">
        <w:rPr>
          <w:rFonts w:ascii="Times New Roman" w:hAnsi="Times New Roman"/>
          <w:sz w:val="24"/>
          <w:szCs w:val="24"/>
        </w:rPr>
        <w:t>(as</w:t>
      </w:r>
      <w:r w:rsidR="00874B99">
        <w:rPr>
          <w:rFonts w:ascii="Times New Roman" w:hAnsi="Times New Roman"/>
          <w:sz w:val="24"/>
          <w:szCs w:val="24"/>
        </w:rPr>
        <w:t xml:space="preserve"> she then </w:t>
      </w:r>
      <w:r w:rsidR="003A0470">
        <w:rPr>
          <w:rFonts w:ascii="Times New Roman" w:hAnsi="Times New Roman"/>
          <w:sz w:val="24"/>
          <w:szCs w:val="24"/>
        </w:rPr>
        <w:t>was)</w:t>
      </w:r>
      <w:r w:rsidR="00874B99">
        <w:rPr>
          <w:rFonts w:ascii="Times New Roman" w:hAnsi="Times New Roman"/>
          <w:sz w:val="24"/>
          <w:szCs w:val="24"/>
        </w:rPr>
        <w:t xml:space="preserve"> </w:t>
      </w:r>
      <w:r w:rsidR="003A0470">
        <w:rPr>
          <w:rFonts w:ascii="Times New Roman" w:hAnsi="Times New Roman"/>
          <w:sz w:val="24"/>
          <w:szCs w:val="24"/>
        </w:rPr>
        <w:t>held; -</w:t>
      </w:r>
    </w:p>
    <w:p w14:paraId="260C45A3" w14:textId="236EC480" w:rsidR="00E7332A" w:rsidRDefault="00874B99" w:rsidP="00A41A57">
      <w:pPr>
        <w:autoSpaceDE w:val="0"/>
        <w:autoSpaceDN w:val="0"/>
        <w:adjustRightInd w:val="0"/>
        <w:spacing w:after="0" w:line="360" w:lineRule="auto"/>
        <w:ind w:left="1134"/>
        <w:jc w:val="both"/>
        <w:rPr>
          <w:rFonts w:ascii="Times New Roman" w:hAnsi="Times New Roman"/>
          <w:lang w:eastAsia="en-ZW"/>
        </w:rPr>
      </w:pPr>
      <w:r>
        <w:rPr>
          <w:rFonts w:ascii="Times New Roman" w:hAnsi="Times New Roman"/>
          <w:lang w:eastAsia="en-ZW"/>
        </w:rPr>
        <w:t>“</w:t>
      </w:r>
      <w:r w:rsidRPr="00874B99">
        <w:rPr>
          <w:rFonts w:ascii="Times New Roman" w:hAnsi="Times New Roman"/>
          <w:lang w:eastAsia="en-ZW"/>
        </w:rPr>
        <w:t>Leave to file additional affidavits cannot be had for the asking. The court will insist on the observance of its rules regarding the sequencing of affidavits to be filed in an application, for uniformity of practice and certainty in the system, unless in the view of the court, justice will miscarry. In particular, the court will not readily grant leave to file an additional affidavit to deal with facts that were available to the parties at the time the permitted affidavits were drawn up and deposed to. Again, the court will not readily grant leave to file additional affidavits that seek to bring in a new cause of action or defence where the facts giving rise to such were available to the parties at the time of the filing of the traditionally recognized affidavits.</w:t>
      </w:r>
      <w:r>
        <w:rPr>
          <w:rFonts w:ascii="Times New Roman" w:hAnsi="Times New Roman"/>
          <w:lang w:eastAsia="en-ZW"/>
        </w:rPr>
        <w:t>”</w:t>
      </w:r>
    </w:p>
    <w:p w14:paraId="6B751513" w14:textId="77777777" w:rsidR="00A41A57" w:rsidRDefault="00A41A57" w:rsidP="00A41A57">
      <w:pPr>
        <w:autoSpaceDE w:val="0"/>
        <w:autoSpaceDN w:val="0"/>
        <w:adjustRightInd w:val="0"/>
        <w:spacing w:after="0" w:line="360" w:lineRule="auto"/>
        <w:ind w:left="1134"/>
        <w:jc w:val="both"/>
        <w:rPr>
          <w:rFonts w:ascii="Times New Roman" w:hAnsi="Times New Roman"/>
          <w:sz w:val="24"/>
          <w:szCs w:val="24"/>
        </w:rPr>
      </w:pPr>
    </w:p>
    <w:p w14:paraId="3C64DA94" w14:textId="06235599" w:rsidR="00B22F05" w:rsidRPr="0009495C" w:rsidRDefault="0009495C" w:rsidP="00673375">
      <w:pPr>
        <w:spacing w:line="360" w:lineRule="auto"/>
        <w:jc w:val="both"/>
        <w:rPr>
          <w:rFonts w:ascii="Times New Roman" w:hAnsi="Times New Roman"/>
        </w:rPr>
      </w:pPr>
      <w:r w:rsidRPr="0009495C">
        <w:rPr>
          <w:rFonts w:ascii="Times New Roman" w:hAnsi="Times New Roman"/>
        </w:rPr>
        <w:t>APPLYING THE LAW TO THE FACTS</w:t>
      </w:r>
    </w:p>
    <w:p w14:paraId="26F508A6" w14:textId="36E4076B" w:rsidR="00D4138C" w:rsidRDefault="0009495C" w:rsidP="00673375">
      <w:pPr>
        <w:spacing w:line="360" w:lineRule="auto"/>
        <w:jc w:val="both"/>
        <w:rPr>
          <w:rFonts w:ascii="Times New Roman" w:hAnsi="Times New Roman"/>
          <w:sz w:val="24"/>
          <w:szCs w:val="24"/>
        </w:rPr>
      </w:pPr>
      <w:r>
        <w:rPr>
          <w:rFonts w:ascii="Times New Roman" w:hAnsi="Times New Roman"/>
          <w:sz w:val="24"/>
          <w:szCs w:val="24"/>
        </w:rPr>
        <w:t>[ 1</w:t>
      </w:r>
      <w:r w:rsidR="00AE2CE3">
        <w:rPr>
          <w:rFonts w:ascii="Times New Roman" w:hAnsi="Times New Roman"/>
          <w:sz w:val="24"/>
          <w:szCs w:val="24"/>
        </w:rPr>
        <w:t>4</w:t>
      </w:r>
      <w:r>
        <w:rPr>
          <w:rFonts w:ascii="Times New Roman" w:hAnsi="Times New Roman"/>
          <w:sz w:val="24"/>
          <w:szCs w:val="24"/>
        </w:rPr>
        <w:t xml:space="preserve">] </w:t>
      </w:r>
      <w:r w:rsidR="00D4138C">
        <w:rPr>
          <w:rFonts w:ascii="Times New Roman" w:hAnsi="Times New Roman"/>
          <w:sz w:val="24"/>
          <w:szCs w:val="24"/>
        </w:rPr>
        <w:t xml:space="preserve">It is not in dispute that the evidence which respondents seek to file as an additional affidavit was not in </w:t>
      </w:r>
      <w:r w:rsidR="00AE2CE3">
        <w:rPr>
          <w:rFonts w:ascii="Times New Roman" w:hAnsi="Times New Roman"/>
          <w:sz w:val="24"/>
          <w:szCs w:val="24"/>
        </w:rPr>
        <w:t>existence as</w:t>
      </w:r>
      <w:r w:rsidR="00D4138C">
        <w:rPr>
          <w:rFonts w:ascii="Times New Roman" w:hAnsi="Times New Roman"/>
          <w:sz w:val="24"/>
          <w:szCs w:val="24"/>
        </w:rPr>
        <w:t xml:space="preserve"> at the time that the notice of opposition was filed. On that basis, </w:t>
      </w:r>
      <w:r w:rsidR="00A41A57">
        <w:rPr>
          <w:rFonts w:ascii="Times New Roman" w:hAnsi="Times New Roman"/>
          <w:sz w:val="24"/>
          <w:szCs w:val="24"/>
        </w:rPr>
        <w:t xml:space="preserve">no question arises </w:t>
      </w:r>
      <w:r w:rsidR="006F542F">
        <w:rPr>
          <w:rFonts w:ascii="Times New Roman" w:hAnsi="Times New Roman"/>
          <w:sz w:val="24"/>
          <w:szCs w:val="24"/>
        </w:rPr>
        <w:t xml:space="preserve">regarding the justification </w:t>
      </w:r>
      <w:r w:rsidR="00834DF9">
        <w:rPr>
          <w:rFonts w:ascii="Times New Roman" w:hAnsi="Times New Roman"/>
          <w:sz w:val="24"/>
          <w:szCs w:val="24"/>
        </w:rPr>
        <w:t xml:space="preserve">of </w:t>
      </w:r>
      <w:r w:rsidR="00A41A57">
        <w:rPr>
          <w:rFonts w:ascii="Times New Roman" w:hAnsi="Times New Roman"/>
          <w:sz w:val="24"/>
          <w:szCs w:val="24"/>
        </w:rPr>
        <w:t>its</w:t>
      </w:r>
      <w:r w:rsidR="00D4138C">
        <w:rPr>
          <w:rFonts w:ascii="Times New Roman" w:hAnsi="Times New Roman"/>
          <w:sz w:val="24"/>
          <w:szCs w:val="24"/>
        </w:rPr>
        <w:t xml:space="preserve"> exclusion at the time</w:t>
      </w:r>
      <w:r w:rsidR="00834DF9">
        <w:rPr>
          <w:rFonts w:ascii="Times New Roman" w:hAnsi="Times New Roman"/>
          <w:sz w:val="24"/>
          <w:szCs w:val="24"/>
        </w:rPr>
        <w:t xml:space="preserve"> the application was opposed</w:t>
      </w:r>
      <w:r w:rsidR="00D4138C">
        <w:rPr>
          <w:rFonts w:ascii="Times New Roman" w:hAnsi="Times New Roman"/>
          <w:sz w:val="24"/>
          <w:szCs w:val="24"/>
        </w:rPr>
        <w:t xml:space="preserve">. </w:t>
      </w:r>
      <w:r w:rsidR="00A41A57">
        <w:rPr>
          <w:rFonts w:ascii="Times New Roman" w:hAnsi="Times New Roman"/>
          <w:sz w:val="24"/>
          <w:szCs w:val="24"/>
        </w:rPr>
        <w:t xml:space="preserve">I </w:t>
      </w:r>
      <w:r w:rsidR="00834DF9">
        <w:rPr>
          <w:rFonts w:ascii="Times New Roman" w:hAnsi="Times New Roman"/>
          <w:sz w:val="24"/>
          <w:szCs w:val="24"/>
        </w:rPr>
        <w:t xml:space="preserve">also </w:t>
      </w:r>
      <w:r w:rsidR="00A41A57">
        <w:rPr>
          <w:rFonts w:ascii="Times New Roman" w:hAnsi="Times New Roman"/>
          <w:sz w:val="24"/>
          <w:szCs w:val="24"/>
        </w:rPr>
        <w:t>believe that it will not be ne</w:t>
      </w:r>
      <w:r w:rsidR="00D4138C">
        <w:rPr>
          <w:rFonts w:ascii="Times New Roman" w:hAnsi="Times New Roman"/>
          <w:sz w:val="24"/>
          <w:szCs w:val="24"/>
        </w:rPr>
        <w:t xml:space="preserve">cessary, for purposes of resolving the issue before the court, </w:t>
      </w:r>
      <w:r w:rsidR="00F33E6C">
        <w:rPr>
          <w:rFonts w:ascii="Times New Roman" w:hAnsi="Times New Roman"/>
          <w:sz w:val="24"/>
          <w:szCs w:val="24"/>
        </w:rPr>
        <w:t>for one</w:t>
      </w:r>
      <w:r w:rsidR="00D4138C">
        <w:rPr>
          <w:rFonts w:ascii="Times New Roman" w:hAnsi="Times New Roman"/>
          <w:sz w:val="24"/>
          <w:szCs w:val="24"/>
        </w:rPr>
        <w:t xml:space="preserve"> to query the respondents as to why the step they took at the AGM on 29 November 2021 could not be earlier taken. </w:t>
      </w:r>
      <w:r w:rsidR="00F33E6C">
        <w:rPr>
          <w:rFonts w:ascii="Times New Roman" w:hAnsi="Times New Roman"/>
          <w:sz w:val="24"/>
          <w:szCs w:val="24"/>
        </w:rPr>
        <w:t>One may therefore proceed to examine the other considerations which the authorities have established to guide the courts in processing applications of this nature.</w:t>
      </w:r>
    </w:p>
    <w:p w14:paraId="6FFE5037" w14:textId="7A9BC106" w:rsidR="00F33E6C" w:rsidRDefault="00D4138C" w:rsidP="00673375">
      <w:pPr>
        <w:spacing w:line="360" w:lineRule="auto"/>
        <w:jc w:val="both"/>
        <w:rPr>
          <w:rFonts w:ascii="Times New Roman" w:hAnsi="Times New Roman"/>
          <w:sz w:val="24"/>
          <w:szCs w:val="24"/>
        </w:rPr>
      </w:pPr>
      <w:r>
        <w:rPr>
          <w:rFonts w:ascii="Times New Roman" w:hAnsi="Times New Roman"/>
          <w:sz w:val="24"/>
          <w:szCs w:val="24"/>
        </w:rPr>
        <w:t>[ 1</w:t>
      </w:r>
      <w:r w:rsidR="00AE2CE3">
        <w:rPr>
          <w:rFonts w:ascii="Times New Roman" w:hAnsi="Times New Roman"/>
          <w:sz w:val="24"/>
          <w:szCs w:val="24"/>
        </w:rPr>
        <w:t>5</w:t>
      </w:r>
      <w:r w:rsidR="00F33E6C">
        <w:rPr>
          <w:rFonts w:ascii="Times New Roman" w:hAnsi="Times New Roman"/>
          <w:sz w:val="24"/>
          <w:szCs w:val="24"/>
        </w:rPr>
        <w:t xml:space="preserve">] The main consideration is whether the affidavit sought to be introduced will materially alter the cause of an action already pleaded and before the court. That consideration will in the process, establish whether the application is predicated on any bad intent and whether any </w:t>
      </w:r>
      <w:r w:rsidR="00F33E6C">
        <w:rPr>
          <w:rFonts w:ascii="Times New Roman" w:hAnsi="Times New Roman"/>
          <w:sz w:val="24"/>
          <w:szCs w:val="24"/>
        </w:rPr>
        <w:lastRenderedPageBreak/>
        <w:t xml:space="preserve">prejudice might be occasioned to the applicant if the additional affidavit is admitted. The answer to these issues lies buried in the facts already presented, as well as the import of the affidavit itself. </w:t>
      </w:r>
    </w:p>
    <w:p w14:paraId="63844AEC" w14:textId="7AE645CF" w:rsidR="0009495C" w:rsidRDefault="00F33E6C" w:rsidP="00673375">
      <w:pPr>
        <w:spacing w:line="360" w:lineRule="auto"/>
        <w:jc w:val="both"/>
        <w:rPr>
          <w:rFonts w:ascii="Times New Roman" w:hAnsi="Times New Roman"/>
          <w:sz w:val="24"/>
          <w:szCs w:val="24"/>
        </w:rPr>
      </w:pPr>
      <w:r>
        <w:rPr>
          <w:rFonts w:ascii="Times New Roman" w:hAnsi="Times New Roman"/>
          <w:sz w:val="24"/>
          <w:szCs w:val="24"/>
        </w:rPr>
        <w:t xml:space="preserve">[ </w:t>
      </w:r>
      <w:r w:rsidR="009E17B8">
        <w:rPr>
          <w:rFonts w:ascii="Times New Roman" w:hAnsi="Times New Roman"/>
          <w:sz w:val="24"/>
          <w:szCs w:val="24"/>
        </w:rPr>
        <w:t>1</w:t>
      </w:r>
      <w:r w:rsidR="00AE2CE3">
        <w:rPr>
          <w:rFonts w:ascii="Times New Roman" w:hAnsi="Times New Roman"/>
          <w:sz w:val="24"/>
          <w:szCs w:val="24"/>
        </w:rPr>
        <w:t>6</w:t>
      </w:r>
      <w:r w:rsidR="009E17B8">
        <w:rPr>
          <w:rFonts w:ascii="Times New Roman" w:hAnsi="Times New Roman"/>
          <w:sz w:val="24"/>
          <w:szCs w:val="24"/>
        </w:rPr>
        <w:t>]</w:t>
      </w:r>
      <w:r>
        <w:rPr>
          <w:rFonts w:ascii="Times New Roman" w:hAnsi="Times New Roman"/>
          <w:sz w:val="24"/>
          <w:szCs w:val="24"/>
        </w:rPr>
        <w:t xml:space="preserve"> </w:t>
      </w:r>
      <w:r w:rsidR="0009495C">
        <w:rPr>
          <w:rFonts w:ascii="Times New Roman" w:hAnsi="Times New Roman"/>
          <w:sz w:val="24"/>
          <w:szCs w:val="24"/>
        </w:rPr>
        <w:t xml:space="preserve">I set out the basis of the dispute in [6] above as it is borne out by the relief sought by Bouckaert in this application. This application was spiritedly contested by the respondents. The main affidavit opposing the relief sought (deposed to by Duckworth) goes to great lengths to confirm that the decisions taken by or on behalf of the SVC and SVC Trust to relieve Bouckaert of his responsibilities within the SVC and SVC Trust were justified at law. </w:t>
      </w:r>
    </w:p>
    <w:p w14:paraId="1F431622" w14:textId="6A46E6B3" w:rsidR="00D4138C" w:rsidRDefault="0009495C" w:rsidP="00673375">
      <w:pPr>
        <w:spacing w:line="360" w:lineRule="auto"/>
        <w:jc w:val="both"/>
        <w:rPr>
          <w:rFonts w:ascii="Times New Roman" w:hAnsi="Times New Roman"/>
          <w:sz w:val="24"/>
          <w:szCs w:val="24"/>
        </w:rPr>
      </w:pPr>
      <w:r>
        <w:rPr>
          <w:rFonts w:ascii="Times New Roman" w:hAnsi="Times New Roman"/>
          <w:sz w:val="24"/>
          <w:szCs w:val="24"/>
        </w:rPr>
        <w:t xml:space="preserve">[ </w:t>
      </w:r>
      <w:r w:rsidR="00FE1E5B">
        <w:rPr>
          <w:rFonts w:ascii="Times New Roman" w:hAnsi="Times New Roman"/>
          <w:sz w:val="24"/>
          <w:szCs w:val="24"/>
        </w:rPr>
        <w:t>1</w:t>
      </w:r>
      <w:r w:rsidR="00AE2CE3">
        <w:rPr>
          <w:rFonts w:ascii="Times New Roman" w:hAnsi="Times New Roman"/>
          <w:sz w:val="24"/>
          <w:szCs w:val="24"/>
        </w:rPr>
        <w:t>7</w:t>
      </w:r>
      <w:r w:rsidR="00FE1E5B">
        <w:rPr>
          <w:rFonts w:ascii="Times New Roman" w:hAnsi="Times New Roman"/>
          <w:sz w:val="24"/>
          <w:szCs w:val="24"/>
        </w:rPr>
        <w:t>]</w:t>
      </w:r>
      <w:r>
        <w:rPr>
          <w:rFonts w:ascii="Times New Roman" w:hAnsi="Times New Roman"/>
          <w:sz w:val="24"/>
          <w:szCs w:val="24"/>
        </w:rPr>
        <w:t xml:space="preserve"> There is no admission in the papers before the court, </w:t>
      </w:r>
      <w:r w:rsidR="00834DF9">
        <w:rPr>
          <w:rFonts w:ascii="Times New Roman" w:hAnsi="Times New Roman"/>
          <w:sz w:val="24"/>
          <w:szCs w:val="24"/>
        </w:rPr>
        <w:t>(</w:t>
      </w:r>
      <w:r>
        <w:rPr>
          <w:rFonts w:ascii="Times New Roman" w:hAnsi="Times New Roman"/>
          <w:sz w:val="24"/>
          <w:szCs w:val="24"/>
        </w:rPr>
        <w:t>as now seems to obliquely emerge from arguments presented on behalf of the respondents</w:t>
      </w:r>
      <w:r w:rsidR="00834DF9">
        <w:rPr>
          <w:rFonts w:ascii="Times New Roman" w:hAnsi="Times New Roman"/>
          <w:sz w:val="24"/>
          <w:szCs w:val="24"/>
        </w:rPr>
        <w:t>)</w:t>
      </w:r>
      <w:r>
        <w:rPr>
          <w:rFonts w:ascii="Times New Roman" w:hAnsi="Times New Roman"/>
          <w:sz w:val="24"/>
          <w:szCs w:val="24"/>
        </w:rPr>
        <w:t xml:space="preserve">, that the removal of Bouckaert was </w:t>
      </w:r>
      <w:r w:rsidR="00FE1E5B">
        <w:rPr>
          <w:rFonts w:ascii="Times New Roman" w:hAnsi="Times New Roman"/>
          <w:sz w:val="24"/>
          <w:szCs w:val="24"/>
        </w:rPr>
        <w:t>improper. It</w:t>
      </w:r>
      <w:r>
        <w:rPr>
          <w:rFonts w:ascii="Times New Roman" w:hAnsi="Times New Roman"/>
          <w:sz w:val="24"/>
          <w:szCs w:val="24"/>
        </w:rPr>
        <w:t xml:space="preserve"> has now been submitted by counsel for respondents that the controversy has effectively terminated because </w:t>
      </w:r>
      <w:r w:rsidR="00FE1E5B">
        <w:rPr>
          <w:rFonts w:ascii="Times New Roman" w:hAnsi="Times New Roman"/>
          <w:sz w:val="24"/>
          <w:szCs w:val="24"/>
        </w:rPr>
        <w:t>the respondents have taken steps to address the defect complained of by Bouckaert-namely to validate the decision of the SVC`s Executive Committee.</w:t>
      </w:r>
      <w:r>
        <w:rPr>
          <w:rFonts w:ascii="Times New Roman" w:hAnsi="Times New Roman"/>
          <w:sz w:val="24"/>
          <w:szCs w:val="24"/>
        </w:rPr>
        <w:t xml:space="preserve"> </w:t>
      </w:r>
    </w:p>
    <w:p w14:paraId="37494E53" w14:textId="57775F17" w:rsidR="00736129" w:rsidRDefault="00D4138C" w:rsidP="00673375">
      <w:pPr>
        <w:spacing w:line="360" w:lineRule="auto"/>
        <w:jc w:val="both"/>
        <w:rPr>
          <w:rFonts w:ascii="Times New Roman" w:hAnsi="Times New Roman"/>
          <w:sz w:val="24"/>
          <w:szCs w:val="24"/>
        </w:rPr>
      </w:pPr>
      <w:r>
        <w:rPr>
          <w:rFonts w:ascii="Times New Roman" w:hAnsi="Times New Roman"/>
          <w:sz w:val="24"/>
          <w:szCs w:val="24"/>
        </w:rPr>
        <w:t>[1</w:t>
      </w:r>
      <w:r w:rsidR="00AE2CE3">
        <w:rPr>
          <w:rFonts w:ascii="Times New Roman" w:hAnsi="Times New Roman"/>
          <w:sz w:val="24"/>
          <w:szCs w:val="24"/>
        </w:rPr>
        <w:t>8</w:t>
      </w:r>
      <w:r w:rsidR="00736129">
        <w:rPr>
          <w:rFonts w:ascii="Times New Roman" w:hAnsi="Times New Roman"/>
          <w:sz w:val="24"/>
          <w:szCs w:val="24"/>
        </w:rPr>
        <w:t>] One</w:t>
      </w:r>
      <w:r w:rsidR="00FE1E5B">
        <w:rPr>
          <w:rFonts w:ascii="Times New Roman" w:hAnsi="Times New Roman"/>
          <w:sz w:val="24"/>
          <w:szCs w:val="24"/>
        </w:rPr>
        <w:t xml:space="preserve"> would pose two questions in response to this position </w:t>
      </w:r>
      <w:r w:rsidR="00F33E6C">
        <w:rPr>
          <w:rFonts w:ascii="Times New Roman" w:hAnsi="Times New Roman"/>
          <w:sz w:val="24"/>
          <w:szCs w:val="24"/>
        </w:rPr>
        <w:t>(</w:t>
      </w:r>
      <w:r w:rsidR="00FE1E5B">
        <w:rPr>
          <w:rFonts w:ascii="Times New Roman" w:hAnsi="Times New Roman"/>
          <w:sz w:val="24"/>
          <w:szCs w:val="24"/>
        </w:rPr>
        <w:t xml:space="preserve">laid out with great emphasis as captured in [ 7] </w:t>
      </w:r>
      <w:r>
        <w:rPr>
          <w:rFonts w:ascii="Times New Roman" w:hAnsi="Times New Roman"/>
          <w:sz w:val="24"/>
          <w:szCs w:val="24"/>
        </w:rPr>
        <w:t>above</w:t>
      </w:r>
      <w:r w:rsidR="00F33E6C">
        <w:rPr>
          <w:rFonts w:ascii="Times New Roman" w:hAnsi="Times New Roman"/>
          <w:sz w:val="24"/>
          <w:szCs w:val="24"/>
        </w:rPr>
        <w:t>)</w:t>
      </w:r>
      <w:r>
        <w:rPr>
          <w:rFonts w:ascii="Times New Roman" w:hAnsi="Times New Roman"/>
          <w:sz w:val="24"/>
          <w:szCs w:val="24"/>
        </w:rPr>
        <w:t>. The</w:t>
      </w:r>
      <w:r w:rsidR="00FE1E5B">
        <w:rPr>
          <w:rFonts w:ascii="Times New Roman" w:hAnsi="Times New Roman"/>
          <w:sz w:val="24"/>
          <w:szCs w:val="24"/>
        </w:rPr>
        <w:t xml:space="preserve"> first question would </w:t>
      </w:r>
      <w:r w:rsidR="00736129">
        <w:rPr>
          <w:rFonts w:ascii="Times New Roman" w:hAnsi="Times New Roman"/>
          <w:sz w:val="24"/>
          <w:szCs w:val="24"/>
        </w:rPr>
        <w:t>be; -</w:t>
      </w:r>
      <w:r w:rsidR="00FE1E5B">
        <w:rPr>
          <w:rFonts w:ascii="Times New Roman" w:hAnsi="Times New Roman"/>
          <w:sz w:val="24"/>
          <w:szCs w:val="24"/>
        </w:rPr>
        <w:t xml:space="preserve">are the respondents conceding </w:t>
      </w:r>
      <w:r w:rsidR="00834DF9">
        <w:rPr>
          <w:rFonts w:ascii="Times New Roman" w:hAnsi="Times New Roman"/>
          <w:sz w:val="24"/>
          <w:szCs w:val="24"/>
        </w:rPr>
        <w:t xml:space="preserve">as </w:t>
      </w:r>
      <w:r w:rsidR="00412446">
        <w:rPr>
          <w:rFonts w:ascii="Times New Roman" w:hAnsi="Times New Roman"/>
          <w:sz w:val="24"/>
          <w:szCs w:val="24"/>
        </w:rPr>
        <w:t>true, the</w:t>
      </w:r>
      <w:r w:rsidR="00F33E6C">
        <w:rPr>
          <w:rFonts w:ascii="Times New Roman" w:hAnsi="Times New Roman"/>
          <w:sz w:val="24"/>
          <w:szCs w:val="24"/>
        </w:rPr>
        <w:t xml:space="preserve"> </w:t>
      </w:r>
      <w:r w:rsidR="00FE1E5B">
        <w:rPr>
          <w:rFonts w:ascii="Times New Roman" w:hAnsi="Times New Roman"/>
          <w:sz w:val="24"/>
          <w:szCs w:val="24"/>
        </w:rPr>
        <w:t xml:space="preserve">averments made out in the founding </w:t>
      </w:r>
      <w:r w:rsidR="00412446">
        <w:rPr>
          <w:rFonts w:ascii="Times New Roman" w:hAnsi="Times New Roman"/>
          <w:sz w:val="24"/>
          <w:szCs w:val="24"/>
        </w:rPr>
        <w:t>affidavit, including</w:t>
      </w:r>
      <w:r w:rsidR="00FE1E5B">
        <w:rPr>
          <w:rFonts w:ascii="Times New Roman" w:hAnsi="Times New Roman"/>
          <w:sz w:val="24"/>
          <w:szCs w:val="24"/>
        </w:rPr>
        <w:t xml:space="preserve"> the refutations of any wrong doing by Bouckaert? And secondly </w:t>
      </w:r>
      <w:r w:rsidR="00F33E6C">
        <w:rPr>
          <w:rFonts w:ascii="Times New Roman" w:hAnsi="Times New Roman"/>
          <w:sz w:val="24"/>
          <w:szCs w:val="24"/>
        </w:rPr>
        <w:t xml:space="preserve">if indeed the respondents </w:t>
      </w:r>
      <w:r w:rsidR="00D23646">
        <w:rPr>
          <w:rFonts w:ascii="Times New Roman" w:hAnsi="Times New Roman"/>
          <w:sz w:val="24"/>
          <w:szCs w:val="24"/>
        </w:rPr>
        <w:t>delivered,</w:t>
      </w:r>
      <w:r w:rsidR="00F33E6C">
        <w:rPr>
          <w:rFonts w:ascii="Times New Roman" w:hAnsi="Times New Roman"/>
          <w:sz w:val="24"/>
          <w:szCs w:val="24"/>
        </w:rPr>
        <w:t xml:space="preserve"> by their subsequent action at the </w:t>
      </w:r>
      <w:r w:rsidR="00D23646">
        <w:rPr>
          <w:rFonts w:ascii="Times New Roman" w:hAnsi="Times New Roman"/>
          <w:sz w:val="24"/>
          <w:szCs w:val="24"/>
        </w:rPr>
        <w:t xml:space="preserve">AGM, the very prayer that applicant sought in this court, </w:t>
      </w:r>
      <w:r w:rsidR="00FE1E5B">
        <w:rPr>
          <w:rFonts w:ascii="Times New Roman" w:hAnsi="Times New Roman"/>
          <w:sz w:val="24"/>
          <w:szCs w:val="24"/>
        </w:rPr>
        <w:t xml:space="preserve">why </w:t>
      </w:r>
      <w:r w:rsidR="00D23646">
        <w:rPr>
          <w:rFonts w:ascii="Times New Roman" w:hAnsi="Times New Roman"/>
          <w:sz w:val="24"/>
          <w:szCs w:val="24"/>
        </w:rPr>
        <w:t>then did th</w:t>
      </w:r>
      <w:r w:rsidR="00FE1E5B">
        <w:rPr>
          <w:rFonts w:ascii="Times New Roman" w:hAnsi="Times New Roman"/>
          <w:sz w:val="24"/>
          <w:szCs w:val="24"/>
        </w:rPr>
        <w:t>e</w:t>
      </w:r>
      <w:r w:rsidR="00F33E6C">
        <w:rPr>
          <w:rFonts w:ascii="Times New Roman" w:hAnsi="Times New Roman"/>
          <w:sz w:val="24"/>
          <w:szCs w:val="24"/>
        </w:rPr>
        <w:t xml:space="preserve">y </w:t>
      </w:r>
      <w:r w:rsidR="00FE1E5B">
        <w:rPr>
          <w:rFonts w:ascii="Times New Roman" w:hAnsi="Times New Roman"/>
          <w:sz w:val="24"/>
          <w:szCs w:val="24"/>
        </w:rPr>
        <w:t>not simply withdraw their defence</w:t>
      </w:r>
      <w:r w:rsidR="00D23646">
        <w:rPr>
          <w:rFonts w:ascii="Times New Roman" w:hAnsi="Times New Roman"/>
          <w:sz w:val="24"/>
          <w:szCs w:val="24"/>
        </w:rPr>
        <w:t xml:space="preserve"> and </w:t>
      </w:r>
      <w:r w:rsidR="00FE1E5B">
        <w:rPr>
          <w:rFonts w:ascii="Times New Roman" w:hAnsi="Times New Roman"/>
          <w:sz w:val="24"/>
          <w:szCs w:val="24"/>
        </w:rPr>
        <w:t>acquiesce to the relief sought?</w:t>
      </w:r>
    </w:p>
    <w:p w14:paraId="2887601C" w14:textId="4C40A211" w:rsidR="0009495C" w:rsidRDefault="00736129" w:rsidP="00673375">
      <w:pPr>
        <w:spacing w:line="360" w:lineRule="auto"/>
        <w:jc w:val="both"/>
        <w:rPr>
          <w:rFonts w:ascii="Times New Roman" w:hAnsi="Times New Roman"/>
          <w:sz w:val="24"/>
          <w:szCs w:val="24"/>
        </w:rPr>
      </w:pPr>
      <w:r>
        <w:rPr>
          <w:rFonts w:ascii="Times New Roman" w:hAnsi="Times New Roman"/>
          <w:sz w:val="24"/>
          <w:szCs w:val="24"/>
        </w:rPr>
        <w:t>[ 1</w:t>
      </w:r>
      <w:r w:rsidR="00AE2CE3">
        <w:rPr>
          <w:rFonts w:ascii="Times New Roman" w:hAnsi="Times New Roman"/>
          <w:sz w:val="24"/>
          <w:szCs w:val="24"/>
        </w:rPr>
        <w:t>9</w:t>
      </w:r>
      <w:r>
        <w:rPr>
          <w:rFonts w:ascii="Times New Roman" w:hAnsi="Times New Roman"/>
          <w:sz w:val="24"/>
          <w:szCs w:val="24"/>
        </w:rPr>
        <w:t>] The</w:t>
      </w:r>
      <w:r w:rsidR="00FE1E5B">
        <w:rPr>
          <w:rFonts w:ascii="Times New Roman" w:hAnsi="Times New Roman"/>
          <w:sz w:val="24"/>
          <w:szCs w:val="24"/>
        </w:rPr>
        <w:t xml:space="preserve"> answer </w:t>
      </w:r>
      <w:r>
        <w:rPr>
          <w:rFonts w:ascii="Times New Roman" w:hAnsi="Times New Roman"/>
          <w:sz w:val="24"/>
          <w:szCs w:val="24"/>
        </w:rPr>
        <w:t xml:space="preserve">to both questions </w:t>
      </w:r>
      <w:r w:rsidR="00FE1E5B">
        <w:rPr>
          <w:rFonts w:ascii="Times New Roman" w:hAnsi="Times New Roman"/>
          <w:sz w:val="24"/>
          <w:szCs w:val="24"/>
        </w:rPr>
        <w:t>is quite obvious</w:t>
      </w:r>
      <w:r w:rsidR="00D23646">
        <w:rPr>
          <w:rFonts w:ascii="Times New Roman" w:hAnsi="Times New Roman"/>
          <w:sz w:val="24"/>
          <w:szCs w:val="24"/>
        </w:rPr>
        <w:t xml:space="preserve"> and it demonstrates one thing; -that the </w:t>
      </w:r>
      <w:r w:rsidR="00FE1E5B">
        <w:rPr>
          <w:rFonts w:ascii="Times New Roman" w:hAnsi="Times New Roman"/>
          <w:sz w:val="24"/>
          <w:szCs w:val="24"/>
        </w:rPr>
        <w:t xml:space="preserve">controversy between the parties </w:t>
      </w:r>
      <w:r w:rsidR="00D23646">
        <w:rPr>
          <w:rFonts w:ascii="Times New Roman" w:hAnsi="Times New Roman"/>
          <w:sz w:val="24"/>
          <w:szCs w:val="24"/>
        </w:rPr>
        <w:t xml:space="preserve">as pleaded </w:t>
      </w:r>
      <w:r>
        <w:rPr>
          <w:rFonts w:ascii="Times New Roman" w:hAnsi="Times New Roman"/>
          <w:sz w:val="24"/>
          <w:szCs w:val="24"/>
        </w:rPr>
        <w:t>was not</w:t>
      </w:r>
      <w:r w:rsidR="00FE1E5B">
        <w:rPr>
          <w:rFonts w:ascii="Times New Roman" w:hAnsi="Times New Roman"/>
          <w:sz w:val="24"/>
          <w:szCs w:val="24"/>
        </w:rPr>
        <w:t xml:space="preserve"> </w:t>
      </w:r>
      <w:r w:rsidR="00D23646">
        <w:rPr>
          <w:rFonts w:ascii="Times New Roman" w:hAnsi="Times New Roman"/>
          <w:sz w:val="24"/>
          <w:szCs w:val="24"/>
        </w:rPr>
        <w:t xml:space="preserve">in the least bit </w:t>
      </w:r>
      <w:r w:rsidR="00FE1E5B">
        <w:rPr>
          <w:rFonts w:ascii="Times New Roman" w:hAnsi="Times New Roman"/>
          <w:sz w:val="24"/>
          <w:szCs w:val="24"/>
        </w:rPr>
        <w:t xml:space="preserve">cured by the resolution taken at the </w:t>
      </w:r>
      <w:r w:rsidR="009E17B8">
        <w:rPr>
          <w:rFonts w:ascii="Times New Roman" w:hAnsi="Times New Roman"/>
          <w:sz w:val="24"/>
          <w:szCs w:val="24"/>
        </w:rPr>
        <w:t>AGM.This for</w:t>
      </w:r>
      <w:r w:rsidR="00FE1E5B">
        <w:rPr>
          <w:rFonts w:ascii="Times New Roman" w:hAnsi="Times New Roman"/>
          <w:sz w:val="24"/>
          <w:szCs w:val="24"/>
        </w:rPr>
        <w:t xml:space="preserve"> the simple reason that such resolution </w:t>
      </w:r>
      <w:r w:rsidR="00D23646">
        <w:rPr>
          <w:rFonts w:ascii="Times New Roman" w:hAnsi="Times New Roman"/>
          <w:sz w:val="24"/>
          <w:szCs w:val="24"/>
        </w:rPr>
        <w:t xml:space="preserve">did </w:t>
      </w:r>
      <w:r w:rsidR="00FE1E5B">
        <w:rPr>
          <w:rFonts w:ascii="Times New Roman" w:hAnsi="Times New Roman"/>
          <w:sz w:val="24"/>
          <w:szCs w:val="24"/>
        </w:rPr>
        <w:t xml:space="preserve">not address the bedrock of the dispute. </w:t>
      </w:r>
      <w:r w:rsidR="00D23646">
        <w:rPr>
          <w:rFonts w:ascii="Times New Roman" w:hAnsi="Times New Roman"/>
          <w:sz w:val="24"/>
          <w:szCs w:val="24"/>
        </w:rPr>
        <w:t>Bouckaert insists that he was wrongly removed from office, whilst respondents similarly insist that the removal was proper.</w:t>
      </w:r>
      <w:r w:rsidR="00FE1E5B">
        <w:rPr>
          <w:rFonts w:ascii="Times New Roman" w:hAnsi="Times New Roman"/>
          <w:sz w:val="24"/>
          <w:szCs w:val="24"/>
        </w:rPr>
        <w:t xml:space="preserve"> It is on this basis that I was not convinced, with respect, that the additional affidavit dissipated the controversy as argued by Mr.</w:t>
      </w:r>
      <w:r w:rsidR="00FE1E5B" w:rsidRPr="00FE1E5B">
        <w:rPr>
          <w:rFonts w:ascii="Times New Roman" w:hAnsi="Times New Roman"/>
          <w:i/>
          <w:iCs/>
          <w:sz w:val="24"/>
          <w:szCs w:val="24"/>
        </w:rPr>
        <w:t xml:space="preserve"> Tivadar</w:t>
      </w:r>
      <w:r w:rsidR="00FE1E5B">
        <w:rPr>
          <w:rFonts w:ascii="Times New Roman" w:hAnsi="Times New Roman"/>
          <w:sz w:val="24"/>
          <w:szCs w:val="24"/>
        </w:rPr>
        <w:t>.</w:t>
      </w:r>
    </w:p>
    <w:p w14:paraId="6E494260" w14:textId="4356946F" w:rsidR="00736129" w:rsidRPr="00736129" w:rsidRDefault="00736129" w:rsidP="00736129">
      <w:pPr>
        <w:spacing w:line="360" w:lineRule="auto"/>
        <w:jc w:val="both"/>
        <w:rPr>
          <w:rFonts w:ascii="Times New Roman" w:hAnsi="Times New Roman"/>
          <w:sz w:val="24"/>
          <w:szCs w:val="24"/>
        </w:rPr>
      </w:pPr>
      <w:r>
        <w:rPr>
          <w:rFonts w:ascii="Times New Roman" w:hAnsi="Times New Roman"/>
          <w:sz w:val="24"/>
          <w:szCs w:val="24"/>
        </w:rPr>
        <w:t xml:space="preserve">[ </w:t>
      </w:r>
      <w:r w:rsidR="00AE2CE3">
        <w:rPr>
          <w:rFonts w:ascii="Times New Roman" w:hAnsi="Times New Roman"/>
          <w:sz w:val="24"/>
          <w:szCs w:val="24"/>
        </w:rPr>
        <w:t>20</w:t>
      </w:r>
      <w:r>
        <w:rPr>
          <w:rFonts w:ascii="Times New Roman" w:hAnsi="Times New Roman"/>
          <w:sz w:val="24"/>
          <w:szCs w:val="24"/>
        </w:rPr>
        <w:t xml:space="preserve">] </w:t>
      </w:r>
      <w:r w:rsidR="00FE1E5B">
        <w:rPr>
          <w:rFonts w:ascii="Times New Roman" w:hAnsi="Times New Roman"/>
          <w:sz w:val="24"/>
          <w:szCs w:val="24"/>
        </w:rPr>
        <w:t xml:space="preserve">This brief summary is relevant for purposes of </w:t>
      </w:r>
      <w:r w:rsidR="00D23646">
        <w:rPr>
          <w:rFonts w:ascii="Times New Roman" w:hAnsi="Times New Roman"/>
          <w:sz w:val="24"/>
          <w:szCs w:val="24"/>
        </w:rPr>
        <w:t xml:space="preserve">accentuating </w:t>
      </w:r>
      <w:r w:rsidR="00FE1E5B">
        <w:rPr>
          <w:rFonts w:ascii="Times New Roman" w:hAnsi="Times New Roman"/>
          <w:sz w:val="24"/>
          <w:szCs w:val="24"/>
        </w:rPr>
        <w:t xml:space="preserve">(a) the causa between the parties as it presently stands before the court and (b) whether the additional affidavit which the respondents </w:t>
      </w:r>
      <w:r w:rsidR="00D4138C">
        <w:rPr>
          <w:rFonts w:ascii="Times New Roman" w:hAnsi="Times New Roman"/>
          <w:sz w:val="24"/>
          <w:szCs w:val="24"/>
        </w:rPr>
        <w:t>seek</w:t>
      </w:r>
      <w:r w:rsidR="00FE1E5B">
        <w:rPr>
          <w:rFonts w:ascii="Times New Roman" w:hAnsi="Times New Roman"/>
          <w:sz w:val="24"/>
          <w:szCs w:val="24"/>
        </w:rPr>
        <w:t xml:space="preserve"> to introduce will alter that particular causa.</w:t>
      </w:r>
      <w:r>
        <w:rPr>
          <w:rFonts w:ascii="Times New Roman" w:hAnsi="Times New Roman"/>
          <w:sz w:val="24"/>
          <w:szCs w:val="24"/>
        </w:rPr>
        <w:t xml:space="preserve"> </w:t>
      </w:r>
      <w:r w:rsidRPr="00736129">
        <w:rPr>
          <w:rFonts w:ascii="Times New Roman" w:hAnsi="Times New Roman"/>
          <w:sz w:val="24"/>
          <w:szCs w:val="24"/>
        </w:rPr>
        <w:t xml:space="preserve">Cause of action was defined in in </w:t>
      </w:r>
      <w:r w:rsidRPr="00736129">
        <w:rPr>
          <w:rFonts w:ascii="Times New Roman" w:hAnsi="Times New Roman"/>
          <w:i/>
          <w:iCs/>
          <w:sz w:val="24"/>
          <w:szCs w:val="24"/>
        </w:rPr>
        <w:t>Peebles v Dairibord (Private) Limited</w:t>
      </w:r>
      <w:r w:rsidRPr="00736129">
        <w:rPr>
          <w:rFonts w:ascii="Times New Roman" w:hAnsi="Times New Roman"/>
          <w:sz w:val="24"/>
          <w:szCs w:val="24"/>
        </w:rPr>
        <w:t xml:space="preserve"> </w:t>
      </w:r>
      <w:r w:rsidRPr="00736129">
        <w:rPr>
          <w:rFonts w:ascii="Times New Roman" w:hAnsi="Times New Roman"/>
          <w:i/>
          <w:iCs/>
          <w:sz w:val="24"/>
          <w:szCs w:val="24"/>
        </w:rPr>
        <w:t xml:space="preserve">Peebles v Dairiboard (Private) Limited 1999 (1) ZLR </w:t>
      </w:r>
      <w:r w:rsidRPr="00736129">
        <w:rPr>
          <w:rFonts w:ascii="Times New Roman" w:hAnsi="Times New Roman"/>
          <w:i/>
          <w:iCs/>
          <w:sz w:val="24"/>
          <w:szCs w:val="24"/>
        </w:rPr>
        <w:lastRenderedPageBreak/>
        <w:t xml:space="preserve">41 (H), </w:t>
      </w:r>
      <w:r w:rsidRPr="00736129">
        <w:rPr>
          <w:rFonts w:ascii="Times New Roman" w:hAnsi="Times New Roman"/>
          <w:sz w:val="24"/>
          <w:szCs w:val="24"/>
        </w:rPr>
        <w:t xml:space="preserve">and in </w:t>
      </w:r>
      <w:r w:rsidRPr="00736129">
        <w:rPr>
          <w:rFonts w:ascii="Times New Roman" w:hAnsi="Times New Roman"/>
          <w:i/>
          <w:iCs/>
          <w:sz w:val="24"/>
          <w:szCs w:val="24"/>
        </w:rPr>
        <w:t>Joel Simon Silonda (Substituted By Executor Vusumuzi Thomas Silonda) v Vusumuzi Nkomo SC 6-22</w:t>
      </w:r>
      <w:r w:rsidRPr="00736129">
        <w:rPr>
          <w:rFonts w:ascii="Times New Roman" w:hAnsi="Times New Roman"/>
          <w:sz w:val="24"/>
          <w:szCs w:val="24"/>
        </w:rPr>
        <w:t xml:space="preserve"> as follows at page 16; -</w:t>
      </w:r>
    </w:p>
    <w:p w14:paraId="0B8453FA" w14:textId="77777777" w:rsidR="00736129" w:rsidRPr="00736129" w:rsidRDefault="00736129" w:rsidP="00736129">
      <w:pPr>
        <w:spacing w:line="360" w:lineRule="auto"/>
        <w:ind w:left="1134"/>
        <w:jc w:val="both"/>
        <w:rPr>
          <w:rFonts w:ascii="Times New Roman" w:hAnsi="Times New Roman"/>
        </w:rPr>
      </w:pPr>
      <w:r w:rsidRPr="00736129">
        <w:rPr>
          <w:rFonts w:ascii="Times New Roman" w:hAnsi="Times New Roman"/>
        </w:rPr>
        <w:t xml:space="preserve">“The law on what constitutes a cause of action is settled. </w:t>
      </w:r>
      <w:r w:rsidRPr="00736129">
        <w:rPr>
          <w:rFonts w:ascii="Times New Roman" w:hAnsi="Times New Roman"/>
          <w:u w:val="single"/>
        </w:rPr>
        <w:t>A cause of action is simply a factual conspectus, the existence of which entitles one person to obtain from the court a remedy against another person</w:t>
      </w:r>
      <w:r w:rsidRPr="00736129">
        <w:rPr>
          <w:rFonts w:ascii="Times New Roman" w:hAnsi="Times New Roman"/>
        </w:rPr>
        <w:t xml:space="preserve">. In other words, it is an entire set of facts upon which the relief sought stands. See Peebles v Dairiboard (Private) Limited 1999 (1) ZLR 41 (H) at 54E-F and Abrahamse &amp; Sons v SA Railways and Harbours 1933 CPD 626 at 637.” [ emphasis added] </w:t>
      </w:r>
    </w:p>
    <w:p w14:paraId="66EE6FB5" w14:textId="09FE9993" w:rsidR="00342C64" w:rsidRDefault="00736129" w:rsidP="00673375">
      <w:pPr>
        <w:spacing w:line="360" w:lineRule="auto"/>
        <w:jc w:val="both"/>
        <w:rPr>
          <w:rFonts w:ascii="Times New Roman" w:hAnsi="Times New Roman"/>
          <w:sz w:val="24"/>
          <w:szCs w:val="24"/>
        </w:rPr>
      </w:pPr>
      <w:r>
        <w:rPr>
          <w:rFonts w:ascii="Times New Roman" w:hAnsi="Times New Roman"/>
          <w:sz w:val="24"/>
          <w:szCs w:val="24"/>
        </w:rPr>
        <w:t>[</w:t>
      </w:r>
      <w:r w:rsidR="00AE2CE3">
        <w:rPr>
          <w:rFonts w:ascii="Times New Roman" w:hAnsi="Times New Roman"/>
          <w:sz w:val="24"/>
          <w:szCs w:val="24"/>
        </w:rPr>
        <w:t>21</w:t>
      </w:r>
      <w:r>
        <w:rPr>
          <w:rFonts w:ascii="Times New Roman" w:hAnsi="Times New Roman"/>
          <w:sz w:val="24"/>
          <w:szCs w:val="24"/>
        </w:rPr>
        <w:t xml:space="preserve">] Applying this test to the present </w:t>
      </w:r>
      <w:r w:rsidR="00342C64">
        <w:rPr>
          <w:rFonts w:ascii="Times New Roman" w:hAnsi="Times New Roman"/>
          <w:sz w:val="24"/>
          <w:szCs w:val="24"/>
        </w:rPr>
        <w:t>matter, clearly, the</w:t>
      </w:r>
      <w:r>
        <w:rPr>
          <w:rFonts w:ascii="Times New Roman" w:hAnsi="Times New Roman"/>
          <w:sz w:val="24"/>
          <w:szCs w:val="24"/>
        </w:rPr>
        <w:t xml:space="preserve"> resolution taken at the SVC`s AGM seeking as it did, to ratify the SVC`s Executive Committee`s decision to oust applicant would materially alter the </w:t>
      </w:r>
      <w:r w:rsidR="00342C64">
        <w:rPr>
          <w:rFonts w:ascii="Times New Roman" w:hAnsi="Times New Roman"/>
          <w:sz w:val="24"/>
          <w:szCs w:val="24"/>
        </w:rPr>
        <w:t>causa. Moreso</w:t>
      </w:r>
      <w:r>
        <w:rPr>
          <w:rFonts w:ascii="Times New Roman" w:hAnsi="Times New Roman"/>
          <w:sz w:val="24"/>
          <w:szCs w:val="24"/>
        </w:rPr>
        <w:t xml:space="preserve"> </w:t>
      </w:r>
      <w:r w:rsidR="00834DF9">
        <w:rPr>
          <w:rFonts w:ascii="Times New Roman" w:hAnsi="Times New Roman"/>
          <w:sz w:val="24"/>
          <w:szCs w:val="24"/>
        </w:rPr>
        <w:t xml:space="preserve">given </w:t>
      </w:r>
      <w:r>
        <w:rPr>
          <w:rFonts w:ascii="Times New Roman" w:hAnsi="Times New Roman"/>
          <w:sz w:val="24"/>
          <w:szCs w:val="24"/>
        </w:rPr>
        <w:t xml:space="preserve">that the Executive Committee`s </w:t>
      </w:r>
      <w:r w:rsidR="00D23646">
        <w:rPr>
          <w:rFonts w:ascii="Times New Roman" w:hAnsi="Times New Roman"/>
          <w:sz w:val="24"/>
          <w:szCs w:val="24"/>
        </w:rPr>
        <w:t xml:space="preserve">original </w:t>
      </w:r>
      <w:r>
        <w:rPr>
          <w:rFonts w:ascii="Times New Roman" w:hAnsi="Times New Roman"/>
          <w:sz w:val="24"/>
          <w:szCs w:val="24"/>
        </w:rPr>
        <w:t xml:space="preserve">decision </w:t>
      </w:r>
      <w:r w:rsidR="00D23646">
        <w:rPr>
          <w:rFonts w:ascii="Times New Roman" w:hAnsi="Times New Roman"/>
          <w:sz w:val="24"/>
          <w:szCs w:val="24"/>
        </w:rPr>
        <w:t xml:space="preserve">to remove Bouckaert from office </w:t>
      </w:r>
      <w:r>
        <w:rPr>
          <w:rFonts w:ascii="Times New Roman" w:hAnsi="Times New Roman"/>
          <w:sz w:val="24"/>
          <w:szCs w:val="24"/>
        </w:rPr>
        <w:t xml:space="preserve">had triggered this application </w:t>
      </w:r>
      <w:r w:rsidR="00D23646">
        <w:rPr>
          <w:rFonts w:ascii="Times New Roman" w:hAnsi="Times New Roman"/>
          <w:sz w:val="24"/>
          <w:szCs w:val="24"/>
        </w:rPr>
        <w:t xml:space="preserve">which sought the court`s intervention to declare such action invalid. The application was predicated on a number of grounds which were </w:t>
      </w:r>
      <w:r w:rsidR="00342C64">
        <w:rPr>
          <w:rFonts w:ascii="Times New Roman" w:hAnsi="Times New Roman"/>
          <w:sz w:val="24"/>
          <w:szCs w:val="24"/>
        </w:rPr>
        <w:t xml:space="preserve"> met with spirited defence justifying the action taken by the Executive Committee. </w:t>
      </w:r>
      <w:r w:rsidR="00D23646">
        <w:rPr>
          <w:rFonts w:ascii="Times New Roman" w:hAnsi="Times New Roman"/>
          <w:sz w:val="24"/>
          <w:szCs w:val="24"/>
        </w:rPr>
        <w:t>The ratification</w:t>
      </w:r>
      <w:r w:rsidR="00342C64">
        <w:rPr>
          <w:rFonts w:ascii="Times New Roman" w:hAnsi="Times New Roman"/>
          <w:sz w:val="24"/>
          <w:szCs w:val="24"/>
        </w:rPr>
        <w:t xml:space="preserve"> taken by the SVC at its AGM will not </w:t>
      </w:r>
      <w:r w:rsidR="00D23646">
        <w:rPr>
          <w:rFonts w:ascii="Times New Roman" w:hAnsi="Times New Roman"/>
          <w:sz w:val="24"/>
          <w:szCs w:val="24"/>
        </w:rPr>
        <w:t xml:space="preserve">as noted, reconcile these positions. Even </w:t>
      </w:r>
      <w:r w:rsidR="00834DF9">
        <w:rPr>
          <w:rFonts w:ascii="Times New Roman" w:hAnsi="Times New Roman"/>
          <w:sz w:val="24"/>
          <w:szCs w:val="24"/>
        </w:rPr>
        <w:t>m</w:t>
      </w:r>
      <w:r w:rsidR="00D23646">
        <w:rPr>
          <w:rFonts w:ascii="Times New Roman" w:hAnsi="Times New Roman"/>
          <w:sz w:val="24"/>
          <w:szCs w:val="24"/>
        </w:rPr>
        <w:t xml:space="preserve">oreso, it will not </w:t>
      </w:r>
      <w:r w:rsidR="00342C64">
        <w:rPr>
          <w:rFonts w:ascii="Times New Roman" w:hAnsi="Times New Roman"/>
          <w:sz w:val="24"/>
          <w:szCs w:val="24"/>
        </w:rPr>
        <w:t>only introduce a third dimension to the dispute but actually cloud the original positions taken by the parties.</w:t>
      </w:r>
    </w:p>
    <w:p w14:paraId="12682DA7" w14:textId="027919F1" w:rsidR="00342C64" w:rsidRDefault="00342C64" w:rsidP="00673375">
      <w:pPr>
        <w:spacing w:line="360" w:lineRule="auto"/>
        <w:jc w:val="both"/>
        <w:rPr>
          <w:rFonts w:ascii="Times New Roman" w:hAnsi="Times New Roman"/>
          <w:bCs/>
          <w:sz w:val="24"/>
          <w:szCs w:val="24"/>
        </w:rPr>
      </w:pPr>
      <w:r>
        <w:rPr>
          <w:rFonts w:ascii="Times New Roman" w:hAnsi="Times New Roman"/>
          <w:sz w:val="24"/>
          <w:szCs w:val="24"/>
        </w:rPr>
        <w:t>[</w:t>
      </w:r>
      <w:r w:rsidR="00AE2CE3">
        <w:rPr>
          <w:rFonts w:ascii="Times New Roman" w:hAnsi="Times New Roman"/>
          <w:sz w:val="24"/>
          <w:szCs w:val="24"/>
        </w:rPr>
        <w:t>22</w:t>
      </w:r>
      <w:r>
        <w:rPr>
          <w:rFonts w:ascii="Times New Roman" w:hAnsi="Times New Roman"/>
          <w:sz w:val="24"/>
          <w:szCs w:val="24"/>
        </w:rPr>
        <w:t xml:space="preserve">] </w:t>
      </w:r>
      <w:r w:rsidR="005444DC">
        <w:rPr>
          <w:rFonts w:ascii="Times New Roman" w:hAnsi="Times New Roman"/>
          <w:sz w:val="24"/>
          <w:szCs w:val="24"/>
        </w:rPr>
        <w:t xml:space="preserve">Mr. </w:t>
      </w:r>
      <w:r w:rsidR="005444DC" w:rsidRPr="00216B10">
        <w:rPr>
          <w:rFonts w:ascii="Times New Roman" w:hAnsi="Times New Roman"/>
          <w:i/>
          <w:iCs/>
          <w:sz w:val="24"/>
          <w:szCs w:val="24"/>
        </w:rPr>
        <w:t>Tivadar</w:t>
      </w:r>
      <w:r>
        <w:rPr>
          <w:rFonts w:ascii="Times New Roman" w:hAnsi="Times New Roman"/>
          <w:sz w:val="24"/>
          <w:szCs w:val="24"/>
        </w:rPr>
        <w:t xml:space="preserve"> referred me to the</w:t>
      </w:r>
      <w:r w:rsidR="005444DC">
        <w:rPr>
          <w:rFonts w:ascii="Times New Roman" w:hAnsi="Times New Roman"/>
          <w:sz w:val="24"/>
          <w:szCs w:val="24"/>
        </w:rPr>
        <w:t xml:space="preserve"> </w:t>
      </w:r>
      <w:r w:rsidR="005444DC" w:rsidRPr="005444DC">
        <w:rPr>
          <w:rFonts w:ascii="Times New Roman" w:hAnsi="Times New Roman"/>
          <w:bCs/>
          <w:i/>
          <w:iCs/>
          <w:sz w:val="24"/>
          <w:szCs w:val="24"/>
        </w:rPr>
        <w:t>Dominion Trading FZ-LLC v Victoria Foods (Pvt) Limited</w:t>
      </w:r>
      <w:r w:rsidR="005444DC">
        <w:rPr>
          <w:rFonts w:ascii="Times New Roman" w:hAnsi="Times New Roman"/>
          <w:bCs/>
          <w:i/>
          <w:iCs/>
          <w:sz w:val="24"/>
          <w:szCs w:val="24"/>
        </w:rPr>
        <w:t xml:space="preserve"> </w:t>
      </w:r>
      <w:r w:rsidR="00B40934">
        <w:rPr>
          <w:rFonts w:ascii="Times New Roman" w:hAnsi="Times New Roman"/>
          <w:bCs/>
          <w:i/>
          <w:iCs/>
          <w:sz w:val="24"/>
          <w:szCs w:val="24"/>
        </w:rPr>
        <w:t>(supra</w:t>
      </w:r>
      <w:r w:rsidR="00B51FF5">
        <w:rPr>
          <w:rFonts w:ascii="Times New Roman" w:hAnsi="Times New Roman"/>
          <w:bCs/>
          <w:i/>
          <w:iCs/>
          <w:sz w:val="24"/>
          <w:szCs w:val="24"/>
        </w:rPr>
        <w:t>),</w:t>
      </w:r>
      <w:r w:rsidR="00B51FF5" w:rsidRPr="00F7484B">
        <w:rPr>
          <w:rFonts w:ascii="Times New Roman" w:hAnsi="Times New Roman"/>
          <w:bCs/>
          <w:sz w:val="24"/>
          <w:szCs w:val="24"/>
        </w:rPr>
        <w:t xml:space="preserve"> decision</w:t>
      </w:r>
      <w:r w:rsidR="005444DC" w:rsidRPr="00F7484B">
        <w:rPr>
          <w:rFonts w:ascii="Times New Roman" w:hAnsi="Times New Roman"/>
          <w:bCs/>
          <w:sz w:val="24"/>
          <w:szCs w:val="24"/>
        </w:rPr>
        <w:t xml:space="preserve"> where MATHONSI J </w:t>
      </w:r>
      <w:r w:rsidR="00F7484B" w:rsidRPr="00F7484B">
        <w:rPr>
          <w:rFonts w:ascii="Times New Roman" w:hAnsi="Times New Roman"/>
          <w:bCs/>
          <w:sz w:val="24"/>
          <w:szCs w:val="24"/>
        </w:rPr>
        <w:t>(as</w:t>
      </w:r>
      <w:r w:rsidR="005444DC" w:rsidRPr="00F7484B">
        <w:rPr>
          <w:rFonts w:ascii="Times New Roman" w:hAnsi="Times New Roman"/>
          <w:bCs/>
          <w:sz w:val="24"/>
          <w:szCs w:val="24"/>
        </w:rPr>
        <w:t xml:space="preserve"> he then </w:t>
      </w:r>
      <w:r w:rsidR="00F7484B" w:rsidRPr="00F7484B">
        <w:rPr>
          <w:rFonts w:ascii="Times New Roman" w:hAnsi="Times New Roman"/>
          <w:bCs/>
          <w:sz w:val="24"/>
          <w:szCs w:val="24"/>
        </w:rPr>
        <w:t>was)</w:t>
      </w:r>
      <w:r w:rsidR="005444DC" w:rsidRPr="00F7484B">
        <w:rPr>
          <w:rFonts w:ascii="Times New Roman" w:hAnsi="Times New Roman"/>
          <w:bCs/>
          <w:sz w:val="24"/>
          <w:szCs w:val="24"/>
        </w:rPr>
        <w:t xml:space="preserve"> granted leave for the filing of a set of additional affidavits after closure of </w:t>
      </w:r>
      <w:r w:rsidR="00F7484B" w:rsidRPr="00F7484B">
        <w:rPr>
          <w:rFonts w:ascii="Times New Roman" w:hAnsi="Times New Roman"/>
          <w:bCs/>
          <w:sz w:val="24"/>
          <w:szCs w:val="24"/>
        </w:rPr>
        <w:t>pleadings.</w:t>
      </w:r>
      <w:r w:rsidR="00F7484B">
        <w:rPr>
          <w:rFonts w:ascii="Times New Roman" w:hAnsi="Times New Roman"/>
          <w:bCs/>
          <w:sz w:val="24"/>
          <w:szCs w:val="24"/>
        </w:rPr>
        <w:t xml:space="preserve"> In particular, </w:t>
      </w:r>
      <w:r w:rsidR="00D23646">
        <w:rPr>
          <w:rFonts w:ascii="Times New Roman" w:hAnsi="Times New Roman"/>
          <w:bCs/>
          <w:sz w:val="24"/>
          <w:szCs w:val="24"/>
        </w:rPr>
        <w:t xml:space="preserve">counsel </w:t>
      </w:r>
      <w:r w:rsidR="00F7484B">
        <w:rPr>
          <w:rFonts w:ascii="Times New Roman" w:hAnsi="Times New Roman"/>
          <w:bCs/>
          <w:sz w:val="24"/>
          <w:szCs w:val="24"/>
        </w:rPr>
        <w:t>argued that the court</w:t>
      </w:r>
      <w:r w:rsidR="00D23646">
        <w:rPr>
          <w:rFonts w:ascii="Times New Roman" w:hAnsi="Times New Roman"/>
          <w:bCs/>
          <w:sz w:val="24"/>
          <w:szCs w:val="24"/>
        </w:rPr>
        <w:t xml:space="preserve"> in </w:t>
      </w:r>
      <w:r w:rsidR="00D23646" w:rsidRPr="00D23646">
        <w:rPr>
          <w:rFonts w:ascii="Times New Roman" w:hAnsi="Times New Roman"/>
          <w:bCs/>
          <w:i/>
          <w:iCs/>
          <w:sz w:val="24"/>
          <w:szCs w:val="24"/>
        </w:rPr>
        <w:t xml:space="preserve">Victoria </w:t>
      </w:r>
      <w:r w:rsidR="00216B10" w:rsidRPr="00D23646">
        <w:rPr>
          <w:rFonts w:ascii="Times New Roman" w:hAnsi="Times New Roman"/>
          <w:bCs/>
          <w:i/>
          <w:iCs/>
          <w:sz w:val="24"/>
          <w:szCs w:val="24"/>
        </w:rPr>
        <w:t>Foods</w:t>
      </w:r>
      <w:r w:rsidR="00216B10">
        <w:rPr>
          <w:rFonts w:ascii="Times New Roman" w:hAnsi="Times New Roman"/>
          <w:bCs/>
          <w:sz w:val="24"/>
          <w:szCs w:val="24"/>
        </w:rPr>
        <w:t xml:space="preserve"> </w:t>
      </w:r>
      <w:r w:rsidR="00F7484B">
        <w:rPr>
          <w:rFonts w:ascii="Times New Roman" w:hAnsi="Times New Roman"/>
          <w:bCs/>
          <w:sz w:val="24"/>
          <w:szCs w:val="24"/>
        </w:rPr>
        <w:t>recognise</w:t>
      </w:r>
      <w:r w:rsidR="00834DF9">
        <w:rPr>
          <w:rFonts w:ascii="Times New Roman" w:hAnsi="Times New Roman"/>
          <w:bCs/>
          <w:sz w:val="24"/>
          <w:szCs w:val="24"/>
        </w:rPr>
        <w:t>d</w:t>
      </w:r>
      <w:r w:rsidR="00F7484B">
        <w:rPr>
          <w:rFonts w:ascii="Times New Roman" w:hAnsi="Times New Roman"/>
          <w:bCs/>
          <w:sz w:val="24"/>
          <w:szCs w:val="24"/>
        </w:rPr>
        <w:t xml:space="preserve"> the developments at respondent company </w:t>
      </w:r>
      <w:r w:rsidR="00834DF9">
        <w:rPr>
          <w:rFonts w:ascii="Times New Roman" w:hAnsi="Times New Roman"/>
          <w:bCs/>
          <w:sz w:val="24"/>
          <w:szCs w:val="24"/>
        </w:rPr>
        <w:t>as being r</w:t>
      </w:r>
      <w:r w:rsidR="00F7484B">
        <w:rPr>
          <w:rFonts w:ascii="Times New Roman" w:hAnsi="Times New Roman"/>
          <w:bCs/>
          <w:sz w:val="24"/>
          <w:szCs w:val="24"/>
        </w:rPr>
        <w:t xml:space="preserve">elevant to the disposal of the </w:t>
      </w:r>
      <w:r w:rsidR="00216B10">
        <w:rPr>
          <w:rFonts w:ascii="Times New Roman" w:hAnsi="Times New Roman"/>
          <w:bCs/>
          <w:sz w:val="24"/>
          <w:szCs w:val="24"/>
        </w:rPr>
        <w:t xml:space="preserve">dispute. </w:t>
      </w:r>
      <w:r w:rsidR="00834DF9">
        <w:rPr>
          <w:rFonts w:ascii="Times New Roman" w:hAnsi="Times New Roman"/>
          <w:bCs/>
          <w:sz w:val="24"/>
          <w:szCs w:val="24"/>
        </w:rPr>
        <w:t>Likewise, the</w:t>
      </w:r>
      <w:r w:rsidR="00216B10">
        <w:rPr>
          <w:rFonts w:ascii="Times New Roman" w:hAnsi="Times New Roman"/>
          <w:bCs/>
          <w:sz w:val="24"/>
          <w:szCs w:val="24"/>
        </w:rPr>
        <w:t xml:space="preserve"> SVC had to get on take steps necessary for the furtherance of its very grave and noble objects after the</w:t>
      </w:r>
      <w:r w:rsidR="00834DF9">
        <w:rPr>
          <w:rFonts w:ascii="Times New Roman" w:hAnsi="Times New Roman"/>
          <w:bCs/>
          <w:sz w:val="24"/>
          <w:szCs w:val="24"/>
        </w:rPr>
        <w:t>ir</w:t>
      </w:r>
      <w:r w:rsidR="00216B10">
        <w:rPr>
          <w:rFonts w:ascii="Times New Roman" w:hAnsi="Times New Roman"/>
          <w:bCs/>
          <w:sz w:val="24"/>
          <w:szCs w:val="24"/>
        </w:rPr>
        <w:t xml:space="preserve"> fall out with Bouckaert.Having carefully </w:t>
      </w:r>
      <w:r w:rsidR="003A59EA">
        <w:rPr>
          <w:rFonts w:ascii="Times New Roman" w:hAnsi="Times New Roman"/>
          <w:bCs/>
          <w:sz w:val="24"/>
          <w:szCs w:val="24"/>
        </w:rPr>
        <w:t>considered both</w:t>
      </w:r>
      <w:r w:rsidR="00216B10">
        <w:rPr>
          <w:rFonts w:ascii="Times New Roman" w:hAnsi="Times New Roman"/>
          <w:bCs/>
          <w:sz w:val="24"/>
          <w:szCs w:val="24"/>
        </w:rPr>
        <w:t xml:space="preserve"> the circumstances of this matter on one hand, and the </w:t>
      </w:r>
      <w:r w:rsidR="00216B10" w:rsidRPr="00216B10">
        <w:rPr>
          <w:rFonts w:ascii="Times New Roman" w:hAnsi="Times New Roman"/>
          <w:bCs/>
          <w:i/>
          <w:iCs/>
          <w:sz w:val="24"/>
          <w:szCs w:val="24"/>
        </w:rPr>
        <w:t>Victoria</w:t>
      </w:r>
      <w:r w:rsidR="00F7484B" w:rsidRPr="00216B10">
        <w:rPr>
          <w:rFonts w:ascii="Times New Roman" w:hAnsi="Times New Roman"/>
          <w:bCs/>
          <w:i/>
          <w:iCs/>
          <w:sz w:val="24"/>
          <w:szCs w:val="24"/>
        </w:rPr>
        <w:t xml:space="preserve"> Foods</w:t>
      </w:r>
      <w:r w:rsidR="00F7484B">
        <w:rPr>
          <w:rFonts w:ascii="Times New Roman" w:hAnsi="Times New Roman"/>
          <w:bCs/>
          <w:sz w:val="24"/>
          <w:szCs w:val="24"/>
        </w:rPr>
        <w:t xml:space="preserve"> case </w:t>
      </w:r>
      <w:r w:rsidR="00216B10">
        <w:rPr>
          <w:rFonts w:ascii="Times New Roman" w:hAnsi="Times New Roman"/>
          <w:bCs/>
          <w:sz w:val="24"/>
          <w:szCs w:val="24"/>
        </w:rPr>
        <w:t xml:space="preserve">on the other, I am not persuaded that the latter decision can </w:t>
      </w:r>
      <w:r w:rsidR="00F7484B">
        <w:rPr>
          <w:rFonts w:ascii="Times New Roman" w:hAnsi="Times New Roman"/>
          <w:bCs/>
          <w:sz w:val="24"/>
          <w:szCs w:val="24"/>
        </w:rPr>
        <w:t>avail the present respondents</w:t>
      </w:r>
      <w:r w:rsidR="00216B10">
        <w:rPr>
          <w:rFonts w:ascii="Times New Roman" w:hAnsi="Times New Roman"/>
          <w:bCs/>
          <w:sz w:val="24"/>
          <w:szCs w:val="24"/>
        </w:rPr>
        <w:t>` arguments. I say so for</w:t>
      </w:r>
      <w:r w:rsidR="00F7484B">
        <w:rPr>
          <w:rFonts w:ascii="Times New Roman" w:hAnsi="Times New Roman"/>
          <w:bCs/>
          <w:sz w:val="24"/>
          <w:szCs w:val="24"/>
        </w:rPr>
        <w:t xml:space="preserve"> the following </w:t>
      </w:r>
      <w:r w:rsidR="00216B10">
        <w:rPr>
          <w:rFonts w:ascii="Times New Roman" w:hAnsi="Times New Roman"/>
          <w:bCs/>
          <w:sz w:val="24"/>
          <w:szCs w:val="24"/>
        </w:rPr>
        <w:t>reasons; -</w:t>
      </w:r>
    </w:p>
    <w:p w14:paraId="28AD98B4" w14:textId="6333C90A" w:rsidR="00F7484B" w:rsidRDefault="00F7484B" w:rsidP="00673375">
      <w:pPr>
        <w:spacing w:line="360" w:lineRule="auto"/>
        <w:jc w:val="both"/>
        <w:rPr>
          <w:rFonts w:ascii="Times New Roman" w:hAnsi="Times New Roman"/>
          <w:bCs/>
          <w:sz w:val="24"/>
          <w:szCs w:val="24"/>
        </w:rPr>
      </w:pPr>
      <w:r>
        <w:rPr>
          <w:rFonts w:ascii="Times New Roman" w:hAnsi="Times New Roman"/>
          <w:bCs/>
          <w:sz w:val="24"/>
          <w:szCs w:val="24"/>
        </w:rPr>
        <w:t xml:space="preserve">[ </w:t>
      </w:r>
      <w:r w:rsidR="009E17B8">
        <w:rPr>
          <w:rFonts w:ascii="Times New Roman" w:hAnsi="Times New Roman"/>
          <w:bCs/>
          <w:sz w:val="24"/>
          <w:szCs w:val="24"/>
        </w:rPr>
        <w:t>2</w:t>
      </w:r>
      <w:r w:rsidR="00AE2CE3">
        <w:rPr>
          <w:rFonts w:ascii="Times New Roman" w:hAnsi="Times New Roman"/>
          <w:bCs/>
          <w:sz w:val="24"/>
          <w:szCs w:val="24"/>
        </w:rPr>
        <w:t>3</w:t>
      </w:r>
      <w:r>
        <w:rPr>
          <w:rFonts w:ascii="Times New Roman" w:hAnsi="Times New Roman"/>
          <w:bCs/>
          <w:sz w:val="24"/>
          <w:szCs w:val="24"/>
        </w:rPr>
        <w:t xml:space="preserve">] In </w:t>
      </w:r>
      <w:r w:rsidRPr="00B40934">
        <w:rPr>
          <w:rFonts w:ascii="Times New Roman" w:hAnsi="Times New Roman"/>
          <w:bCs/>
          <w:i/>
          <w:iCs/>
          <w:sz w:val="24"/>
          <w:szCs w:val="24"/>
        </w:rPr>
        <w:t>Victoria Foods</w:t>
      </w:r>
      <w:r>
        <w:rPr>
          <w:rFonts w:ascii="Times New Roman" w:hAnsi="Times New Roman"/>
          <w:bCs/>
          <w:sz w:val="24"/>
          <w:szCs w:val="24"/>
        </w:rPr>
        <w:t xml:space="preserve">, the court had to rule on the solvency of a fairly large corporate. In that regard, it became necessary for the court to delve into the respondent`s financial affairs, a process that involved </w:t>
      </w:r>
      <w:r w:rsidR="00216B10">
        <w:rPr>
          <w:rFonts w:ascii="Times New Roman" w:hAnsi="Times New Roman"/>
          <w:bCs/>
          <w:sz w:val="24"/>
          <w:szCs w:val="24"/>
        </w:rPr>
        <w:t xml:space="preserve">a fairly intense </w:t>
      </w:r>
      <w:r>
        <w:rPr>
          <w:rFonts w:ascii="Times New Roman" w:hAnsi="Times New Roman"/>
          <w:bCs/>
          <w:sz w:val="24"/>
          <w:szCs w:val="24"/>
        </w:rPr>
        <w:t xml:space="preserve">reconciliation of </w:t>
      </w:r>
      <w:r w:rsidR="00216B10">
        <w:rPr>
          <w:rFonts w:ascii="Times New Roman" w:hAnsi="Times New Roman"/>
          <w:bCs/>
          <w:sz w:val="24"/>
          <w:szCs w:val="24"/>
        </w:rPr>
        <w:t xml:space="preserve">the trading </w:t>
      </w:r>
      <w:r>
        <w:rPr>
          <w:rFonts w:ascii="Times New Roman" w:hAnsi="Times New Roman"/>
          <w:bCs/>
          <w:sz w:val="24"/>
          <w:szCs w:val="24"/>
        </w:rPr>
        <w:t xml:space="preserve">figures. The court </w:t>
      </w:r>
      <w:r w:rsidR="009E17B8">
        <w:rPr>
          <w:rFonts w:ascii="Times New Roman" w:hAnsi="Times New Roman"/>
          <w:bCs/>
          <w:sz w:val="24"/>
          <w:szCs w:val="24"/>
        </w:rPr>
        <w:t>found, in</w:t>
      </w:r>
      <w:r w:rsidR="00216B10">
        <w:rPr>
          <w:rFonts w:ascii="Times New Roman" w:hAnsi="Times New Roman"/>
          <w:bCs/>
          <w:sz w:val="24"/>
          <w:szCs w:val="24"/>
        </w:rPr>
        <w:t xml:space="preserve"> that regard, that</w:t>
      </w:r>
      <w:r>
        <w:rPr>
          <w:rFonts w:ascii="Times New Roman" w:hAnsi="Times New Roman"/>
          <w:bCs/>
          <w:sz w:val="24"/>
          <w:szCs w:val="24"/>
        </w:rPr>
        <w:t xml:space="preserve"> </w:t>
      </w:r>
      <w:r w:rsidR="00216B10">
        <w:rPr>
          <w:rFonts w:ascii="Times New Roman" w:hAnsi="Times New Roman"/>
          <w:bCs/>
          <w:sz w:val="24"/>
          <w:szCs w:val="24"/>
        </w:rPr>
        <w:t xml:space="preserve">the </w:t>
      </w:r>
      <w:r>
        <w:rPr>
          <w:rFonts w:ascii="Times New Roman" w:hAnsi="Times New Roman"/>
          <w:bCs/>
          <w:sz w:val="24"/>
          <w:szCs w:val="24"/>
        </w:rPr>
        <w:t xml:space="preserve">additional affidavits </w:t>
      </w:r>
      <w:r w:rsidR="00216B10">
        <w:rPr>
          <w:rFonts w:ascii="Times New Roman" w:hAnsi="Times New Roman"/>
          <w:bCs/>
          <w:sz w:val="24"/>
          <w:szCs w:val="24"/>
        </w:rPr>
        <w:t xml:space="preserve">which </w:t>
      </w:r>
      <w:r w:rsidR="009E17B8">
        <w:rPr>
          <w:rFonts w:ascii="Times New Roman" w:hAnsi="Times New Roman"/>
          <w:bCs/>
          <w:sz w:val="24"/>
          <w:szCs w:val="24"/>
        </w:rPr>
        <w:t>respondent</w:t>
      </w:r>
      <w:r w:rsidR="00216B10">
        <w:rPr>
          <w:rFonts w:ascii="Times New Roman" w:hAnsi="Times New Roman"/>
          <w:bCs/>
          <w:sz w:val="24"/>
          <w:szCs w:val="24"/>
        </w:rPr>
        <w:t xml:space="preserve"> </w:t>
      </w:r>
      <w:r>
        <w:rPr>
          <w:rFonts w:ascii="Times New Roman" w:hAnsi="Times New Roman"/>
          <w:bCs/>
          <w:sz w:val="24"/>
          <w:szCs w:val="24"/>
        </w:rPr>
        <w:t xml:space="preserve">sought to </w:t>
      </w:r>
      <w:r w:rsidR="009E17B8">
        <w:rPr>
          <w:rFonts w:ascii="Times New Roman" w:hAnsi="Times New Roman"/>
          <w:bCs/>
          <w:sz w:val="24"/>
          <w:szCs w:val="24"/>
        </w:rPr>
        <w:t>introduce were relevant to the exercise at hand.</w:t>
      </w:r>
      <w:r w:rsidR="00B40934">
        <w:rPr>
          <w:rFonts w:ascii="Times New Roman" w:hAnsi="Times New Roman"/>
          <w:bCs/>
          <w:sz w:val="24"/>
          <w:szCs w:val="24"/>
        </w:rPr>
        <w:t xml:space="preserve"> Secondly, a</w:t>
      </w:r>
      <w:r>
        <w:rPr>
          <w:rFonts w:ascii="Times New Roman" w:hAnsi="Times New Roman"/>
          <w:bCs/>
          <w:sz w:val="24"/>
          <w:szCs w:val="24"/>
        </w:rPr>
        <w:t xml:space="preserve"> closer reading of the </w:t>
      </w:r>
      <w:r w:rsidRPr="00B40934">
        <w:rPr>
          <w:rFonts w:ascii="Times New Roman" w:hAnsi="Times New Roman"/>
          <w:bCs/>
          <w:i/>
          <w:iCs/>
          <w:sz w:val="24"/>
          <w:szCs w:val="24"/>
        </w:rPr>
        <w:t>Victoria Foods</w:t>
      </w:r>
      <w:r>
        <w:rPr>
          <w:rFonts w:ascii="Times New Roman" w:hAnsi="Times New Roman"/>
          <w:bCs/>
          <w:sz w:val="24"/>
          <w:szCs w:val="24"/>
        </w:rPr>
        <w:t xml:space="preserve"> case reveals </w:t>
      </w:r>
      <w:r w:rsidR="003A59EA">
        <w:rPr>
          <w:rFonts w:ascii="Times New Roman" w:hAnsi="Times New Roman"/>
          <w:bCs/>
          <w:sz w:val="24"/>
          <w:szCs w:val="24"/>
        </w:rPr>
        <w:t xml:space="preserve">a number </w:t>
      </w:r>
      <w:r w:rsidR="003A59EA">
        <w:rPr>
          <w:rFonts w:ascii="Times New Roman" w:hAnsi="Times New Roman"/>
          <w:bCs/>
          <w:sz w:val="24"/>
          <w:szCs w:val="24"/>
        </w:rPr>
        <w:lastRenderedPageBreak/>
        <w:t xml:space="preserve">of </w:t>
      </w:r>
      <w:r w:rsidR="00834DF9">
        <w:rPr>
          <w:rFonts w:ascii="Times New Roman" w:hAnsi="Times New Roman"/>
          <w:bCs/>
          <w:sz w:val="24"/>
          <w:szCs w:val="24"/>
        </w:rPr>
        <w:t>other discretionary</w:t>
      </w:r>
      <w:r>
        <w:rPr>
          <w:rFonts w:ascii="Times New Roman" w:hAnsi="Times New Roman"/>
          <w:bCs/>
          <w:sz w:val="24"/>
          <w:szCs w:val="24"/>
        </w:rPr>
        <w:t xml:space="preserve"> considerations </w:t>
      </w:r>
      <w:r w:rsidR="00B40934">
        <w:rPr>
          <w:rFonts w:ascii="Times New Roman" w:hAnsi="Times New Roman"/>
          <w:bCs/>
          <w:sz w:val="24"/>
          <w:szCs w:val="24"/>
        </w:rPr>
        <w:t>peculiar</w:t>
      </w:r>
      <w:r>
        <w:rPr>
          <w:rFonts w:ascii="Times New Roman" w:hAnsi="Times New Roman"/>
          <w:bCs/>
          <w:sz w:val="24"/>
          <w:szCs w:val="24"/>
        </w:rPr>
        <w:t xml:space="preserve"> to that </w:t>
      </w:r>
      <w:r w:rsidR="00B40934">
        <w:rPr>
          <w:rFonts w:ascii="Times New Roman" w:hAnsi="Times New Roman"/>
          <w:bCs/>
          <w:sz w:val="24"/>
          <w:szCs w:val="24"/>
        </w:rPr>
        <w:t>matter</w:t>
      </w:r>
      <w:r w:rsidR="003A59EA">
        <w:rPr>
          <w:rFonts w:ascii="Times New Roman" w:hAnsi="Times New Roman"/>
          <w:bCs/>
          <w:sz w:val="24"/>
          <w:szCs w:val="24"/>
        </w:rPr>
        <w:t xml:space="preserve"> including an </w:t>
      </w:r>
      <w:r>
        <w:rPr>
          <w:rFonts w:ascii="Times New Roman" w:hAnsi="Times New Roman"/>
          <w:bCs/>
          <w:sz w:val="24"/>
          <w:szCs w:val="24"/>
        </w:rPr>
        <w:t xml:space="preserve">extraordinarily </w:t>
      </w:r>
      <w:r w:rsidR="00B40934">
        <w:rPr>
          <w:rFonts w:ascii="Times New Roman" w:hAnsi="Times New Roman"/>
          <w:bCs/>
          <w:sz w:val="24"/>
          <w:szCs w:val="24"/>
        </w:rPr>
        <w:t>lengthy opposing affidavit which cried out for further response.</w:t>
      </w:r>
      <w:r>
        <w:rPr>
          <w:rFonts w:ascii="Times New Roman" w:hAnsi="Times New Roman"/>
          <w:bCs/>
          <w:sz w:val="24"/>
          <w:szCs w:val="24"/>
        </w:rPr>
        <w:t xml:space="preserve"> </w:t>
      </w:r>
    </w:p>
    <w:p w14:paraId="4DE53DE5" w14:textId="5F9F2E67" w:rsidR="00B40934" w:rsidRDefault="00B40934" w:rsidP="00673375">
      <w:pPr>
        <w:spacing w:line="360" w:lineRule="auto"/>
        <w:jc w:val="both"/>
        <w:rPr>
          <w:rFonts w:ascii="Times New Roman" w:hAnsi="Times New Roman"/>
          <w:bCs/>
          <w:sz w:val="24"/>
          <w:szCs w:val="24"/>
        </w:rPr>
      </w:pPr>
      <w:r>
        <w:rPr>
          <w:rFonts w:ascii="Times New Roman" w:hAnsi="Times New Roman"/>
          <w:bCs/>
          <w:sz w:val="24"/>
          <w:szCs w:val="24"/>
        </w:rPr>
        <w:t>[ 2</w:t>
      </w:r>
      <w:r w:rsidR="00AE2CE3">
        <w:rPr>
          <w:rFonts w:ascii="Times New Roman" w:hAnsi="Times New Roman"/>
          <w:bCs/>
          <w:sz w:val="24"/>
          <w:szCs w:val="24"/>
        </w:rPr>
        <w:t>4</w:t>
      </w:r>
      <w:r>
        <w:rPr>
          <w:rFonts w:ascii="Times New Roman" w:hAnsi="Times New Roman"/>
          <w:bCs/>
          <w:sz w:val="24"/>
          <w:szCs w:val="24"/>
        </w:rPr>
        <w:t>] Thirdly and whilst on this point, a quick survey of the cases in which an additional affidavit was allowed or refused will confirm the self-same point that each matter`s circumstances must influence the court`s decision.</w:t>
      </w:r>
      <w:r>
        <w:rPr>
          <w:rStyle w:val="FootnoteReference"/>
          <w:rFonts w:ascii="Times New Roman" w:hAnsi="Times New Roman"/>
          <w:bCs/>
          <w:sz w:val="24"/>
          <w:szCs w:val="24"/>
        </w:rPr>
        <w:footnoteReference w:id="4"/>
      </w:r>
    </w:p>
    <w:p w14:paraId="6789D234" w14:textId="15DA142C" w:rsidR="00B40934" w:rsidRDefault="00B40934" w:rsidP="00673375">
      <w:pPr>
        <w:spacing w:line="360" w:lineRule="auto"/>
        <w:jc w:val="both"/>
        <w:rPr>
          <w:rFonts w:ascii="Times New Roman" w:hAnsi="Times New Roman"/>
          <w:bCs/>
          <w:sz w:val="24"/>
          <w:szCs w:val="24"/>
        </w:rPr>
      </w:pPr>
      <w:r>
        <w:rPr>
          <w:rFonts w:ascii="Times New Roman" w:hAnsi="Times New Roman"/>
          <w:bCs/>
          <w:sz w:val="24"/>
          <w:szCs w:val="24"/>
        </w:rPr>
        <w:t xml:space="preserve">[ </w:t>
      </w:r>
      <w:r w:rsidR="00B51FF5">
        <w:rPr>
          <w:rFonts w:ascii="Times New Roman" w:hAnsi="Times New Roman"/>
          <w:bCs/>
          <w:sz w:val="24"/>
          <w:szCs w:val="24"/>
        </w:rPr>
        <w:t>2</w:t>
      </w:r>
      <w:r w:rsidR="00AE2CE3">
        <w:rPr>
          <w:rFonts w:ascii="Times New Roman" w:hAnsi="Times New Roman"/>
          <w:bCs/>
          <w:sz w:val="24"/>
          <w:szCs w:val="24"/>
        </w:rPr>
        <w:t>5</w:t>
      </w:r>
      <w:r w:rsidR="00B51FF5">
        <w:rPr>
          <w:rFonts w:ascii="Times New Roman" w:hAnsi="Times New Roman"/>
          <w:bCs/>
          <w:sz w:val="24"/>
          <w:szCs w:val="24"/>
        </w:rPr>
        <w:t>]</w:t>
      </w:r>
      <w:r>
        <w:rPr>
          <w:rFonts w:ascii="Times New Roman" w:hAnsi="Times New Roman"/>
          <w:bCs/>
          <w:sz w:val="24"/>
          <w:szCs w:val="24"/>
        </w:rPr>
        <w:t xml:space="preserve"> Then there is (a) the issue of </w:t>
      </w:r>
      <w:r w:rsidRPr="009E17B8">
        <w:rPr>
          <w:rFonts w:ascii="Times New Roman" w:hAnsi="Times New Roman"/>
          <w:bCs/>
          <w:i/>
          <w:iCs/>
          <w:sz w:val="24"/>
          <w:szCs w:val="24"/>
        </w:rPr>
        <w:t>res litigiosa</w:t>
      </w:r>
      <w:r>
        <w:rPr>
          <w:rFonts w:ascii="Times New Roman" w:hAnsi="Times New Roman"/>
          <w:bCs/>
          <w:sz w:val="24"/>
          <w:szCs w:val="24"/>
        </w:rPr>
        <w:t xml:space="preserve"> raised by </w:t>
      </w:r>
      <w:r w:rsidR="00B51FF5">
        <w:rPr>
          <w:rFonts w:ascii="Times New Roman" w:hAnsi="Times New Roman"/>
          <w:bCs/>
          <w:sz w:val="24"/>
          <w:szCs w:val="24"/>
        </w:rPr>
        <w:t>Mr.</w:t>
      </w:r>
      <w:r w:rsidR="00B51FF5" w:rsidRPr="00B40934">
        <w:rPr>
          <w:rFonts w:ascii="Times New Roman" w:hAnsi="Times New Roman"/>
          <w:bCs/>
          <w:i/>
          <w:iCs/>
          <w:sz w:val="24"/>
          <w:szCs w:val="24"/>
        </w:rPr>
        <w:t xml:space="preserve"> Moyo</w:t>
      </w:r>
      <w:r>
        <w:rPr>
          <w:rFonts w:ascii="Times New Roman" w:hAnsi="Times New Roman"/>
          <w:bCs/>
          <w:sz w:val="24"/>
          <w:szCs w:val="24"/>
        </w:rPr>
        <w:t xml:space="preserve"> on behalf of Bouckaert and (b) the </w:t>
      </w:r>
      <w:r w:rsidR="00B51FF5">
        <w:rPr>
          <w:rFonts w:ascii="Times New Roman" w:hAnsi="Times New Roman"/>
          <w:bCs/>
          <w:sz w:val="24"/>
          <w:szCs w:val="24"/>
        </w:rPr>
        <w:t>counter-argument that Bouckaert approached the court seeking to impugn the conduct of the Executive Committee and not the rest of the members of the SVC.</w:t>
      </w:r>
      <w:r>
        <w:rPr>
          <w:rFonts w:ascii="Times New Roman" w:hAnsi="Times New Roman"/>
          <w:bCs/>
          <w:sz w:val="24"/>
          <w:szCs w:val="24"/>
        </w:rPr>
        <w:t xml:space="preserve"> </w:t>
      </w:r>
      <w:r w:rsidR="00B51FF5">
        <w:rPr>
          <w:rFonts w:ascii="Times New Roman" w:hAnsi="Times New Roman"/>
          <w:bCs/>
          <w:sz w:val="24"/>
          <w:szCs w:val="24"/>
        </w:rPr>
        <w:t xml:space="preserve">My understanding of the arguments was that both counsel </w:t>
      </w:r>
      <w:r w:rsidR="003A59EA">
        <w:rPr>
          <w:rFonts w:ascii="Times New Roman" w:hAnsi="Times New Roman"/>
          <w:bCs/>
          <w:sz w:val="24"/>
          <w:szCs w:val="24"/>
        </w:rPr>
        <w:t xml:space="preserve">sought to ask </w:t>
      </w:r>
      <w:r w:rsidR="00B51FF5">
        <w:rPr>
          <w:rFonts w:ascii="Times New Roman" w:hAnsi="Times New Roman"/>
          <w:bCs/>
          <w:sz w:val="24"/>
          <w:szCs w:val="24"/>
        </w:rPr>
        <w:t>the court to make a definitive ruling on the holding of the AGM by the SVC and i</w:t>
      </w:r>
      <w:r w:rsidR="003A59EA">
        <w:rPr>
          <w:rFonts w:ascii="Times New Roman" w:hAnsi="Times New Roman"/>
          <w:bCs/>
          <w:sz w:val="24"/>
          <w:szCs w:val="24"/>
        </w:rPr>
        <w:t>n particular, its subsequent resolution</w:t>
      </w:r>
      <w:r w:rsidR="00B51FF5">
        <w:rPr>
          <w:rFonts w:ascii="Times New Roman" w:hAnsi="Times New Roman"/>
          <w:bCs/>
          <w:sz w:val="24"/>
          <w:szCs w:val="24"/>
        </w:rPr>
        <w:t xml:space="preserve"> regarding Bouckaert.</w:t>
      </w:r>
    </w:p>
    <w:p w14:paraId="0AE3FEB8" w14:textId="23B559C7" w:rsidR="00DB7145" w:rsidRDefault="00B51FF5" w:rsidP="00673375">
      <w:pPr>
        <w:spacing w:line="360" w:lineRule="auto"/>
        <w:jc w:val="both"/>
        <w:rPr>
          <w:rFonts w:ascii="Times New Roman" w:hAnsi="Times New Roman"/>
          <w:bCs/>
          <w:sz w:val="24"/>
          <w:szCs w:val="24"/>
        </w:rPr>
      </w:pPr>
      <w:r>
        <w:rPr>
          <w:rFonts w:ascii="Times New Roman" w:hAnsi="Times New Roman"/>
          <w:bCs/>
          <w:sz w:val="24"/>
          <w:szCs w:val="24"/>
        </w:rPr>
        <w:t>[ 2</w:t>
      </w:r>
      <w:r w:rsidR="00AE2CE3">
        <w:rPr>
          <w:rFonts w:ascii="Times New Roman" w:hAnsi="Times New Roman"/>
          <w:bCs/>
          <w:sz w:val="24"/>
          <w:szCs w:val="24"/>
        </w:rPr>
        <w:t>6</w:t>
      </w:r>
      <w:r>
        <w:rPr>
          <w:rFonts w:ascii="Times New Roman" w:hAnsi="Times New Roman"/>
          <w:bCs/>
          <w:sz w:val="24"/>
          <w:szCs w:val="24"/>
        </w:rPr>
        <w:t xml:space="preserve">] </w:t>
      </w:r>
      <w:r w:rsidR="00065A79">
        <w:rPr>
          <w:rFonts w:ascii="Times New Roman" w:hAnsi="Times New Roman"/>
          <w:bCs/>
          <w:sz w:val="24"/>
          <w:szCs w:val="24"/>
        </w:rPr>
        <w:t xml:space="preserve">I had recourse to the authorities cited in particular by </w:t>
      </w:r>
      <w:r w:rsidR="00A85C54">
        <w:rPr>
          <w:rFonts w:ascii="Times New Roman" w:hAnsi="Times New Roman"/>
          <w:bCs/>
          <w:sz w:val="24"/>
          <w:szCs w:val="24"/>
        </w:rPr>
        <w:t xml:space="preserve">Mr. </w:t>
      </w:r>
      <w:r w:rsidR="00A85C54" w:rsidRPr="00A85C54">
        <w:rPr>
          <w:rFonts w:ascii="Times New Roman" w:hAnsi="Times New Roman"/>
          <w:bCs/>
          <w:i/>
          <w:iCs/>
          <w:sz w:val="24"/>
          <w:szCs w:val="24"/>
        </w:rPr>
        <w:t>Moyo</w:t>
      </w:r>
      <w:r w:rsidR="00065A79" w:rsidRPr="00A85C54">
        <w:rPr>
          <w:rFonts w:ascii="Times New Roman" w:hAnsi="Times New Roman"/>
          <w:bCs/>
          <w:i/>
          <w:iCs/>
          <w:sz w:val="24"/>
          <w:szCs w:val="24"/>
        </w:rPr>
        <w:t xml:space="preserve"> </w:t>
      </w:r>
      <w:r w:rsidR="00065A79">
        <w:rPr>
          <w:rFonts w:ascii="Times New Roman" w:hAnsi="Times New Roman"/>
          <w:bCs/>
          <w:sz w:val="24"/>
          <w:szCs w:val="24"/>
        </w:rPr>
        <w:t xml:space="preserve">and comment as follows;-in </w:t>
      </w:r>
      <w:r w:rsidR="00065A79" w:rsidRPr="00A85C54">
        <w:rPr>
          <w:rFonts w:ascii="Times New Roman" w:hAnsi="Times New Roman"/>
          <w:bCs/>
          <w:i/>
          <w:iCs/>
          <w:sz w:val="24"/>
          <w:szCs w:val="24"/>
        </w:rPr>
        <w:t>Musoni v Jokonono &amp; Anor HH 54-10</w:t>
      </w:r>
      <w:r w:rsidR="00065A79">
        <w:rPr>
          <w:rFonts w:ascii="Times New Roman" w:hAnsi="Times New Roman"/>
          <w:bCs/>
          <w:sz w:val="24"/>
          <w:szCs w:val="24"/>
        </w:rPr>
        <w:t xml:space="preserve">,the court declined to admit a defence proffered after </w:t>
      </w:r>
      <w:r w:rsidR="00DB7145">
        <w:rPr>
          <w:rFonts w:ascii="Times New Roman" w:hAnsi="Times New Roman"/>
          <w:bCs/>
          <w:sz w:val="24"/>
          <w:szCs w:val="24"/>
        </w:rPr>
        <w:t xml:space="preserve">the period within which amendment of a plea could be effected had elapsed in terms of the rules. In the </w:t>
      </w:r>
      <w:r w:rsidR="00DB7145" w:rsidRPr="00A85C54">
        <w:rPr>
          <w:rFonts w:ascii="Times New Roman" w:hAnsi="Times New Roman"/>
          <w:bCs/>
          <w:i/>
          <w:iCs/>
          <w:sz w:val="24"/>
          <w:szCs w:val="24"/>
        </w:rPr>
        <w:t>Chikadaya v Chenga &amp; Or</w:t>
      </w:r>
      <w:r w:rsidR="00DB7145">
        <w:rPr>
          <w:rFonts w:ascii="Times New Roman" w:hAnsi="Times New Roman"/>
          <w:bCs/>
          <w:sz w:val="24"/>
          <w:szCs w:val="24"/>
        </w:rPr>
        <w:t>s HH 211-10</w:t>
      </w:r>
      <w:r w:rsidR="00A85C54">
        <w:rPr>
          <w:rFonts w:ascii="Times New Roman" w:hAnsi="Times New Roman"/>
          <w:bCs/>
          <w:sz w:val="24"/>
          <w:szCs w:val="24"/>
        </w:rPr>
        <w:t xml:space="preserve"> matter, the</w:t>
      </w:r>
      <w:r w:rsidR="00DB7145">
        <w:rPr>
          <w:rFonts w:ascii="Times New Roman" w:hAnsi="Times New Roman"/>
          <w:bCs/>
          <w:sz w:val="24"/>
          <w:szCs w:val="24"/>
        </w:rPr>
        <w:t xml:space="preserve"> </w:t>
      </w:r>
      <w:r w:rsidR="00A85C54">
        <w:rPr>
          <w:rFonts w:ascii="Times New Roman" w:hAnsi="Times New Roman"/>
          <w:bCs/>
          <w:sz w:val="24"/>
          <w:szCs w:val="24"/>
        </w:rPr>
        <w:t xml:space="preserve">court`s </w:t>
      </w:r>
      <w:r w:rsidR="00DB7145">
        <w:rPr>
          <w:rFonts w:ascii="Times New Roman" w:hAnsi="Times New Roman"/>
          <w:bCs/>
          <w:sz w:val="24"/>
          <w:szCs w:val="24"/>
        </w:rPr>
        <w:t>finding o</w:t>
      </w:r>
      <w:r w:rsidR="00A85C54">
        <w:rPr>
          <w:rFonts w:ascii="Times New Roman" w:hAnsi="Times New Roman"/>
          <w:bCs/>
          <w:sz w:val="24"/>
          <w:szCs w:val="24"/>
        </w:rPr>
        <w:t xml:space="preserve">n </w:t>
      </w:r>
      <w:r w:rsidR="00DB7145">
        <w:rPr>
          <w:rFonts w:ascii="Times New Roman" w:hAnsi="Times New Roman"/>
          <w:bCs/>
          <w:sz w:val="24"/>
          <w:szCs w:val="24"/>
        </w:rPr>
        <w:t xml:space="preserve">f </w:t>
      </w:r>
      <w:r w:rsidR="00DB7145" w:rsidRPr="00A85C54">
        <w:rPr>
          <w:rFonts w:ascii="Times New Roman" w:hAnsi="Times New Roman"/>
          <w:bCs/>
          <w:i/>
          <w:iCs/>
          <w:sz w:val="24"/>
          <w:szCs w:val="24"/>
        </w:rPr>
        <w:t>res litigiosa</w:t>
      </w:r>
      <w:r w:rsidR="00DB7145">
        <w:rPr>
          <w:rFonts w:ascii="Times New Roman" w:hAnsi="Times New Roman"/>
          <w:bCs/>
          <w:sz w:val="24"/>
          <w:szCs w:val="24"/>
        </w:rPr>
        <w:t>, was ancillary to the court`s basis for ruling in favour of plaintiff. And in</w:t>
      </w:r>
      <w:r w:rsidR="00DB7145" w:rsidRPr="00DB7145">
        <w:rPr>
          <w:rFonts w:ascii="Times New Roman" w:hAnsi="Times New Roman"/>
          <w:bCs/>
          <w:sz w:val="24"/>
          <w:szCs w:val="24"/>
        </w:rPr>
        <w:t xml:space="preserve"> </w:t>
      </w:r>
      <w:r w:rsidR="00DB7145" w:rsidRPr="00A85C54">
        <w:rPr>
          <w:rFonts w:ascii="Times New Roman" w:hAnsi="Times New Roman"/>
          <w:bCs/>
          <w:i/>
          <w:iCs/>
          <w:sz w:val="24"/>
          <w:szCs w:val="24"/>
        </w:rPr>
        <w:t>Anglican Church of the Province of Zimbabwe v Anglican Church of the Province of Central Africa &amp; An</w:t>
      </w:r>
      <w:r w:rsidR="00DB7145" w:rsidRPr="00DB7145">
        <w:rPr>
          <w:rFonts w:ascii="Times New Roman" w:hAnsi="Times New Roman"/>
          <w:bCs/>
          <w:sz w:val="24"/>
          <w:szCs w:val="24"/>
        </w:rPr>
        <w:t>or HH 451-12</w:t>
      </w:r>
      <w:r w:rsidR="00DB7145">
        <w:rPr>
          <w:rFonts w:ascii="Times New Roman" w:hAnsi="Times New Roman"/>
          <w:bCs/>
          <w:sz w:val="24"/>
          <w:szCs w:val="24"/>
        </w:rPr>
        <w:t>,the court was seized with an urgent application between factions feuding for control of church assets.</w:t>
      </w:r>
    </w:p>
    <w:p w14:paraId="73055028" w14:textId="553EFA21" w:rsidR="00DB7145" w:rsidRDefault="00DB7145" w:rsidP="00673375">
      <w:pPr>
        <w:spacing w:line="360" w:lineRule="auto"/>
        <w:jc w:val="both"/>
        <w:rPr>
          <w:rFonts w:ascii="Times New Roman" w:hAnsi="Times New Roman"/>
          <w:bCs/>
          <w:sz w:val="24"/>
          <w:szCs w:val="24"/>
        </w:rPr>
      </w:pPr>
      <w:r>
        <w:rPr>
          <w:rFonts w:ascii="Times New Roman" w:hAnsi="Times New Roman"/>
          <w:bCs/>
          <w:sz w:val="24"/>
          <w:szCs w:val="24"/>
        </w:rPr>
        <w:t>[27] My</w:t>
      </w:r>
      <w:r w:rsidR="00B51FF5">
        <w:rPr>
          <w:rFonts w:ascii="Times New Roman" w:hAnsi="Times New Roman"/>
          <w:bCs/>
          <w:sz w:val="24"/>
          <w:szCs w:val="24"/>
        </w:rPr>
        <w:t xml:space="preserve"> initial vi</w:t>
      </w:r>
      <w:r>
        <w:rPr>
          <w:rFonts w:ascii="Times New Roman" w:hAnsi="Times New Roman"/>
          <w:bCs/>
          <w:sz w:val="24"/>
          <w:szCs w:val="24"/>
        </w:rPr>
        <w:t>ew after considering the authorities is that a fuller inquiry would be desirable. The issue</w:t>
      </w:r>
      <w:r w:rsidR="00B51FF5">
        <w:rPr>
          <w:rFonts w:ascii="Times New Roman" w:hAnsi="Times New Roman"/>
          <w:bCs/>
          <w:sz w:val="24"/>
          <w:szCs w:val="24"/>
        </w:rPr>
        <w:t xml:space="preserve"> of the SVC`s AGM was not a dispute before the court. The holding of the AGM did not trigger a formal objection from Bouckaert in the form of an </w:t>
      </w:r>
      <w:r w:rsidR="00B025C7">
        <w:rPr>
          <w:rFonts w:ascii="Times New Roman" w:hAnsi="Times New Roman"/>
          <w:bCs/>
          <w:sz w:val="24"/>
          <w:szCs w:val="24"/>
        </w:rPr>
        <w:t xml:space="preserve">application. The issues regarding propriety or otherwise of this AGM were not shared between the parties on notice nor pleaded before the court. I will thus be reluctant to dispose of the issue, which carries significant implications on either party`s rights, on the basis of a legal point raised from the bar in response to a prayer for leave to file an additional </w:t>
      </w:r>
      <w:r w:rsidR="00A41A57">
        <w:rPr>
          <w:rFonts w:ascii="Times New Roman" w:hAnsi="Times New Roman"/>
          <w:bCs/>
          <w:sz w:val="24"/>
          <w:szCs w:val="24"/>
        </w:rPr>
        <w:t xml:space="preserve">affidavit. </w:t>
      </w:r>
    </w:p>
    <w:p w14:paraId="06835A44" w14:textId="0681EE6F" w:rsidR="00342C64" w:rsidRDefault="00DB7145" w:rsidP="00673375">
      <w:pPr>
        <w:spacing w:line="360" w:lineRule="auto"/>
        <w:jc w:val="both"/>
        <w:rPr>
          <w:rFonts w:ascii="Times New Roman" w:hAnsi="Times New Roman"/>
          <w:sz w:val="24"/>
          <w:szCs w:val="24"/>
        </w:rPr>
      </w:pPr>
      <w:r>
        <w:rPr>
          <w:rFonts w:ascii="Times New Roman" w:hAnsi="Times New Roman"/>
          <w:bCs/>
          <w:sz w:val="24"/>
          <w:szCs w:val="24"/>
        </w:rPr>
        <w:t>[ 28] Whilst the matter arose as a legal point, the</w:t>
      </w:r>
      <w:r w:rsidR="00A41A57">
        <w:rPr>
          <w:rFonts w:ascii="Times New Roman" w:hAnsi="Times New Roman"/>
          <w:bCs/>
          <w:sz w:val="24"/>
          <w:szCs w:val="24"/>
        </w:rPr>
        <w:t xml:space="preserve"> law was well-articulated by UCHENA JA in </w:t>
      </w:r>
      <w:r w:rsidR="00A41A57" w:rsidRPr="00A41A57">
        <w:rPr>
          <w:rFonts w:ascii="Times New Roman" w:hAnsi="Times New Roman"/>
          <w:i/>
          <w:iCs/>
          <w:sz w:val="24"/>
          <w:szCs w:val="24"/>
        </w:rPr>
        <w:t xml:space="preserve">El     Elion     Investments (Private) Limited </w:t>
      </w:r>
      <w:r w:rsidR="00A41A57">
        <w:rPr>
          <w:rFonts w:ascii="Times New Roman" w:hAnsi="Times New Roman"/>
          <w:i/>
          <w:iCs/>
          <w:sz w:val="24"/>
          <w:szCs w:val="24"/>
        </w:rPr>
        <w:t>v</w:t>
      </w:r>
      <w:r w:rsidR="00A41A57" w:rsidRPr="00A41A57">
        <w:rPr>
          <w:rFonts w:ascii="Times New Roman" w:hAnsi="Times New Roman"/>
          <w:i/>
          <w:iCs/>
          <w:sz w:val="24"/>
          <w:szCs w:val="24"/>
        </w:rPr>
        <w:t xml:space="preserve"> Auction     City (Private) Limited</w:t>
      </w:r>
      <w:r w:rsidR="00A41A57">
        <w:rPr>
          <w:rFonts w:ascii="Times New Roman" w:hAnsi="Times New Roman"/>
          <w:i/>
          <w:iCs/>
          <w:sz w:val="24"/>
          <w:szCs w:val="24"/>
        </w:rPr>
        <w:t xml:space="preserve"> </w:t>
      </w:r>
      <w:r w:rsidR="00A41A57" w:rsidRPr="00A41A57">
        <w:rPr>
          <w:rFonts w:ascii="Times New Roman" w:hAnsi="Times New Roman"/>
          <w:sz w:val="24"/>
          <w:szCs w:val="24"/>
        </w:rPr>
        <w:t>SC 29-</w:t>
      </w:r>
      <w:r w:rsidR="009E17B8" w:rsidRPr="00A41A57">
        <w:rPr>
          <w:rFonts w:ascii="Times New Roman" w:hAnsi="Times New Roman"/>
          <w:sz w:val="24"/>
          <w:szCs w:val="24"/>
        </w:rPr>
        <w:t>16</w:t>
      </w:r>
      <w:r w:rsidR="009E17B8">
        <w:rPr>
          <w:rFonts w:ascii="Times New Roman" w:hAnsi="Times New Roman"/>
          <w:sz w:val="24"/>
          <w:szCs w:val="24"/>
        </w:rPr>
        <w:t xml:space="preserve"> [</w:t>
      </w:r>
      <w:r w:rsidR="00A41A57">
        <w:rPr>
          <w:rFonts w:ascii="Times New Roman" w:hAnsi="Times New Roman"/>
          <w:sz w:val="24"/>
          <w:szCs w:val="24"/>
        </w:rPr>
        <w:t xml:space="preserve"> at page 6-7 of the cyclostyled judgment</w:t>
      </w:r>
      <w:r w:rsidR="009E17B8">
        <w:rPr>
          <w:rFonts w:ascii="Times New Roman" w:hAnsi="Times New Roman"/>
          <w:sz w:val="24"/>
          <w:szCs w:val="24"/>
        </w:rPr>
        <w:t>]; -</w:t>
      </w:r>
    </w:p>
    <w:p w14:paraId="4AD1E60F" w14:textId="3AC5F13A" w:rsidR="00A41A57" w:rsidRPr="00A41A57" w:rsidRDefault="00A41A57" w:rsidP="00A41A57">
      <w:pPr>
        <w:spacing w:line="360" w:lineRule="auto"/>
        <w:ind w:left="1134"/>
        <w:jc w:val="both"/>
        <w:rPr>
          <w:rFonts w:ascii="Times New Roman" w:hAnsi="Times New Roman"/>
        </w:rPr>
      </w:pPr>
      <w:r w:rsidRPr="00A41A57">
        <w:rPr>
          <w:rFonts w:ascii="Times New Roman" w:hAnsi="Times New Roman"/>
        </w:rPr>
        <w:lastRenderedPageBreak/>
        <w:t xml:space="preserve">“It is accepted that a point of law can be raised at any stage of the process even on appeal.  The law on the raising of points law for the first time on appeal is clear and has been articulated in a plethora of cases.  In </w:t>
      </w:r>
      <w:r w:rsidRPr="00A41A57">
        <w:rPr>
          <w:rFonts w:ascii="Times New Roman" w:hAnsi="Times New Roman"/>
          <w:i/>
        </w:rPr>
        <w:t>Muchakata v Netherburn Mine</w:t>
      </w:r>
      <w:r w:rsidRPr="00A41A57">
        <w:rPr>
          <w:rFonts w:ascii="Times New Roman" w:hAnsi="Times New Roman"/>
        </w:rPr>
        <w:t xml:space="preserve"> 1996 (1) 153 (S) at p 157A KORSAH JA said; “</w:t>
      </w:r>
      <w:r w:rsidRPr="00A41A57">
        <w:rPr>
          <w:rFonts w:ascii="Times New Roman" w:hAnsi="Times New Roman"/>
          <w:i/>
          <w:iCs/>
        </w:rPr>
        <w:t>Provided it is not one which is required by a definitive law to be specially pleaded a point of law, which goes to the root of the matter, may be raised at any time, even for the first time on appeal, if its consideration involves no unfairness to the party against whom it is directed: Morobane v Bateman 1918 460; Paddock Motors (PTY) Ltd v Igesund 1976 (3) SA 16 (A) at 23D-G</w:t>
      </w:r>
      <w:r w:rsidRPr="00A41A57">
        <w:rPr>
          <w:rFonts w:ascii="Times New Roman" w:hAnsi="Times New Roman"/>
        </w:rPr>
        <w:t xml:space="preserve">.” In </w:t>
      </w:r>
      <w:r w:rsidRPr="00A41A57">
        <w:rPr>
          <w:rFonts w:ascii="Times New Roman" w:hAnsi="Times New Roman"/>
          <w:i/>
        </w:rPr>
        <w:t>Muskwe v Nyajina &amp; Ors</w:t>
      </w:r>
      <w:r w:rsidRPr="00A41A57">
        <w:rPr>
          <w:rFonts w:ascii="Times New Roman" w:hAnsi="Times New Roman"/>
        </w:rPr>
        <w:t xml:space="preserve"> SC 17/12 ZIYAMBI JA at p 2 of the cyclostyled judgment said; “</w:t>
      </w:r>
      <w:r w:rsidRPr="00A41A57">
        <w:rPr>
          <w:rFonts w:ascii="Times New Roman" w:hAnsi="Times New Roman"/>
          <w:i/>
          <w:iCs/>
        </w:rPr>
        <w:t>Undoubtedly a point of law can be raised at any time even though not pleaded. However, this is subject to certain considerations, one of which is that the court has to consider whether raising a point of law at this juncture would cause prejudice to the party against whom it is raised</w:t>
      </w:r>
      <w:r w:rsidRPr="00A41A57">
        <w:rPr>
          <w:rFonts w:ascii="Times New Roman" w:hAnsi="Times New Roman"/>
        </w:rPr>
        <w:t>.””</w:t>
      </w:r>
    </w:p>
    <w:p w14:paraId="15011230" w14:textId="007F32E9" w:rsidR="00342C64" w:rsidRDefault="009E17B8" w:rsidP="00673375">
      <w:pPr>
        <w:spacing w:line="360" w:lineRule="auto"/>
        <w:jc w:val="both"/>
        <w:rPr>
          <w:rFonts w:ascii="Times New Roman" w:hAnsi="Times New Roman"/>
          <w:sz w:val="24"/>
          <w:szCs w:val="24"/>
        </w:rPr>
      </w:pPr>
      <w:r>
        <w:rPr>
          <w:rFonts w:ascii="Times New Roman" w:hAnsi="Times New Roman"/>
          <w:sz w:val="24"/>
          <w:szCs w:val="24"/>
        </w:rPr>
        <w:t xml:space="preserve">DISPOSITION </w:t>
      </w:r>
    </w:p>
    <w:p w14:paraId="2AD0C6D9" w14:textId="6B521663" w:rsidR="009E17B8" w:rsidRDefault="009E17B8" w:rsidP="00673375">
      <w:pPr>
        <w:spacing w:line="360" w:lineRule="auto"/>
        <w:jc w:val="both"/>
        <w:rPr>
          <w:rFonts w:ascii="Times New Roman" w:hAnsi="Times New Roman"/>
          <w:sz w:val="24"/>
          <w:szCs w:val="24"/>
        </w:rPr>
      </w:pPr>
      <w:r>
        <w:rPr>
          <w:rFonts w:ascii="Times New Roman" w:hAnsi="Times New Roman"/>
          <w:sz w:val="24"/>
          <w:szCs w:val="24"/>
        </w:rPr>
        <w:t>[2</w:t>
      </w:r>
      <w:r w:rsidR="00DB7145">
        <w:rPr>
          <w:rFonts w:ascii="Times New Roman" w:hAnsi="Times New Roman"/>
          <w:sz w:val="24"/>
          <w:szCs w:val="24"/>
        </w:rPr>
        <w:t>9</w:t>
      </w:r>
      <w:r>
        <w:rPr>
          <w:rFonts w:ascii="Times New Roman" w:hAnsi="Times New Roman"/>
          <w:sz w:val="24"/>
          <w:szCs w:val="24"/>
        </w:rPr>
        <w:t xml:space="preserve">] It is my view that the additional affidavit sought to be introduced by the respondents will materially alter the causa in as much as it </w:t>
      </w:r>
      <w:r w:rsidR="00065A79">
        <w:rPr>
          <w:rFonts w:ascii="Times New Roman" w:hAnsi="Times New Roman"/>
          <w:sz w:val="24"/>
          <w:szCs w:val="24"/>
        </w:rPr>
        <w:t xml:space="preserve">is likely </w:t>
      </w:r>
      <w:r>
        <w:rPr>
          <w:rFonts w:ascii="Times New Roman" w:hAnsi="Times New Roman"/>
          <w:sz w:val="24"/>
          <w:szCs w:val="24"/>
        </w:rPr>
        <w:t xml:space="preserve">to prejudice the applicant in that </w:t>
      </w:r>
      <w:r w:rsidR="003A59EA">
        <w:rPr>
          <w:rFonts w:ascii="Times New Roman" w:hAnsi="Times New Roman"/>
          <w:sz w:val="24"/>
          <w:szCs w:val="24"/>
        </w:rPr>
        <w:t>regard</w:t>
      </w:r>
      <w:r>
        <w:rPr>
          <w:rFonts w:ascii="Times New Roman" w:hAnsi="Times New Roman"/>
          <w:sz w:val="24"/>
          <w:szCs w:val="24"/>
        </w:rPr>
        <w:t>. I also considered whether the matter c</w:t>
      </w:r>
      <w:r w:rsidR="003A59EA">
        <w:rPr>
          <w:rFonts w:ascii="Times New Roman" w:hAnsi="Times New Roman"/>
          <w:sz w:val="24"/>
          <w:szCs w:val="24"/>
        </w:rPr>
        <w:t xml:space="preserve">ould </w:t>
      </w:r>
      <w:r>
        <w:rPr>
          <w:rFonts w:ascii="Times New Roman" w:hAnsi="Times New Roman"/>
          <w:sz w:val="24"/>
          <w:szCs w:val="24"/>
        </w:rPr>
        <w:t xml:space="preserve">be cured by permitting applicant to file an answer to </w:t>
      </w:r>
      <w:r w:rsidR="003A59EA">
        <w:rPr>
          <w:rFonts w:ascii="Times New Roman" w:hAnsi="Times New Roman"/>
          <w:sz w:val="24"/>
          <w:szCs w:val="24"/>
        </w:rPr>
        <w:t>the additional affidavit</w:t>
      </w:r>
      <w:r w:rsidR="00065A79">
        <w:rPr>
          <w:rFonts w:ascii="Times New Roman" w:hAnsi="Times New Roman"/>
          <w:sz w:val="24"/>
          <w:szCs w:val="24"/>
        </w:rPr>
        <w:t xml:space="preserve"> should they be admitted</w:t>
      </w:r>
      <w:r>
        <w:rPr>
          <w:rFonts w:ascii="Times New Roman" w:hAnsi="Times New Roman"/>
          <w:sz w:val="24"/>
          <w:szCs w:val="24"/>
        </w:rPr>
        <w:t xml:space="preserve">. My conclusion was that the </w:t>
      </w:r>
      <w:r w:rsidR="00065A79">
        <w:rPr>
          <w:rFonts w:ascii="Times New Roman" w:hAnsi="Times New Roman"/>
          <w:sz w:val="24"/>
          <w:szCs w:val="24"/>
        </w:rPr>
        <w:t xml:space="preserve">additional </w:t>
      </w:r>
      <w:r w:rsidR="003A59EA">
        <w:rPr>
          <w:rFonts w:ascii="Times New Roman" w:hAnsi="Times New Roman"/>
          <w:sz w:val="24"/>
          <w:szCs w:val="24"/>
        </w:rPr>
        <w:t xml:space="preserve">affidavit dealing as it did with the </w:t>
      </w:r>
      <w:r>
        <w:rPr>
          <w:rFonts w:ascii="Times New Roman" w:hAnsi="Times New Roman"/>
          <w:sz w:val="24"/>
          <w:szCs w:val="24"/>
        </w:rPr>
        <w:t xml:space="preserve">subsequent ratification of impugned conduct </w:t>
      </w:r>
      <w:r w:rsidR="003A59EA">
        <w:rPr>
          <w:rFonts w:ascii="Times New Roman" w:hAnsi="Times New Roman"/>
          <w:sz w:val="24"/>
          <w:szCs w:val="24"/>
        </w:rPr>
        <w:t xml:space="preserve">would </w:t>
      </w:r>
      <w:r>
        <w:rPr>
          <w:rFonts w:ascii="Times New Roman" w:hAnsi="Times New Roman"/>
          <w:sz w:val="24"/>
          <w:szCs w:val="24"/>
        </w:rPr>
        <w:t>merely aggravate the quarrels before the court. I believe the matter should be decided as pleaded</w:t>
      </w:r>
      <w:r w:rsidR="00065A79">
        <w:rPr>
          <w:rFonts w:ascii="Times New Roman" w:hAnsi="Times New Roman"/>
          <w:sz w:val="24"/>
          <w:szCs w:val="24"/>
        </w:rPr>
        <w:t>,</w:t>
      </w:r>
      <w:r>
        <w:rPr>
          <w:rFonts w:ascii="Times New Roman" w:hAnsi="Times New Roman"/>
          <w:sz w:val="24"/>
          <w:szCs w:val="24"/>
        </w:rPr>
        <w:t xml:space="preserve"> and a ruling rendered. For these </w:t>
      </w:r>
      <w:r w:rsidR="00744A17">
        <w:rPr>
          <w:rFonts w:ascii="Times New Roman" w:hAnsi="Times New Roman"/>
          <w:sz w:val="24"/>
          <w:szCs w:val="24"/>
        </w:rPr>
        <w:t>reasons, I</w:t>
      </w:r>
      <w:r>
        <w:rPr>
          <w:rFonts w:ascii="Times New Roman" w:hAnsi="Times New Roman"/>
          <w:sz w:val="24"/>
          <w:szCs w:val="24"/>
        </w:rPr>
        <w:t xml:space="preserve"> am unmoved by the plea for leave </w:t>
      </w:r>
      <w:r w:rsidR="003A59EA">
        <w:rPr>
          <w:rFonts w:ascii="Times New Roman" w:hAnsi="Times New Roman"/>
          <w:sz w:val="24"/>
          <w:szCs w:val="24"/>
        </w:rPr>
        <w:t>to admit</w:t>
      </w:r>
      <w:r>
        <w:rPr>
          <w:rFonts w:ascii="Times New Roman" w:hAnsi="Times New Roman"/>
          <w:sz w:val="24"/>
          <w:szCs w:val="24"/>
        </w:rPr>
        <w:t xml:space="preserve"> the additional affidavit.</w:t>
      </w:r>
    </w:p>
    <w:p w14:paraId="0B0ECEC5" w14:textId="521F024E" w:rsidR="009E17B8" w:rsidRDefault="009E17B8" w:rsidP="00673375">
      <w:pPr>
        <w:spacing w:line="360" w:lineRule="auto"/>
        <w:jc w:val="both"/>
        <w:rPr>
          <w:rFonts w:ascii="Times New Roman" w:hAnsi="Times New Roman"/>
          <w:sz w:val="24"/>
          <w:szCs w:val="24"/>
        </w:rPr>
      </w:pPr>
    </w:p>
    <w:p w14:paraId="0AA840A8" w14:textId="50D4FEB9" w:rsidR="009E17B8" w:rsidRDefault="00744A17" w:rsidP="00673375">
      <w:pPr>
        <w:spacing w:line="360" w:lineRule="auto"/>
        <w:jc w:val="both"/>
        <w:rPr>
          <w:rFonts w:ascii="Times New Roman" w:hAnsi="Times New Roman"/>
          <w:sz w:val="24"/>
          <w:szCs w:val="24"/>
        </w:rPr>
      </w:pPr>
      <w:r>
        <w:rPr>
          <w:rFonts w:ascii="Times New Roman" w:hAnsi="Times New Roman"/>
          <w:sz w:val="24"/>
          <w:szCs w:val="24"/>
        </w:rPr>
        <w:t>Accordingly, the</w:t>
      </w:r>
      <w:r w:rsidR="009E17B8">
        <w:rPr>
          <w:rFonts w:ascii="Times New Roman" w:hAnsi="Times New Roman"/>
          <w:sz w:val="24"/>
          <w:szCs w:val="24"/>
        </w:rPr>
        <w:t xml:space="preserve"> application for leave to file an additional affidavit </w:t>
      </w:r>
      <w:r w:rsidR="00065A79">
        <w:rPr>
          <w:rFonts w:ascii="Times New Roman" w:hAnsi="Times New Roman"/>
          <w:sz w:val="24"/>
          <w:szCs w:val="24"/>
        </w:rPr>
        <w:t xml:space="preserve">by </w:t>
      </w:r>
      <w:r>
        <w:rPr>
          <w:rFonts w:ascii="Times New Roman" w:hAnsi="Times New Roman"/>
          <w:sz w:val="24"/>
          <w:szCs w:val="24"/>
        </w:rPr>
        <w:t>the respondents be and is hereby refused with costs.</w:t>
      </w:r>
    </w:p>
    <w:p w14:paraId="1FA57F02" w14:textId="2B06460C" w:rsidR="00744A17" w:rsidRDefault="00744A17" w:rsidP="00673375">
      <w:pPr>
        <w:spacing w:line="360" w:lineRule="auto"/>
        <w:jc w:val="both"/>
        <w:rPr>
          <w:rFonts w:ascii="Times New Roman" w:hAnsi="Times New Roman"/>
          <w:sz w:val="24"/>
          <w:szCs w:val="24"/>
        </w:rPr>
      </w:pPr>
    </w:p>
    <w:p w14:paraId="2AB9F76D" w14:textId="2B79D230" w:rsidR="00744A17" w:rsidRPr="00744A17" w:rsidRDefault="00744A17" w:rsidP="00744A17">
      <w:pPr>
        <w:pStyle w:val="NoSpacing"/>
        <w:rPr>
          <w:rFonts w:ascii="Times New Roman" w:hAnsi="Times New Roman"/>
        </w:rPr>
      </w:pPr>
      <w:r w:rsidRPr="00744A17">
        <w:rPr>
          <w:rFonts w:ascii="Times New Roman" w:hAnsi="Times New Roman"/>
          <w:i/>
          <w:iCs/>
        </w:rPr>
        <w:t>Kantor &amp; Immerman</w:t>
      </w:r>
      <w:r w:rsidRPr="00744A17">
        <w:rPr>
          <w:rFonts w:ascii="Times New Roman" w:hAnsi="Times New Roman"/>
        </w:rPr>
        <w:t xml:space="preserve"> -applicant`s legal practitioners</w:t>
      </w:r>
    </w:p>
    <w:p w14:paraId="7B814E01" w14:textId="11FE92D3" w:rsidR="00744A17" w:rsidRPr="00744A17" w:rsidRDefault="00744A17" w:rsidP="00744A17">
      <w:pPr>
        <w:pStyle w:val="NoSpacing"/>
        <w:rPr>
          <w:rFonts w:ascii="Times New Roman" w:hAnsi="Times New Roman"/>
        </w:rPr>
      </w:pPr>
      <w:r w:rsidRPr="00744A17">
        <w:rPr>
          <w:rFonts w:ascii="Times New Roman" w:hAnsi="Times New Roman"/>
          <w:i/>
          <w:iCs/>
        </w:rPr>
        <w:t>Kevin J. Arnott</w:t>
      </w:r>
      <w:r w:rsidRPr="00744A17">
        <w:rPr>
          <w:rFonts w:ascii="Times New Roman" w:hAnsi="Times New Roman"/>
        </w:rPr>
        <w:t>-respondents` legal practitioners</w:t>
      </w:r>
    </w:p>
    <w:p w14:paraId="5A4C781A" w14:textId="42A856FC" w:rsidR="00744A17" w:rsidRDefault="00744A17" w:rsidP="00673375">
      <w:pPr>
        <w:spacing w:line="360" w:lineRule="auto"/>
        <w:jc w:val="both"/>
        <w:rPr>
          <w:rFonts w:ascii="Times New Roman" w:hAnsi="Times New Roman"/>
          <w:sz w:val="24"/>
          <w:szCs w:val="24"/>
        </w:rPr>
      </w:pPr>
    </w:p>
    <w:p w14:paraId="4F1DDDB5" w14:textId="549A98E9" w:rsidR="00744A17" w:rsidRPr="00744A17" w:rsidRDefault="00744A17" w:rsidP="00673375">
      <w:pPr>
        <w:spacing w:line="360" w:lineRule="auto"/>
        <w:jc w:val="both"/>
        <w:rPr>
          <w:rFonts w:ascii="Times New Roman" w:hAnsi="Times New Roman"/>
          <w:sz w:val="20"/>
          <w:szCs w:val="20"/>
        </w:rPr>
      </w:pPr>
      <w:r>
        <w:rPr>
          <w:rFonts w:ascii="Times New Roman" w:hAnsi="Times New Roman"/>
          <w:sz w:val="24"/>
          <w:szCs w:val="24"/>
        </w:rPr>
        <w:t xml:space="preserve">                                                                                        </w:t>
      </w:r>
      <w:r w:rsidRPr="00744A17">
        <w:rPr>
          <w:rFonts w:ascii="Times New Roman" w:hAnsi="Times New Roman"/>
          <w:sz w:val="20"/>
          <w:szCs w:val="20"/>
        </w:rPr>
        <w:t>CHILIMBE J______23/11/22</w:t>
      </w:r>
    </w:p>
    <w:sectPr w:rsidR="00744A17" w:rsidRPr="00744A17" w:rsidSect="004F491C">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72CA1" w14:textId="77777777" w:rsidR="004076B1" w:rsidRDefault="004076B1" w:rsidP="002718F4">
      <w:pPr>
        <w:spacing w:after="0" w:line="240" w:lineRule="auto"/>
      </w:pPr>
      <w:r>
        <w:separator/>
      </w:r>
    </w:p>
  </w:endnote>
  <w:endnote w:type="continuationSeparator" w:id="0">
    <w:p w14:paraId="4A412473" w14:textId="77777777" w:rsidR="004076B1" w:rsidRDefault="004076B1" w:rsidP="0027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EDC5D" w14:textId="77777777" w:rsidR="004076B1" w:rsidRDefault="004076B1" w:rsidP="002718F4">
      <w:pPr>
        <w:spacing w:after="0" w:line="240" w:lineRule="auto"/>
      </w:pPr>
      <w:r>
        <w:separator/>
      </w:r>
    </w:p>
  </w:footnote>
  <w:footnote w:type="continuationSeparator" w:id="0">
    <w:p w14:paraId="4034C6BC" w14:textId="77777777" w:rsidR="004076B1" w:rsidRDefault="004076B1" w:rsidP="002718F4">
      <w:pPr>
        <w:spacing w:after="0" w:line="240" w:lineRule="auto"/>
      </w:pPr>
      <w:r>
        <w:continuationSeparator/>
      </w:r>
    </w:p>
  </w:footnote>
  <w:footnote w:id="1">
    <w:p w14:paraId="5AF371D4" w14:textId="77777777" w:rsidR="00CA07AF" w:rsidRDefault="00CA07AF" w:rsidP="00CA07AF">
      <w:pPr>
        <w:pStyle w:val="FootnoteText"/>
        <w:jc w:val="both"/>
      </w:pPr>
      <w:r>
        <w:rPr>
          <w:rStyle w:val="FootnoteReference"/>
        </w:rPr>
        <w:footnoteRef/>
      </w:r>
      <w:r>
        <w:t xml:space="preserve"> From the papers, it is apparent that the SVC is involved in extensive work covering the </w:t>
      </w:r>
      <w:r w:rsidRPr="00853B4B">
        <w:t>zoological, economic, developmenta</w:t>
      </w:r>
      <w:r>
        <w:t>l</w:t>
      </w:r>
      <w:r w:rsidRPr="00853B4B">
        <w:t xml:space="preserve">, environmental and </w:t>
      </w:r>
      <w:r>
        <w:t>commercial aspects. They run programmes with donors, government and community geared toward sustainable exploitation of the game resources. There are several such initiatives in both Zimbabwe and Southern Africa. The SVC`s local and international profile in that regard is quite significant.</w:t>
      </w:r>
    </w:p>
  </w:footnote>
  <w:footnote w:id="2">
    <w:p w14:paraId="612018D3" w14:textId="7BF3FB04" w:rsidR="00D30B0A" w:rsidRPr="00D30B0A" w:rsidRDefault="00D30B0A" w:rsidP="00D30B0A">
      <w:pPr>
        <w:pStyle w:val="FootnoteText"/>
        <w:jc w:val="both"/>
        <w:rPr>
          <w:sz w:val="18"/>
          <w:szCs w:val="18"/>
        </w:rPr>
      </w:pPr>
      <w:r w:rsidRPr="00D30B0A">
        <w:rPr>
          <w:rStyle w:val="FootnoteReference"/>
          <w:sz w:val="18"/>
          <w:szCs w:val="18"/>
        </w:rPr>
        <w:footnoteRef/>
      </w:r>
      <w:r w:rsidRPr="00D30B0A">
        <w:rPr>
          <w:sz w:val="18"/>
          <w:szCs w:val="18"/>
        </w:rPr>
        <w:t xml:space="preserve"> CHITAPI J outlined the reason behind the courts` strictness as follows [ at page 2] in</w:t>
      </w:r>
      <w:r w:rsidRPr="00D30B0A">
        <w:rPr>
          <w:rFonts w:ascii="Times New Roman" w:eastAsiaTheme="minorHAnsi" w:hAnsi="Times New Roman"/>
          <w:sz w:val="18"/>
          <w:szCs w:val="18"/>
        </w:rPr>
        <w:t xml:space="preserve"> </w:t>
      </w:r>
      <w:r w:rsidRPr="006C02F8">
        <w:rPr>
          <w:i/>
          <w:iCs/>
          <w:sz w:val="18"/>
          <w:szCs w:val="18"/>
        </w:rPr>
        <w:t xml:space="preserve">Netone Cellullar (Pvt) Ltd </w:t>
      </w:r>
      <w:r w:rsidR="006C02F8" w:rsidRPr="006C02F8">
        <w:rPr>
          <w:i/>
          <w:iCs/>
          <w:sz w:val="18"/>
          <w:szCs w:val="18"/>
        </w:rPr>
        <w:t>v Kangai</w:t>
      </w:r>
      <w:r w:rsidRPr="00D30B0A">
        <w:rPr>
          <w:sz w:val="18"/>
          <w:szCs w:val="18"/>
        </w:rPr>
        <w:t xml:space="preserve"> </w:t>
      </w:r>
      <w:r w:rsidR="006C02F8" w:rsidRPr="00D30B0A">
        <w:rPr>
          <w:sz w:val="18"/>
          <w:szCs w:val="18"/>
        </w:rPr>
        <w:t xml:space="preserve">HH </w:t>
      </w:r>
      <w:r w:rsidR="006C02F8">
        <w:rPr>
          <w:sz w:val="18"/>
          <w:szCs w:val="18"/>
        </w:rPr>
        <w:t xml:space="preserve"> 441-19</w:t>
      </w:r>
      <w:r w:rsidR="006C02F8" w:rsidRPr="00D30B0A">
        <w:rPr>
          <w:sz w:val="18"/>
          <w:szCs w:val="18"/>
        </w:rPr>
        <w:t>“</w:t>
      </w:r>
      <w:r w:rsidRPr="00D30B0A">
        <w:rPr>
          <w:sz w:val="18"/>
          <w:szCs w:val="18"/>
        </w:rPr>
        <w:t>Application procedure by itself is a quicker procedure for bringing cases up to hearing stage and it is more cost effective than action</w:t>
      </w:r>
      <w:r w:rsidRPr="00D30B0A">
        <w:rPr>
          <w:i/>
          <w:sz w:val="18"/>
          <w:szCs w:val="18"/>
        </w:rPr>
        <w:t xml:space="preserve"> </w:t>
      </w:r>
      <w:r w:rsidRPr="00D30B0A">
        <w:rPr>
          <w:sz w:val="18"/>
          <w:szCs w:val="18"/>
        </w:rPr>
        <w:t>procedure. Rule 235 which allows the court a discretion to allow the filing of further affidavits has the effect of prolonging application procedure which it is not intended to be. The court will have to extend the times past the close of filing the answering affidavit. In my view, rule 235 should be viewed as an exception and not the norm. There must therefore be special justification for a departure from the general run of the filing of pleading otherwise the purpose and aims of speedy disposal of disputes by way of court applications procedure can easily be defeated if the rule is allowed to be abused.”</w:t>
      </w:r>
    </w:p>
  </w:footnote>
  <w:footnote w:id="3">
    <w:p w14:paraId="0DF8E921" w14:textId="4E2079B4" w:rsidR="002A797F" w:rsidRPr="002A797F" w:rsidRDefault="002A797F" w:rsidP="002A797F">
      <w:pPr>
        <w:pStyle w:val="FootnoteText"/>
        <w:jc w:val="both"/>
        <w:rPr>
          <w:sz w:val="18"/>
          <w:szCs w:val="18"/>
        </w:rPr>
      </w:pPr>
      <w:r>
        <w:rPr>
          <w:rStyle w:val="FootnoteReference"/>
        </w:rPr>
        <w:footnoteRef/>
      </w:r>
      <w:r>
        <w:t xml:space="preserve"> </w:t>
      </w:r>
      <w:r w:rsidRPr="002A797F">
        <w:rPr>
          <w:sz w:val="18"/>
          <w:szCs w:val="18"/>
        </w:rPr>
        <w:t xml:space="preserve">See </w:t>
      </w:r>
      <w:bookmarkStart w:id="2" w:name="_Hlk115473678"/>
      <w:r w:rsidRPr="002A797F">
        <w:rPr>
          <w:i/>
          <w:iCs/>
          <w:sz w:val="18"/>
          <w:szCs w:val="18"/>
        </w:rPr>
        <w:t>Mobil Oil Zimbabwe (Pvt) Ltd v Travel Forum (Pvt) Ltd 1990 (1) ZLR 67 (H</w:t>
      </w:r>
      <w:r w:rsidRPr="002A797F">
        <w:rPr>
          <w:bCs/>
          <w:i/>
          <w:iCs/>
          <w:sz w:val="18"/>
          <w:szCs w:val="18"/>
        </w:rPr>
        <w:t>);</w:t>
      </w:r>
      <w:r w:rsidR="0009495C" w:rsidRPr="0009495C">
        <w:rPr>
          <w:rFonts w:ascii="Times New Roman" w:eastAsiaTheme="minorHAnsi" w:hAnsi="Times New Roman"/>
          <w:i/>
          <w:iCs/>
          <w:sz w:val="22"/>
          <w:szCs w:val="22"/>
        </w:rPr>
        <w:t xml:space="preserve"> </w:t>
      </w:r>
      <w:r w:rsidR="0009495C" w:rsidRPr="0009495C">
        <w:rPr>
          <w:bCs/>
          <w:i/>
          <w:iCs/>
          <w:sz w:val="18"/>
          <w:szCs w:val="18"/>
        </w:rPr>
        <w:t xml:space="preserve">Jackson v Rothmans of Pall Mall (Zim) (Pvt) Ltd 1993 (2) ZLR 156 (S) </w:t>
      </w:r>
      <w:r w:rsidR="0009495C">
        <w:rPr>
          <w:bCs/>
          <w:i/>
          <w:iCs/>
          <w:sz w:val="18"/>
          <w:szCs w:val="18"/>
        </w:rPr>
        <w:t>;</w:t>
      </w:r>
      <w:r w:rsidRPr="002A797F">
        <w:rPr>
          <w:rFonts w:ascii="Times New Roman" w:eastAsiaTheme="minorHAnsi" w:hAnsi="Times New Roman"/>
          <w:i/>
          <w:iCs/>
          <w:sz w:val="18"/>
          <w:szCs w:val="18"/>
        </w:rPr>
        <w:t xml:space="preserve"> </w:t>
      </w:r>
      <w:r w:rsidRPr="002A797F">
        <w:rPr>
          <w:bCs/>
          <w:i/>
          <w:iCs/>
          <w:sz w:val="18"/>
          <w:szCs w:val="18"/>
        </w:rPr>
        <w:t>Scotfin Ltd v Afri Trade Supplies (Pvt) Ltd 1993 (2) ZLR 170 (H)</w:t>
      </w:r>
      <w:r w:rsidR="0009495C">
        <w:rPr>
          <w:bCs/>
          <w:i/>
          <w:iCs/>
          <w:sz w:val="18"/>
          <w:szCs w:val="18"/>
        </w:rPr>
        <w:t>;</w:t>
      </w:r>
      <w:r w:rsidRPr="002A797F">
        <w:rPr>
          <w:bCs/>
          <w:i/>
          <w:iCs/>
          <w:sz w:val="18"/>
          <w:szCs w:val="18"/>
        </w:rPr>
        <w:t xml:space="preserve"> Mangwiza v Ziumbe NO &amp; Anor 2000 (2) ZLR 489 (S) United     Refineries     Limited v   The     Mining     Industry     Pension     Fund, &amp; 3 Ors SC 63-14</w:t>
      </w:r>
      <w:bookmarkEnd w:id="2"/>
      <w:r w:rsidRPr="002A797F">
        <w:rPr>
          <w:bCs/>
          <w:i/>
          <w:iCs/>
          <w:sz w:val="18"/>
          <w:szCs w:val="18"/>
        </w:rPr>
        <w:t>;</w:t>
      </w:r>
      <w:r w:rsidRPr="002A797F">
        <w:rPr>
          <w:rFonts w:ascii="Times New Roman" w:eastAsiaTheme="minorHAnsi" w:hAnsi="Times New Roman"/>
          <w:bCs/>
          <w:i/>
          <w:iCs/>
          <w:sz w:val="18"/>
          <w:szCs w:val="18"/>
        </w:rPr>
        <w:t xml:space="preserve"> </w:t>
      </w:r>
      <w:bookmarkStart w:id="3" w:name="_Hlk120030964"/>
      <w:r w:rsidRPr="002A797F">
        <w:rPr>
          <w:rFonts w:ascii="Times New Roman" w:eastAsiaTheme="minorHAnsi" w:hAnsi="Times New Roman"/>
          <w:bCs/>
          <w:i/>
          <w:iCs/>
          <w:sz w:val="18"/>
          <w:szCs w:val="18"/>
        </w:rPr>
        <w:t xml:space="preserve">Dominion Trading FZ-LLC v Victoria Foods (Pvt) Limited </w:t>
      </w:r>
      <w:bookmarkEnd w:id="3"/>
      <w:r w:rsidR="00F7484B">
        <w:rPr>
          <w:rFonts w:ascii="Times New Roman" w:eastAsiaTheme="minorHAnsi" w:hAnsi="Times New Roman"/>
          <w:bCs/>
          <w:i/>
          <w:iCs/>
          <w:sz w:val="18"/>
          <w:szCs w:val="18"/>
        </w:rPr>
        <w:t>2013 (2) ZLR 332 (H) ;</w:t>
      </w:r>
      <w:r w:rsidRPr="002A797F">
        <w:rPr>
          <w:rFonts w:ascii="Times New Roman" w:eastAsiaTheme="minorHAnsi" w:hAnsi="Times New Roman"/>
          <w:bCs/>
          <w:i/>
          <w:iCs/>
          <w:sz w:val="18"/>
          <w:szCs w:val="18"/>
        </w:rPr>
        <w:t xml:space="preserve"> </w:t>
      </w:r>
      <w:r w:rsidRPr="002A797F">
        <w:rPr>
          <w:bCs/>
          <w:i/>
          <w:iCs/>
          <w:sz w:val="18"/>
          <w:szCs w:val="18"/>
        </w:rPr>
        <w:t>N. Svova &amp; Others v National Social Security Authority SC 10-16;</w:t>
      </w:r>
      <w:r w:rsidRPr="002A797F">
        <w:rPr>
          <w:rFonts w:ascii="Times New Roman" w:eastAsiaTheme="minorHAnsi" w:hAnsi="Times New Roman"/>
          <w:i/>
          <w:iCs/>
          <w:sz w:val="18"/>
          <w:szCs w:val="18"/>
        </w:rPr>
        <w:t xml:space="preserve"> </w:t>
      </w:r>
      <w:r w:rsidRPr="002A797F">
        <w:rPr>
          <w:bCs/>
          <w:i/>
          <w:iCs/>
          <w:sz w:val="18"/>
          <w:szCs w:val="18"/>
        </w:rPr>
        <w:t>Standard Chartered v Matiza 1994 (1) ZLR 186;</w:t>
      </w:r>
    </w:p>
  </w:footnote>
  <w:footnote w:id="4">
    <w:p w14:paraId="4CD63F6C" w14:textId="71CFC91F" w:rsidR="00B40934" w:rsidRDefault="00B40934">
      <w:pPr>
        <w:pStyle w:val="FootnoteText"/>
      </w:pPr>
      <w:r>
        <w:rPr>
          <w:rStyle w:val="FootnoteReference"/>
        </w:rPr>
        <w:footnoteRef/>
      </w:r>
      <w:r>
        <w:t xml:space="preserve"> See the recent decision of </w:t>
      </w:r>
      <w:r w:rsidRPr="00B40934">
        <w:rPr>
          <w:i/>
          <w:iCs/>
        </w:rPr>
        <w:t xml:space="preserve">Busangabanye &amp; Anor v Matsika &amp; 5 Ors </w:t>
      </w:r>
      <w:r>
        <w:t>HH 680-22.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ED9F" w14:textId="1FD90EC5" w:rsidR="002718F4" w:rsidRDefault="002718F4">
    <w:pPr>
      <w:pStyle w:val="Header"/>
      <w:jc w:val="right"/>
      <w:rPr>
        <w:noProof/>
      </w:rPr>
    </w:pPr>
    <w:r>
      <w:fldChar w:fldCharType="begin"/>
    </w:r>
    <w:r>
      <w:instrText xml:space="preserve"> PAGE   \* MERGEFORMAT </w:instrText>
    </w:r>
    <w:r>
      <w:fldChar w:fldCharType="separate"/>
    </w:r>
    <w:r w:rsidR="003B17D7">
      <w:rPr>
        <w:noProof/>
      </w:rPr>
      <w:t>1</w:t>
    </w:r>
    <w:r>
      <w:rPr>
        <w:noProof/>
      </w:rPr>
      <w:fldChar w:fldCharType="end"/>
    </w:r>
  </w:p>
  <w:p w14:paraId="21C3A616" w14:textId="5B7AFEEE" w:rsidR="002718F4" w:rsidRPr="00B644BE" w:rsidRDefault="00CD152D" w:rsidP="002718F4">
    <w:pPr>
      <w:pStyle w:val="Header"/>
      <w:jc w:val="center"/>
      <w:rPr>
        <w:b/>
        <w:bCs/>
        <w:noProof/>
      </w:rPr>
    </w:pPr>
    <w:r>
      <w:rPr>
        <w:noProof/>
      </w:rPr>
      <w:t xml:space="preserve">                                                                                                   </w:t>
    </w:r>
    <w:r w:rsidR="00B644BE">
      <w:rPr>
        <w:noProof/>
      </w:rPr>
      <w:t xml:space="preserve">            </w:t>
    </w:r>
    <w:r w:rsidR="002718F4" w:rsidRPr="00B644BE">
      <w:rPr>
        <w:b/>
        <w:bCs/>
        <w:noProof/>
      </w:rPr>
      <w:t>HH</w:t>
    </w:r>
    <w:r w:rsidRPr="00B644BE">
      <w:rPr>
        <w:b/>
        <w:bCs/>
        <w:noProof/>
      </w:rPr>
      <w:t xml:space="preserve"> </w:t>
    </w:r>
    <w:r w:rsidR="00B644BE" w:rsidRPr="00B644BE">
      <w:rPr>
        <w:b/>
        <w:bCs/>
        <w:noProof/>
      </w:rPr>
      <w:t>873-22</w:t>
    </w:r>
  </w:p>
  <w:p w14:paraId="69C74BBE" w14:textId="470EEAD1" w:rsidR="002718F4" w:rsidRDefault="00CD152D" w:rsidP="002718F4">
    <w:pPr>
      <w:pStyle w:val="Header"/>
      <w:jc w:val="center"/>
    </w:pPr>
    <w:r>
      <w:rPr>
        <w:noProof/>
      </w:rPr>
      <w:t xml:space="preserve">                                                                                                                  </w:t>
    </w:r>
    <w:r w:rsidR="002718F4">
      <w:rPr>
        <w:noProof/>
      </w:rPr>
      <w:t>HC 3927/21</w:t>
    </w:r>
  </w:p>
  <w:p w14:paraId="1DB1A93E" w14:textId="77777777" w:rsidR="002718F4" w:rsidRDefault="00271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38A"/>
    <w:multiLevelType w:val="hybridMultilevel"/>
    <w:tmpl w:val="05FCD452"/>
    <w:lvl w:ilvl="0" w:tplc="30090017">
      <w:start w:val="1"/>
      <w:numFmt w:val="lowerLetter"/>
      <w:lvlText w:val="%1)"/>
      <w:lvlJc w:val="lef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1" w15:restartNumberingAfterBreak="0">
    <w:nsid w:val="520E3483"/>
    <w:multiLevelType w:val="hybridMultilevel"/>
    <w:tmpl w:val="A28E969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C0"/>
    <w:rsid w:val="000124A0"/>
    <w:rsid w:val="000364AA"/>
    <w:rsid w:val="00065A79"/>
    <w:rsid w:val="0009495C"/>
    <w:rsid w:val="000D0B62"/>
    <w:rsid w:val="000E5F0F"/>
    <w:rsid w:val="00121685"/>
    <w:rsid w:val="00126A31"/>
    <w:rsid w:val="0015358C"/>
    <w:rsid w:val="001C5B90"/>
    <w:rsid w:val="00216B10"/>
    <w:rsid w:val="00246388"/>
    <w:rsid w:val="002718F4"/>
    <w:rsid w:val="0027500C"/>
    <w:rsid w:val="002A797F"/>
    <w:rsid w:val="002C6271"/>
    <w:rsid w:val="00307575"/>
    <w:rsid w:val="00342C64"/>
    <w:rsid w:val="00350C03"/>
    <w:rsid w:val="00393B0C"/>
    <w:rsid w:val="003A0470"/>
    <w:rsid w:val="003A59EA"/>
    <w:rsid w:val="003B17D7"/>
    <w:rsid w:val="003E7F13"/>
    <w:rsid w:val="00400895"/>
    <w:rsid w:val="00403136"/>
    <w:rsid w:val="004076B1"/>
    <w:rsid w:val="00412446"/>
    <w:rsid w:val="00432DD6"/>
    <w:rsid w:val="00456CA3"/>
    <w:rsid w:val="0048798A"/>
    <w:rsid w:val="004E1EFC"/>
    <w:rsid w:val="004E4CD8"/>
    <w:rsid w:val="004F058A"/>
    <w:rsid w:val="004F491C"/>
    <w:rsid w:val="005219FD"/>
    <w:rsid w:val="005444DC"/>
    <w:rsid w:val="00581F39"/>
    <w:rsid w:val="006126BD"/>
    <w:rsid w:val="00657316"/>
    <w:rsid w:val="00657668"/>
    <w:rsid w:val="00673375"/>
    <w:rsid w:val="0067351C"/>
    <w:rsid w:val="006765A8"/>
    <w:rsid w:val="00694D93"/>
    <w:rsid w:val="006C02F8"/>
    <w:rsid w:val="006F542F"/>
    <w:rsid w:val="007073E0"/>
    <w:rsid w:val="00736129"/>
    <w:rsid w:val="00743640"/>
    <w:rsid w:val="00744A17"/>
    <w:rsid w:val="00752A9C"/>
    <w:rsid w:val="00834DF9"/>
    <w:rsid w:val="00837A2C"/>
    <w:rsid w:val="00845052"/>
    <w:rsid w:val="00864CDC"/>
    <w:rsid w:val="00874B99"/>
    <w:rsid w:val="00876DCF"/>
    <w:rsid w:val="008B1DF5"/>
    <w:rsid w:val="009972C0"/>
    <w:rsid w:val="009A4280"/>
    <w:rsid w:val="009C56A2"/>
    <w:rsid w:val="009E17B8"/>
    <w:rsid w:val="00A22B7F"/>
    <w:rsid w:val="00A41A57"/>
    <w:rsid w:val="00A824B6"/>
    <w:rsid w:val="00A85C54"/>
    <w:rsid w:val="00A91636"/>
    <w:rsid w:val="00A97403"/>
    <w:rsid w:val="00AC75D5"/>
    <w:rsid w:val="00AE2CE3"/>
    <w:rsid w:val="00B025C7"/>
    <w:rsid w:val="00B22F05"/>
    <w:rsid w:val="00B3655D"/>
    <w:rsid w:val="00B40934"/>
    <w:rsid w:val="00B51FF5"/>
    <w:rsid w:val="00B55C60"/>
    <w:rsid w:val="00B644BE"/>
    <w:rsid w:val="00BB0B90"/>
    <w:rsid w:val="00BB650D"/>
    <w:rsid w:val="00C327FF"/>
    <w:rsid w:val="00C5127B"/>
    <w:rsid w:val="00C66AF1"/>
    <w:rsid w:val="00C72577"/>
    <w:rsid w:val="00CA07AF"/>
    <w:rsid w:val="00CA1C89"/>
    <w:rsid w:val="00CB1379"/>
    <w:rsid w:val="00CC0906"/>
    <w:rsid w:val="00CD152D"/>
    <w:rsid w:val="00D23646"/>
    <w:rsid w:val="00D30B0A"/>
    <w:rsid w:val="00D4138C"/>
    <w:rsid w:val="00D95222"/>
    <w:rsid w:val="00D95499"/>
    <w:rsid w:val="00DB7145"/>
    <w:rsid w:val="00DF6DBC"/>
    <w:rsid w:val="00E35900"/>
    <w:rsid w:val="00E438E1"/>
    <w:rsid w:val="00E62819"/>
    <w:rsid w:val="00E7332A"/>
    <w:rsid w:val="00E7451C"/>
    <w:rsid w:val="00EB7EF6"/>
    <w:rsid w:val="00EE103B"/>
    <w:rsid w:val="00F072CE"/>
    <w:rsid w:val="00F200A5"/>
    <w:rsid w:val="00F33E6C"/>
    <w:rsid w:val="00F34041"/>
    <w:rsid w:val="00F7484B"/>
    <w:rsid w:val="00F81B2A"/>
    <w:rsid w:val="00FE0497"/>
    <w:rsid w:val="00FE1E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CA40"/>
  <w15:chartTrackingRefBased/>
  <w15:docId w15:val="{FDE90BDA-1F01-4979-AFB5-47DE6BEF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8F4"/>
  </w:style>
  <w:style w:type="paragraph" w:styleId="Footer">
    <w:name w:val="footer"/>
    <w:basedOn w:val="Normal"/>
    <w:link w:val="FooterChar"/>
    <w:uiPriority w:val="99"/>
    <w:unhideWhenUsed/>
    <w:rsid w:val="0027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8F4"/>
  </w:style>
  <w:style w:type="paragraph" w:styleId="NoSpacing">
    <w:name w:val="No Spacing"/>
    <w:uiPriority w:val="1"/>
    <w:qFormat/>
    <w:rsid w:val="002718F4"/>
    <w:rPr>
      <w:sz w:val="22"/>
      <w:szCs w:val="22"/>
      <w:lang w:eastAsia="en-US"/>
    </w:rPr>
  </w:style>
  <w:style w:type="paragraph" w:styleId="ListParagraph">
    <w:name w:val="List Paragraph"/>
    <w:basedOn w:val="Normal"/>
    <w:uiPriority w:val="34"/>
    <w:qFormat/>
    <w:rsid w:val="004E4CD8"/>
    <w:pPr>
      <w:ind w:left="720"/>
      <w:contextualSpacing/>
    </w:pPr>
  </w:style>
  <w:style w:type="paragraph" w:styleId="FootnoteText">
    <w:name w:val="footnote text"/>
    <w:basedOn w:val="Normal"/>
    <w:link w:val="FootnoteTextChar"/>
    <w:uiPriority w:val="99"/>
    <w:semiHidden/>
    <w:unhideWhenUsed/>
    <w:rsid w:val="00D30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0B0A"/>
    <w:rPr>
      <w:lang w:eastAsia="en-US"/>
    </w:rPr>
  </w:style>
  <w:style w:type="character" w:styleId="FootnoteReference">
    <w:name w:val="footnote reference"/>
    <w:basedOn w:val="DefaultParagraphFont"/>
    <w:uiPriority w:val="99"/>
    <w:semiHidden/>
    <w:unhideWhenUsed/>
    <w:rsid w:val="00D30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Microsoft\Windows\INetCache\Content.Outlook\JD52F9Q3\ROBIN%20BOUCKERT%20DRAFT%20JMNT_.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ROBIN BOUCKERT DRAFT JMNT_</Template>
  <TotalTime>1</TotalTime>
  <Pages>9</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2022-11-22T18:33:00Z</cp:lastPrinted>
  <dcterms:created xsi:type="dcterms:W3CDTF">2022-11-25T07:44:00Z</dcterms:created>
  <dcterms:modified xsi:type="dcterms:W3CDTF">2022-11-25T07:44:00Z</dcterms:modified>
</cp:coreProperties>
</file>