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5F08A" w14:textId="6257B6DE" w:rsidR="00CE1B7D" w:rsidRDefault="00FD46BE" w:rsidP="008F2EEA">
      <w:pPr>
        <w:spacing w:line="360" w:lineRule="auto"/>
        <w:jc w:val="both"/>
        <w:rPr>
          <w:rFonts w:ascii="Times New Roman" w:hAnsi="Times New Roman" w:cs="Times New Roman"/>
        </w:rPr>
      </w:pPr>
      <w:bookmarkStart w:id="0" w:name="_Hlk191664000"/>
      <w:bookmarkStart w:id="1" w:name="_GoBack"/>
      <w:bookmarkEnd w:id="1"/>
      <w:r>
        <w:t xml:space="preserve">                                                                                              </w:t>
      </w:r>
      <w:r>
        <w:rPr>
          <w:rFonts w:ascii="Times New Roman" w:hAnsi="Times New Roman" w:cs="Times New Roman"/>
        </w:rPr>
        <w:t xml:space="preserve">                                                   </w:t>
      </w:r>
    </w:p>
    <w:p w14:paraId="62F99D72" w14:textId="77777777" w:rsidR="00CE1B7D" w:rsidRDefault="00FD46BE" w:rsidP="008F2EEA">
      <w:pPr>
        <w:spacing w:after="0" w:line="240" w:lineRule="auto"/>
        <w:jc w:val="both"/>
        <w:rPr>
          <w:rFonts w:ascii="Times New Roman" w:hAnsi="Times New Roman" w:cs="Times New Roman"/>
        </w:rPr>
      </w:pPr>
      <w:r>
        <w:rPr>
          <w:rFonts w:ascii="Times New Roman" w:hAnsi="Times New Roman" w:cs="Times New Roman"/>
        </w:rPr>
        <w:t>RIOZIM LIMITED</w:t>
      </w:r>
    </w:p>
    <w:p w14:paraId="1D1A0AEA" w14:textId="6FBF0931" w:rsidR="00CE1B7D" w:rsidRDefault="008F2EEA" w:rsidP="008F2EEA">
      <w:pPr>
        <w:spacing w:after="0" w:line="240" w:lineRule="auto"/>
        <w:jc w:val="both"/>
        <w:rPr>
          <w:rFonts w:ascii="Times New Roman" w:hAnsi="Times New Roman" w:cs="Times New Roman"/>
        </w:rPr>
      </w:pPr>
      <w:r>
        <w:rPr>
          <w:rFonts w:ascii="Times New Roman" w:hAnsi="Times New Roman" w:cs="Times New Roman"/>
        </w:rPr>
        <w:t>versus</w:t>
      </w:r>
    </w:p>
    <w:p w14:paraId="0B216716" w14:textId="77777777" w:rsidR="00CE1B7D" w:rsidRDefault="00FD46BE" w:rsidP="008F2EEA">
      <w:pPr>
        <w:spacing w:after="0" w:line="240" w:lineRule="auto"/>
        <w:jc w:val="both"/>
        <w:rPr>
          <w:rFonts w:ascii="Times New Roman" w:hAnsi="Times New Roman" w:cs="Times New Roman"/>
        </w:rPr>
      </w:pPr>
      <w:r>
        <w:rPr>
          <w:rFonts w:ascii="Times New Roman" w:hAnsi="Times New Roman" w:cs="Times New Roman"/>
        </w:rPr>
        <w:t>THE PROVINCIAL MINING DIRECTOR MASHONALAND WEST N.O</w:t>
      </w:r>
    </w:p>
    <w:p w14:paraId="1B7C73B0" w14:textId="72BCB159" w:rsidR="00CE1B7D" w:rsidRDefault="008F2EEA" w:rsidP="008F2EEA">
      <w:pPr>
        <w:spacing w:after="0" w:line="240" w:lineRule="auto"/>
        <w:jc w:val="both"/>
        <w:rPr>
          <w:rFonts w:ascii="Times New Roman" w:hAnsi="Times New Roman" w:cs="Times New Roman"/>
        </w:rPr>
      </w:pPr>
      <w:r>
        <w:rPr>
          <w:rFonts w:ascii="Times New Roman" w:hAnsi="Times New Roman" w:cs="Times New Roman"/>
        </w:rPr>
        <w:t>and</w:t>
      </w:r>
    </w:p>
    <w:p w14:paraId="106EDF5D" w14:textId="77777777" w:rsidR="00CE1B7D" w:rsidRDefault="00FD46BE" w:rsidP="008F2EEA">
      <w:pPr>
        <w:spacing w:after="0" w:line="240" w:lineRule="auto"/>
        <w:jc w:val="both"/>
        <w:rPr>
          <w:rFonts w:ascii="Times New Roman" w:hAnsi="Times New Roman" w:cs="Times New Roman"/>
        </w:rPr>
      </w:pPr>
      <w:r>
        <w:rPr>
          <w:rFonts w:ascii="Times New Roman" w:hAnsi="Times New Roman" w:cs="Times New Roman"/>
        </w:rPr>
        <w:t>THE MINISTER OF MINES &amp; MINING DEVELOPMENT N.O</w:t>
      </w:r>
    </w:p>
    <w:p w14:paraId="087B9DA6" w14:textId="4F05BF34" w:rsidR="00CE1B7D" w:rsidRDefault="008F2EEA" w:rsidP="008F2EEA">
      <w:pPr>
        <w:spacing w:after="0" w:line="240" w:lineRule="auto"/>
        <w:jc w:val="both"/>
        <w:rPr>
          <w:rFonts w:ascii="Times New Roman" w:hAnsi="Times New Roman" w:cs="Times New Roman"/>
        </w:rPr>
      </w:pPr>
      <w:r>
        <w:rPr>
          <w:rFonts w:ascii="Times New Roman" w:hAnsi="Times New Roman" w:cs="Times New Roman"/>
        </w:rPr>
        <w:t>and</w:t>
      </w:r>
    </w:p>
    <w:p w14:paraId="095B98E3" w14:textId="77777777" w:rsidR="00CE1B7D" w:rsidRDefault="00FD46BE" w:rsidP="008F2EEA">
      <w:pPr>
        <w:spacing w:after="0" w:line="240" w:lineRule="auto"/>
        <w:jc w:val="both"/>
        <w:rPr>
          <w:rFonts w:ascii="Times New Roman" w:hAnsi="Times New Roman" w:cs="Times New Roman"/>
        </w:rPr>
      </w:pPr>
      <w:r>
        <w:rPr>
          <w:rFonts w:ascii="Times New Roman" w:hAnsi="Times New Roman" w:cs="Times New Roman"/>
        </w:rPr>
        <w:t>NORTH RAND (PRIVATE) LIMITED</w:t>
      </w:r>
    </w:p>
    <w:p w14:paraId="1A04FD0E" w14:textId="4F57E225" w:rsidR="00CE1B7D" w:rsidRDefault="008F2EEA" w:rsidP="008F2EEA">
      <w:pPr>
        <w:spacing w:after="0" w:line="240" w:lineRule="auto"/>
        <w:jc w:val="both"/>
        <w:rPr>
          <w:rFonts w:ascii="Times New Roman" w:hAnsi="Times New Roman" w:cs="Times New Roman"/>
        </w:rPr>
      </w:pPr>
      <w:r>
        <w:rPr>
          <w:rFonts w:ascii="Times New Roman" w:hAnsi="Times New Roman" w:cs="Times New Roman"/>
        </w:rPr>
        <w:t xml:space="preserve">and </w:t>
      </w:r>
    </w:p>
    <w:p w14:paraId="4C6CCB97" w14:textId="77777777" w:rsidR="00CE1B7D" w:rsidRDefault="00FD46BE" w:rsidP="008F2EEA">
      <w:pPr>
        <w:spacing w:after="0" w:line="240" w:lineRule="auto"/>
        <w:jc w:val="both"/>
        <w:rPr>
          <w:rFonts w:ascii="Times New Roman" w:hAnsi="Times New Roman" w:cs="Times New Roman"/>
        </w:rPr>
      </w:pPr>
      <w:r>
        <w:rPr>
          <w:rFonts w:ascii="Times New Roman" w:hAnsi="Times New Roman" w:cs="Times New Roman"/>
        </w:rPr>
        <w:t>BRECKRIDGE INVESTMENTS (PRIVATE) LIMITED</w:t>
      </w:r>
    </w:p>
    <w:p w14:paraId="04CB40F7" w14:textId="77777777" w:rsidR="00CE1B7D" w:rsidRDefault="00CE1B7D">
      <w:pPr>
        <w:spacing w:line="360" w:lineRule="auto"/>
        <w:jc w:val="both"/>
        <w:rPr>
          <w:rFonts w:ascii="Times New Roman" w:hAnsi="Times New Roman" w:cs="Times New Roman"/>
        </w:rPr>
      </w:pPr>
    </w:p>
    <w:p w14:paraId="048806CC" w14:textId="3CFDCF8C" w:rsidR="00CE1B7D" w:rsidRDefault="008F2EEA" w:rsidP="008F2EEA">
      <w:pPr>
        <w:spacing w:after="0" w:line="240" w:lineRule="auto"/>
        <w:jc w:val="both"/>
        <w:rPr>
          <w:rFonts w:ascii="Times New Roman" w:hAnsi="Times New Roman" w:cs="Times New Roman"/>
        </w:rPr>
      </w:pPr>
      <w:r>
        <w:rPr>
          <w:rFonts w:ascii="Times New Roman" w:hAnsi="Times New Roman" w:cs="Times New Roman"/>
        </w:rPr>
        <w:t>HIGH COURT OF ZIMBABWE</w:t>
      </w:r>
    </w:p>
    <w:p w14:paraId="71796306" w14:textId="77777777" w:rsidR="00CE1B7D" w:rsidRPr="008F2EEA" w:rsidRDefault="00FD46BE" w:rsidP="008F2EEA">
      <w:pPr>
        <w:spacing w:after="0" w:line="240" w:lineRule="auto"/>
        <w:jc w:val="both"/>
        <w:rPr>
          <w:rFonts w:ascii="Times New Roman" w:hAnsi="Times New Roman" w:cs="Times New Roman"/>
          <w:b/>
          <w:bCs/>
        </w:rPr>
      </w:pPr>
      <w:r w:rsidRPr="008F2EEA">
        <w:rPr>
          <w:rFonts w:ascii="Times New Roman" w:hAnsi="Times New Roman" w:cs="Times New Roman"/>
          <w:b/>
          <w:bCs/>
          <w:smallCaps/>
        </w:rPr>
        <w:t>Deme</w:t>
      </w:r>
      <w:r w:rsidRPr="008F2EEA">
        <w:rPr>
          <w:rFonts w:ascii="Times New Roman" w:hAnsi="Times New Roman" w:cs="Times New Roman"/>
          <w:b/>
          <w:bCs/>
        </w:rPr>
        <w:t xml:space="preserve"> J</w:t>
      </w:r>
    </w:p>
    <w:p w14:paraId="58D8CFBE" w14:textId="77C41D25" w:rsidR="00CE1B7D" w:rsidRDefault="008F2EEA" w:rsidP="008F2EEA">
      <w:pPr>
        <w:spacing w:after="0" w:line="240" w:lineRule="auto"/>
        <w:jc w:val="both"/>
        <w:rPr>
          <w:rFonts w:ascii="Times New Roman" w:hAnsi="Times New Roman" w:cs="Times New Roman"/>
        </w:rPr>
      </w:pPr>
      <w:r>
        <w:rPr>
          <w:rFonts w:ascii="Times New Roman" w:hAnsi="Times New Roman" w:cs="Times New Roman"/>
        </w:rPr>
        <w:t>HARARE, 16 January, 2025 and 12 March 2025.</w:t>
      </w:r>
    </w:p>
    <w:p w14:paraId="10A6A1E4" w14:textId="77777777" w:rsidR="00CE1B7D" w:rsidRDefault="00CE1B7D">
      <w:pPr>
        <w:spacing w:line="360" w:lineRule="auto"/>
        <w:jc w:val="both"/>
        <w:rPr>
          <w:rFonts w:ascii="Times New Roman" w:hAnsi="Times New Roman" w:cs="Times New Roman"/>
        </w:rPr>
      </w:pPr>
    </w:p>
    <w:p w14:paraId="639D5096" w14:textId="4FACB56F" w:rsidR="00CE1B7D" w:rsidRDefault="00FD46BE" w:rsidP="008F2EEA">
      <w:pPr>
        <w:spacing w:after="0" w:line="240" w:lineRule="auto"/>
        <w:jc w:val="both"/>
        <w:rPr>
          <w:rFonts w:ascii="Times New Roman" w:hAnsi="Times New Roman" w:cs="Times New Roman"/>
        </w:rPr>
      </w:pPr>
      <w:r>
        <w:rPr>
          <w:rFonts w:ascii="Times New Roman" w:hAnsi="Times New Roman" w:cs="Times New Roman"/>
        </w:rPr>
        <w:t>T</w:t>
      </w:r>
      <w:r w:rsidR="008F2EEA">
        <w:rPr>
          <w:rFonts w:ascii="Times New Roman" w:hAnsi="Times New Roman" w:cs="Times New Roman"/>
        </w:rPr>
        <w:t xml:space="preserve"> </w:t>
      </w:r>
      <w:r>
        <w:rPr>
          <w:rFonts w:ascii="Times New Roman" w:hAnsi="Times New Roman" w:cs="Times New Roman"/>
        </w:rPr>
        <w:t>W</w:t>
      </w:r>
      <w:r w:rsidR="008F2EEA">
        <w:rPr>
          <w:rFonts w:ascii="Times New Roman" w:hAnsi="Times New Roman" w:cs="Times New Roman"/>
        </w:rPr>
        <w:t xml:space="preserve"> NYAMAKURA</w:t>
      </w:r>
      <w:r>
        <w:rPr>
          <w:rFonts w:ascii="Times New Roman" w:hAnsi="Times New Roman" w:cs="Times New Roman"/>
        </w:rPr>
        <w:t>, for the applicant.</w:t>
      </w:r>
    </w:p>
    <w:p w14:paraId="25298381" w14:textId="28D1C535" w:rsidR="00CE1B7D" w:rsidRDefault="00FD46BE" w:rsidP="008F2EEA">
      <w:pPr>
        <w:spacing w:after="0" w:line="240" w:lineRule="auto"/>
        <w:jc w:val="both"/>
        <w:rPr>
          <w:rFonts w:ascii="Times New Roman" w:hAnsi="Times New Roman" w:cs="Times New Roman"/>
        </w:rPr>
      </w:pPr>
      <w:r>
        <w:rPr>
          <w:rFonts w:ascii="Times New Roman" w:hAnsi="Times New Roman" w:cs="Times New Roman"/>
        </w:rPr>
        <w:t xml:space="preserve">T </w:t>
      </w:r>
      <w:r w:rsidR="008F2EEA">
        <w:rPr>
          <w:rFonts w:ascii="Times New Roman" w:hAnsi="Times New Roman" w:cs="Times New Roman"/>
        </w:rPr>
        <w:t>ZHUWARARA</w:t>
      </w:r>
      <w:r>
        <w:rPr>
          <w:rFonts w:ascii="Times New Roman" w:hAnsi="Times New Roman" w:cs="Times New Roman"/>
        </w:rPr>
        <w:t>, for the 4</w:t>
      </w:r>
      <w:r>
        <w:rPr>
          <w:rFonts w:ascii="Times New Roman" w:hAnsi="Times New Roman" w:cs="Times New Roman"/>
          <w:vertAlign w:val="superscript"/>
        </w:rPr>
        <w:t>th</w:t>
      </w:r>
      <w:r>
        <w:rPr>
          <w:rFonts w:ascii="Times New Roman" w:hAnsi="Times New Roman" w:cs="Times New Roman"/>
        </w:rPr>
        <w:t xml:space="preserve"> Respondent.</w:t>
      </w:r>
    </w:p>
    <w:p w14:paraId="44A6ACC0" w14:textId="77777777" w:rsidR="00CE1B7D" w:rsidRDefault="00FD46BE" w:rsidP="008F2EEA">
      <w:pPr>
        <w:spacing w:after="0" w:line="240" w:lineRule="auto"/>
        <w:jc w:val="both"/>
        <w:rPr>
          <w:rFonts w:ascii="Times New Roman" w:hAnsi="Times New Roman" w:cs="Times New Roman"/>
        </w:rPr>
      </w:pPr>
      <w:r>
        <w:rPr>
          <w:rFonts w:ascii="Times New Roman" w:hAnsi="Times New Roman" w:cs="Times New Roman"/>
        </w:rPr>
        <w:t>No appearance for the 1</w:t>
      </w:r>
      <w:r>
        <w:rPr>
          <w:rFonts w:ascii="Times New Roman" w:hAnsi="Times New Roman" w:cs="Times New Roman"/>
          <w:vertAlign w:val="superscript"/>
        </w:rPr>
        <w:t>st</w:t>
      </w:r>
      <w:r>
        <w:rPr>
          <w:rFonts w:ascii="Times New Roman" w:hAnsi="Times New Roman" w:cs="Times New Roman"/>
        </w:rPr>
        <w:t>-3</w:t>
      </w:r>
      <w:r>
        <w:rPr>
          <w:rFonts w:ascii="Times New Roman" w:hAnsi="Times New Roman" w:cs="Times New Roman"/>
          <w:vertAlign w:val="superscript"/>
        </w:rPr>
        <w:t>rd</w:t>
      </w:r>
      <w:r>
        <w:rPr>
          <w:rFonts w:ascii="Times New Roman" w:hAnsi="Times New Roman" w:cs="Times New Roman"/>
        </w:rPr>
        <w:t xml:space="preserve"> Respondents.</w:t>
      </w:r>
    </w:p>
    <w:p w14:paraId="493E2721" w14:textId="77777777" w:rsidR="00CE1B7D" w:rsidRDefault="00CE1B7D">
      <w:pPr>
        <w:spacing w:line="360" w:lineRule="auto"/>
        <w:jc w:val="both"/>
        <w:rPr>
          <w:rFonts w:ascii="Times New Roman" w:hAnsi="Times New Roman" w:cs="Times New Roman"/>
        </w:rPr>
      </w:pPr>
    </w:p>
    <w:p w14:paraId="10FB6499" w14:textId="3162E8A2" w:rsidR="00CE1B7D" w:rsidRDefault="00FD46BE" w:rsidP="008F2EEA">
      <w:pPr>
        <w:spacing w:line="360" w:lineRule="auto"/>
        <w:ind w:firstLine="720"/>
        <w:jc w:val="both"/>
        <w:rPr>
          <w:rFonts w:ascii="Times New Roman" w:hAnsi="Times New Roman" w:cs="Times New Roman"/>
        </w:rPr>
      </w:pPr>
      <w:r>
        <w:rPr>
          <w:rFonts w:ascii="Times New Roman" w:hAnsi="Times New Roman" w:cs="Times New Roman"/>
        </w:rPr>
        <w:t>DEME J:</w:t>
      </w:r>
      <w:bookmarkEnd w:id="0"/>
      <w:r>
        <w:rPr>
          <w:rFonts w:ascii="Times New Roman" w:hAnsi="Times New Roman" w:cs="Times New Roman"/>
        </w:rPr>
        <w:t xml:space="preserve"> The applicants approached this court seeking an order couched in the following manner:</w:t>
      </w:r>
    </w:p>
    <w:p w14:paraId="174EFCDA" w14:textId="77777777" w:rsidR="00CE1B7D" w:rsidRPr="008F2EEA" w:rsidRDefault="00FD46BE" w:rsidP="008F2EEA">
      <w:pPr>
        <w:spacing w:line="240" w:lineRule="auto"/>
        <w:ind w:left="720"/>
        <w:jc w:val="both"/>
        <w:rPr>
          <w:rFonts w:ascii="Times New Roman" w:hAnsi="Times New Roman" w:cs="Times New Roman"/>
          <w:sz w:val="22"/>
          <w:szCs w:val="22"/>
        </w:rPr>
      </w:pPr>
      <w:r w:rsidRPr="008F2EEA">
        <w:rPr>
          <w:rFonts w:ascii="Times New Roman" w:hAnsi="Times New Roman" w:cs="Times New Roman"/>
          <w:sz w:val="22"/>
          <w:szCs w:val="22"/>
        </w:rPr>
        <w:t>“1. The 1</w:t>
      </w:r>
      <w:r w:rsidRPr="008F2EEA">
        <w:rPr>
          <w:rFonts w:ascii="Times New Roman" w:hAnsi="Times New Roman" w:cs="Times New Roman"/>
          <w:sz w:val="22"/>
          <w:szCs w:val="22"/>
          <w:vertAlign w:val="superscript"/>
        </w:rPr>
        <w:t>st</w:t>
      </w:r>
      <w:r w:rsidRPr="008F2EEA">
        <w:rPr>
          <w:rFonts w:ascii="Times New Roman" w:hAnsi="Times New Roman" w:cs="Times New Roman"/>
          <w:sz w:val="22"/>
          <w:szCs w:val="22"/>
        </w:rPr>
        <w:t xml:space="preserve"> Respondent be and is hereby compelled to allow the Applicant access to inspect and make copies of all the documents contained within the files of the following mining claims:</w:t>
      </w:r>
    </w:p>
    <w:p w14:paraId="4C4704AC" w14:textId="77777777" w:rsidR="00CE1B7D" w:rsidRDefault="00CE1B7D">
      <w:pPr>
        <w:spacing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803"/>
        <w:gridCol w:w="1803"/>
        <w:gridCol w:w="1803"/>
        <w:gridCol w:w="1803"/>
        <w:gridCol w:w="1804"/>
      </w:tblGrid>
      <w:tr w:rsidR="00CE1B7D" w14:paraId="0FA164D4" w14:textId="77777777">
        <w:tc>
          <w:tcPr>
            <w:tcW w:w="1803" w:type="dxa"/>
          </w:tcPr>
          <w:p w14:paraId="5B8B0D47" w14:textId="77777777" w:rsidR="00CE1B7D" w:rsidRDefault="00FD46BE">
            <w:pPr>
              <w:spacing w:after="0" w:line="240" w:lineRule="auto"/>
              <w:jc w:val="both"/>
              <w:rPr>
                <w:rFonts w:ascii="Times New Roman" w:hAnsi="Times New Roman" w:cs="Times New Roman"/>
                <w:b/>
                <w:bCs/>
              </w:rPr>
            </w:pPr>
            <w:r>
              <w:rPr>
                <w:rFonts w:ascii="Times New Roman" w:hAnsi="Times New Roman" w:cs="Times New Roman"/>
                <w:b/>
                <w:bCs/>
              </w:rPr>
              <w:t>Name</w:t>
            </w:r>
          </w:p>
        </w:tc>
        <w:tc>
          <w:tcPr>
            <w:tcW w:w="1803" w:type="dxa"/>
          </w:tcPr>
          <w:p w14:paraId="008951FC" w14:textId="77777777" w:rsidR="00CE1B7D" w:rsidRDefault="00FD46BE">
            <w:pPr>
              <w:spacing w:after="0" w:line="240" w:lineRule="auto"/>
              <w:jc w:val="both"/>
              <w:rPr>
                <w:rFonts w:ascii="Times New Roman" w:hAnsi="Times New Roman" w:cs="Times New Roman"/>
                <w:b/>
                <w:bCs/>
              </w:rPr>
            </w:pPr>
            <w:r>
              <w:rPr>
                <w:rFonts w:ascii="Times New Roman" w:hAnsi="Times New Roman" w:cs="Times New Roman"/>
                <w:b/>
                <w:bCs/>
              </w:rPr>
              <w:t>Registration No.</w:t>
            </w:r>
          </w:p>
        </w:tc>
        <w:tc>
          <w:tcPr>
            <w:tcW w:w="1803" w:type="dxa"/>
          </w:tcPr>
          <w:p w14:paraId="2F1AE752" w14:textId="77777777" w:rsidR="00CE1B7D" w:rsidRDefault="00FD46BE">
            <w:pPr>
              <w:spacing w:after="0" w:line="240" w:lineRule="auto"/>
              <w:jc w:val="both"/>
              <w:rPr>
                <w:rFonts w:ascii="Times New Roman" w:hAnsi="Times New Roman" w:cs="Times New Roman"/>
                <w:b/>
                <w:bCs/>
              </w:rPr>
            </w:pPr>
            <w:r>
              <w:rPr>
                <w:rFonts w:ascii="Times New Roman" w:hAnsi="Times New Roman" w:cs="Times New Roman"/>
                <w:b/>
                <w:bCs/>
              </w:rPr>
              <w:t>In Respect of</w:t>
            </w:r>
          </w:p>
        </w:tc>
        <w:tc>
          <w:tcPr>
            <w:tcW w:w="1803" w:type="dxa"/>
          </w:tcPr>
          <w:p w14:paraId="3629062A" w14:textId="77777777" w:rsidR="00CE1B7D" w:rsidRDefault="00FD46BE">
            <w:pPr>
              <w:spacing w:after="0" w:line="240" w:lineRule="auto"/>
              <w:jc w:val="both"/>
              <w:rPr>
                <w:rFonts w:ascii="Times New Roman" w:hAnsi="Times New Roman" w:cs="Times New Roman"/>
                <w:b/>
                <w:bCs/>
              </w:rPr>
            </w:pPr>
            <w:r>
              <w:rPr>
                <w:rFonts w:ascii="Times New Roman" w:hAnsi="Times New Roman" w:cs="Times New Roman"/>
                <w:b/>
                <w:bCs/>
              </w:rPr>
              <w:t>No. of Claims</w:t>
            </w:r>
          </w:p>
        </w:tc>
        <w:tc>
          <w:tcPr>
            <w:tcW w:w="1804" w:type="dxa"/>
          </w:tcPr>
          <w:p w14:paraId="5EDE4246" w14:textId="77777777" w:rsidR="00CE1B7D" w:rsidRDefault="00FD46BE">
            <w:pPr>
              <w:spacing w:after="0" w:line="240" w:lineRule="auto"/>
              <w:jc w:val="both"/>
              <w:rPr>
                <w:rFonts w:ascii="Times New Roman" w:hAnsi="Times New Roman" w:cs="Times New Roman"/>
                <w:b/>
                <w:bCs/>
              </w:rPr>
            </w:pPr>
            <w:r>
              <w:rPr>
                <w:rFonts w:ascii="Times New Roman" w:hAnsi="Times New Roman" w:cs="Times New Roman"/>
                <w:b/>
                <w:bCs/>
              </w:rPr>
              <w:t>Situated</w:t>
            </w:r>
          </w:p>
        </w:tc>
      </w:tr>
      <w:tr w:rsidR="00CE1B7D" w14:paraId="759CF04B" w14:textId="77777777">
        <w:tc>
          <w:tcPr>
            <w:tcW w:w="1803" w:type="dxa"/>
          </w:tcPr>
          <w:p w14:paraId="3DA5D3FC"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Bono</w:t>
            </w:r>
          </w:p>
        </w:tc>
        <w:tc>
          <w:tcPr>
            <w:tcW w:w="1803" w:type="dxa"/>
          </w:tcPr>
          <w:p w14:paraId="1DC24284"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14860</w:t>
            </w:r>
          </w:p>
        </w:tc>
        <w:tc>
          <w:tcPr>
            <w:tcW w:w="1803" w:type="dxa"/>
          </w:tcPr>
          <w:p w14:paraId="407E7EDF"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4FD5FE56"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9</w:t>
            </w:r>
          </w:p>
        </w:tc>
        <w:tc>
          <w:tcPr>
            <w:tcW w:w="1804" w:type="dxa"/>
          </w:tcPr>
          <w:p w14:paraId="5F8B147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0AA35688" w14:textId="77777777">
        <w:tc>
          <w:tcPr>
            <w:tcW w:w="1803" w:type="dxa"/>
          </w:tcPr>
          <w:p w14:paraId="20BB7000"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Bono 2</w:t>
            </w:r>
          </w:p>
        </w:tc>
        <w:tc>
          <w:tcPr>
            <w:tcW w:w="1803" w:type="dxa"/>
          </w:tcPr>
          <w:p w14:paraId="51C46220"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14770</w:t>
            </w:r>
          </w:p>
        </w:tc>
        <w:tc>
          <w:tcPr>
            <w:tcW w:w="1803" w:type="dxa"/>
          </w:tcPr>
          <w:p w14:paraId="75F55351"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 xml:space="preserve">Gold </w:t>
            </w:r>
          </w:p>
        </w:tc>
        <w:tc>
          <w:tcPr>
            <w:tcW w:w="1803" w:type="dxa"/>
          </w:tcPr>
          <w:p w14:paraId="5F8A47A1"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9</w:t>
            </w:r>
          </w:p>
        </w:tc>
        <w:tc>
          <w:tcPr>
            <w:tcW w:w="1804" w:type="dxa"/>
          </w:tcPr>
          <w:p w14:paraId="56EAD96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0EC6BABB" w14:textId="77777777">
        <w:tc>
          <w:tcPr>
            <w:tcW w:w="1803" w:type="dxa"/>
          </w:tcPr>
          <w:p w14:paraId="373B5A8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Bono 3</w:t>
            </w:r>
          </w:p>
        </w:tc>
        <w:tc>
          <w:tcPr>
            <w:tcW w:w="1803" w:type="dxa"/>
          </w:tcPr>
          <w:p w14:paraId="7B0CAC94"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14771</w:t>
            </w:r>
          </w:p>
        </w:tc>
        <w:tc>
          <w:tcPr>
            <w:tcW w:w="1803" w:type="dxa"/>
          </w:tcPr>
          <w:p w14:paraId="3045AB2B"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7BC45EC5"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377496B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6C4510AF" w14:textId="77777777">
        <w:tc>
          <w:tcPr>
            <w:tcW w:w="1803" w:type="dxa"/>
          </w:tcPr>
          <w:p w14:paraId="78F66003"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Blue Streak</w:t>
            </w:r>
          </w:p>
        </w:tc>
        <w:tc>
          <w:tcPr>
            <w:tcW w:w="1803" w:type="dxa"/>
          </w:tcPr>
          <w:p w14:paraId="1ECE4941"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12918</w:t>
            </w:r>
          </w:p>
        </w:tc>
        <w:tc>
          <w:tcPr>
            <w:tcW w:w="1803" w:type="dxa"/>
          </w:tcPr>
          <w:p w14:paraId="6ADD0752"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3C6EC44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006CE2CA"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0C394173" w14:textId="77777777">
        <w:tc>
          <w:tcPr>
            <w:tcW w:w="1803" w:type="dxa"/>
          </w:tcPr>
          <w:p w14:paraId="309DF759"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Blue Streak 2</w:t>
            </w:r>
          </w:p>
        </w:tc>
        <w:tc>
          <w:tcPr>
            <w:tcW w:w="1803" w:type="dxa"/>
          </w:tcPr>
          <w:p w14:paraId="3726D465"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12989</w:t>
            </w:r>
          </w:p>
        </w:tc>
        <w:tc>
          <w:tcPr>
            <w:tcW w:w="1803" w:type="dxa"/>
          </w:tcPr>
          <w:p w14:paraId="67AEEFF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3D38EFA9"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4C4EF5D1"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75FAD203" w14:textId="77777777">
        <w:tc>
          <w:tcPr>
            <w:tcW w:w="1803" w:type="dxa"/>
          </w:tcPr>
          <w:p w14:paraId="0B90892F"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Blue Streak 8</w:t>
            </w:r>
          </w:p>
        </w:tc>
        <w:tc>
          <w:tcPr>
            <w:tcW w:w="1803" w:type="dxa"/>
          </w:tcPr>
          <w:p w14:paraId="42EB9096"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14132</w:t>
            </w:r>
          </w:p>
        </w:tc>
        <w:tc>
          <w:tcPr>
            <w:tcW w:w="1803" w:type="dxa"/>
          </w:tcPr>
          <w:p w14:paraId="6216B364"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1BECE88F"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6AA278A2"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45466985" w14:textId="77777777">
        <w:tc>
          <w:tcPr>
            <w:tcW w:w="1803" w:type="dxa"/>
          </w:tcPr>
          <w:p w14:paraId="3257C443"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Blue Streak 9</w:t>
            </w:r>
          </w:p>
        </w:tc>
        <w:tc>
          <w:tcPr>
            <w:tcW w:w="1803" w:type="dxa"/>
          </w:tcPr>
          <w:p w14:paraId="6C110BE3"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14145</w:t>
            </w:r>
          </w:p>
        </w:tc>
        <w:tc>
          <w:tcPr>
            <w:tcW w:w="1803" w:type="dxa"/>
          </w:tcPr>
          <w:p w14:paraId="6502039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1950A913"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467302FC"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3AC1862A" w14:textId="77777777">
        <w:tc>
          <w:tcPr>
            <w:tcW w:w="1803" w:type="dxa"/>
          </w:tcPr>
          <w:p w14:paraId="394AE35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Blue Streak 10</w:t>
            </w:r>
          </w:p>
        </w:tc>
        <w:tc>
          <w:tcPr>
            <w:tcW w:w="1803" w:type="dxa"/>
          </w:tcPr>
          <w:p w14:paraId="09005A26"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14146</w:t>
            </w:r>
          </w:p>
        </w:tc>
        <w:tc>
          <w:tcPr>
            <w:tcW w:w="1803" w:type="dxa"/>
          </w:tcPr>
          <w:p w14:paraId="6D8F199A"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25D612D2"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8</w:t>
            </w:r>
          </w:p>
        </w:tc>
        <w:tc>
          <w:tcPr>
            <w:tcW w:w="1804" w:type="dxa"/>
          </w:tcPr>
          <w:p w14:paraId="209CCF1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4394E27E" w14:textId="77777777">
        <w:tc>
          <w:tcPr>
            <w:tcW w:w="1803" w:type="dxa"/>
          </w:tcPr>
          <w:p w14:paraId="2D44C6CF"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Blue Streak 11</w:t>
            </w:r>
          </w:p>
        </w:tc>
        <w:tc>
          <w:tcPr>
            <w:tcW w:w="1803" w:type="dxa"/>
          </w:tcPr>
          <w:p w14:paraId="428BCCF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14259</w:t>
            </w:r>
          </w:p>
        </w:tc>
        <w:tc>
          <w:tcPr>
            <w:tcW w:w="1803" w:type="dxa"/>
          </w:tcPr>
          <w:p w14:paraId="0842EA70"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0A2881D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6</w:t>
            </w:r>
          </w:p>
        </w:tc>
        <w:tc>
          <w:tcPr>
            <w:tcW w:w="1804" w:type="dxa"/>
          </w:tcPr>
          <w:p w14:paraId="4F09BC9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185788EF" w14:textId="77777777">
        <w:tc>
          <w:tcPr>
            <w:tcW w:w="1803" w:type="dxa"/>
          </w:tcPr>
          <w:p w14:paraId="41C1DC5B"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Blue Streak 12</w:t>
            </w:r>
          </w:p>
        </w:tc>
        <w:tc>
          <w:tcPr>
            <w:tcW w:w="1803" w:type="dxa"/>
          </w:tcPr>
          <w:p w14:paraId="452F6E11"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14260</w:t>
            </w:r>
          </w:p>
        </w:tc>
        <w:tc>
          <w:tcPr>
            <w:tcW w:w="1803" w:type="dxa"/>
          </w:tcPr>
          <w:p w14:paraId="479E684E"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231441EB"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5B319615"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07A74101" w14:textId="77777777">
        <w:tc>
          <w:tcPr>
            <w:tcW w:w="1803" w:type="dxa"/>
          </w:tcPr>
          <w:p w14:paraId="712D027A"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Blue Streak 13</w:t>
            </w:r>
          </w:p>
        </w:tc>
        <w:tc>
          <w:tcPr>
            <w:tcW w:w="1803" w:type="dxa"/>
          </w:tcPr>
          <w:p w14:paraId="66C4F15D"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14261</w:t>
            </w:r>
          </w:p>
        </w:tc>
        <w:tc>
          <w:tcPr>
            <w:tcW w:w="1803" w:type="dxa"/>
          </w:tcPr>
          <w:p w14:paraId="2C6C5E1E"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54637CDD"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07BA0D92"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052F8059" w14:textId="77777777">
        <w:tc>
          <w:tcPr>
            <w:tcW w:w="1803" w:type="dxa"/>
          </w:tcPr>
          <w:p w14:paraId="36758839"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Concession Hill (w Portion)</w:t>
            </w:r>
          </w:p>
        </w:tc>
        <w:tc>
          <w:tcPr>
            <w:tcW w:w="1803" w:type="dxa"/>
          </w:tcPr>
          <w:p w14:paraId="55F7C9C6"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319B</w:t>
            </w:r>
          </w:p>
        </w:tc>
        <w:tc>
          <w:tcPr>
            <w:tcW w:w="1803" w:type="dxa"/>
          </w:tcPr>
          <w:p w14:paraId="1E048D52"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 xml:space="preserve">Gold </w:t>
            </w:r>
          </w:p>
        </w:tc>
        <w:tc>
          <w:tcPr>
            <w:tcW w:w="1803" w:type="dxa"/>
          </w:tcPr>
          <w:p w14:paraId="2FAE34D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5</w:t>
            </w:r>
          </w:p>
        </w:tc>
        <w:tc>
          <w:tcPr>
            <w:tcW w:w="1804" w:type="dxa"/>
          </w:tcPr>
          <w:p w14:paraId="492E02D5"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2169A0ED" w14:textId="77777777">
        <w:tc>
          <w:tcPr>
            <w:tcW w:w="1803" w:type="dxa"/>
          </w:tcPr>
          <w:p w14:paraId="0A5B7714"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Duchess 2</w:t>
            </w:r>
          </w:p>
        </w:tc>
        <w:tc>
          <w:tcPr>
            <w:tcW w:w="1803" w:type="dxa"/>
          </w:tcPr>
          <w:p w14:paraId="71F3FC33"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13938</w:t>
            </w:r>
          </w:p>
        </w:tc>
        <w:tc>
          <w:tcPr>
            <w:tcW w:w="1803" w:type="dxa"/>
          </w:tcPr>
          <w:p w14:paraId="381F2ABC"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1EB7520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79D2A750"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0DA46ABC" w14:textId="77777777">
        <w:tc>
          <w:tcPr>
            <w:tcW w:w="1803" w:type="dxa"/>
          </w:tcPr>
          <w:p w14:paraId="6C4F571F"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Hilldene M</w:t>
            </w:r>
          </w:p>
        </w:tc>
        <w:tc>
          <w:tcPr>
            <w:tcW w:w="1803" w:type="dxa"/>
          </w:tcPr>
          <w:p w14:paraId="3ACE34DA"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14144</w:t>
            </w:r>
          </w:p>
        </w:tc>
        <w:tc>
          <w:tcPr>
            <w:tcW w:w="1803" w:type="dxa"/>
          </w:tcPr>
          <w:p w14:paraId="13CE5AF3"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6E83E841"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7</w:t>
            </w:r>
          </w:p>
        </w:tc>
        <w:tc>
          <w:tcPr>
            <w:tcW w:w="1804" w:type="dxa"/>
          </w:tcPr>
          <w:p w14:paraId="5571E67F"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5C5EDD0D" w14:textId="77777777">
        <w:tc>
          <w:tcPr>
            <w:tcW w:w="1803" w:type="dxa"/>
          </w:tcPr>
          <w:p w14:paraId="779F648B"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lastRenderedPageBreak/>
              <w:t>Homelands 2</w:t>
            </w:r>
          </w:p>
        </w:tc>
        <w:tc>
          <w:tcPr>
            <w:tcW w:w="1803" w:type="dxa"/>
          </w:tcPr>
          <w:p w14:paraId="38E115D1"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14143</w:t>
            </w:r>
          </w:p>
        </w:tc>
        <w:tc>
          <w:tcPr>
            <w:tcW w:w="1803" w:type="dxa"/>
          </w:tcPr>
          <w:p w14:paraId="2E0ECD5E"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08E94BD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790F55E3"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1737142F" w14:textId="77777777">
        <w:tc>
          <w:tcPr>
            <w:tcW w:w="1803" w:type="dxa"/>
          </w:tcPr>
          <w:p w14:paraId="3E5311AA"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Pickstone North</w:t>
            </w:r>
          </w:p>
        </w:tc>
        <w:tc>
          <w:tcPr>
            <w:tcW w:w="1803" w:type="dxa"/>
          </w:tcPr>
          <w:p w14:paraId="13D98DB6"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14037</w:t>
            </w:r>
          </w:p>
        </w:tc>
        <w:tc>
          <w:tcPr>
            <w:tcW w:w="1803" w:type="dxa"/>
          </w:tcPr>
          <w:p w14:paraId="1C1E48A0"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50D4DCDE"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112A1A13"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7BDC1CA9" w14:textId="77777777">
        <w:tc>
          <w:tcPr>
            <w:tcW w:w="1803" w:type="dxa"/>
          </w:tcPr>
          <w:p w14:paraId="370E1B4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Peerless</w:t>
            </w:r>
          </w:p>
        </w:tc>
        <w:tc>
          <w:tcPr>
            <w:tcW w:w="1803" w:type="dxa"/>
          </w:tcPr>
          <w:p w14:paraId="3339423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8034</w:t>
            </w:r>
          </w:p>
        </w:tc>
        <w:tc>
          <w:tcPr>
            <w:tcW w:w="1803" w:type="dxa"/>
          </w:tcPr>
          <w:p w14:paraId="36AE2680"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5207D344"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1140BE95"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4ED102CC" w14:textId="77777777">
        <w:tc>
          <w:tcPr>
            <w:tcW w:w="1803" w:type="dxa"/>
          </w:tcPr>
          <w:p w14:paraId="46448AFC"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Venning</w:t>
            </w:r>
          </w:p>
        </w:tc>
        <w:tc>
          <w:tcPr>
            <w:tcW w:w="1803" w:type="dxa"/>
          </w:tcPr>
          <w:p w14:paraId="4E94CEAC"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9315</w:t>
            </w:r>
          </w:p>
        </w:tc>
        <w:tc>
          <w:tcPr>
            <w:tcW w:w="1803" w:type="dxa"/>
          </w:tcPr>
          <w:p w14:paraId="3DC97041"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73E44A4C"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180339E7"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6E03B0B1" w14:textId="77777777">
        <w:tc>
          <w:tcPr>
            <w:tcW w:w="1803" w:type="dxa"/>
          </w:tcPr>
          <w:p w14:paraId="43652892"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Warren 2</w:t>
            </w:r>
          </w:p>
        </w:tc>
        <w:tc>
          <w:tcPr>
            <w:tcW w:w="1803" w:type="dxa"/>
          </w:tcPr>
          <w:p w14:paraId="1AD2486D"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14772</w:t>
            </w:r>
          </w:p>
        </w:tc>
        <w:tc>
          <w:tcPr>
            <w:tcW w:w="1803" w:type="dxa"/>
          </w:tcPr>
          <w:p w14:paraId="103139D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4B84C871"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10</w:t>
            </w:r>
          </w:p>
        </w:tc>
        <w:tc>
          <w:tcPr>
            <w:tcW w:w="1804" w:type="dxa"/>
          </w:tcPr>
          <w:p w14:paraId="400A8100"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r w:rsidR="00CE1B7D" w14:paraId="53CC0693" w14:textId="77777777">
        <w:tc>
          <w:tcPr>
            <w:tcW w:w="1803" w:type="dxa"/>
          </w:tcPr>
          <w:p w14:paraId="1E9E7262"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Duchess 3</w:t>
            </w:r>
          </w:p>
        </w:tc>
        <w:tc>
          <w:tcPr>
            <w:tcW w:w="1803" w:type="dxa"/>
          </w:tcPr>
          <w:p w14:paraId="3F96EBA6"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6436</w:t>
            </w:r>
          </w:p>
        </w:tc>
        <w:tc>
          <w:tcPr>
            <w:tcW w:w="1803" w:type="dxa"/>
          </w:tcPr>
          <w:p w14:paraId="1BDB152D"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Gold</w:t>
            </w:r>
          </w:p>
        </w:tc>
        <w:tc>
          <w:tcPr>
            <w:tcW w:w="1803" w:type="dxa"/>
          </w:tcPr>
          <w:p w14:paraId="3EC818F8"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11</w:t>
            </w:r>
          </w:p>
        </w:tc>
        <w:tc>
          <w:tcPr>
            <w:tcW w:w="1804" w:type="dxa"/>
          </w:tcPr>
          <w:p w14:paraId="1D72AFB9" w14:textId="77777777" w:rsidR="00CE1B7D" w:rsidRDefault="00FD46BE">
            <w:pPr>
              <w:spacing w:after="0" w:line="240" w:lineRule="auto"/>
              <w:jc w:val="both"/>
              <w:rPr>
                <w:rFonts w:ascii="Times New Roman" w:hAnsi="Times New Roman" w:cs="Times New Roman"/>
              </w:rPr>
            </w:pPr>
            <w:r>
              <w:rPr>
                <w:rFonts w:ascii="Times New Roman" w:hAnsi="Times New Roman" w:cs="Times New Roman"/>
              </w:rPr>
              <w:t>Kadoma</w:t>
            </w:r>
          </w:p>
        </w:tc>
      </w:tr>
    </w:tbl>
    <w:p w14:paraId="55252259" w14:textId="77777777" w:rsidR="00CE1B7D" w:rsidRDefault="00CE1B7D">
      <w:pPr>
        <w:spacing w:line="240" w:lineRule="auto"/>
        <w:jc w:val="both"/>
        <w:rPr>
          <w:rFonts w:ascii="Times New Roman" w:hAnsi="Times New Roman" w:cs="Times New Roman"/>
        </w:rPr>
      </w:pPr>
    </w:p>
    <w:p w14:paraId="0CA38E38" w14:textId="77777777" w:rsidR="00CE1B7D" w:rsidRPr="008F2EEA" w:rsidRDefault="00FD46BE">
      <w:pPr>
        <w:spacing w:line="240" w:lineRule="auto"/>
        <w:jc w:val="both"/>
        <w:rPr>
          <w:rFonts w:ascii="Times New Roman" w:hAnsi="Times New Roman" w:cs="Times New Roman"/>
          <w:sz w:val="22"/>
          <w:szCs w:val="22"/>
        </w:rPr>
      </w:pPr>
      <w:r w:rsidRPr="008F2EEA">
        <w:rPr>
          <w:rFonts w:ascii="Times New Roman" w:hAnsi="Times New Roman" w:cs="Times New Roman"/>
          <w:sz w:val="22"/>
          <w:szCs w:val="22"/>
        </w:rPr>
        <w:t>For use in the trial under case number HC 2587/18.</w:t>
      </w:r>
    </w:p>
    <w:p w14:paraId="7993C4AB" w14:textId="77777777" w:rsidR="00CE1B7D" w:rsidRPr="008F2EEA" w:rsidRDefault="00FD46BE">
      <w:pPr>
        <w:spacing w:line="240" w:lineRule="auto"/>
        <w:jc w:val="both"/>
        <w:rPr>
          <w:rFonts w:ascii="Times New Roman" w:hAnsi="Times New Roman" w:cs="Times New Roman"/>
          <w:sz w:val="22"/>
          <w:szCs w:val="22"/>
        </w:rPr>
      </w:pPr>
      <w:r w:rsidRPr="008F2EEA">
        <w:rPr>
          <w:rFonts w:ascii="Times New Roman" w:hAnsi="Times New Roman" w:cs="Times New Roman"/>
          <w:sz w:val="22"/>
          <w:szCs w:val="22"/>
        </w:rPr>
        <w:t>2. In the event that the 1</w:t>
      </w:r>
      <w:r w:rsidRPr="008F2EEA">
        <w:rPr>
          <w:rFonts w:ascii="Times New Roman" w:hAnsi="Times New Roman" w:cs="Times New Roman"/>
          <w:sz w:val="22"/>
          <w:szCs w:val="22"/>
          <w:vertAlign w:val="superscript"/>
        </w:rPr>
        <w:t>st</w:t>
      </w:r>
      <w:r w:rsidRPr="008F2EEA">
        <w:rPr>
          <w:rFonts w:ascii="Times New Roman" w:hAnsi="Times New Roman" w:cs="Times New Roman"/>
          <w:sz w:val="22"/>
          <w:szCs w:val="22"/>
        </w:rPr>
        <w:t xml:space="preserve"> Respondent does not comply, the 2</w:t>
      </w:r>
      <w:r w:rsidRPr="008F2EEA">
        <w:rPr>
          <w:rFonts w:ascii="Times New Roman" w:hAnsi="Times New Roman" w:cs="Times New Roman"/>
          <w:sz w:val="22"/>
          <w:szCs w:val="22"/>
          <w:vertAlign w:val="superscript"/>
        </w:rPr>
        <w:t>nd</w:t>
      </w:r>
      <w:r w:rsidRPr="008F2EEA">
        <w:rPr>
          <w:rFonts w:ascii="Times New Roman" w:hAnsi="Times New Roman" w:cs="Times New Roman"/>
          <w:sz w:val="22"/>
          <w:szCs w:val="22"/>
        </w:rPr>
        <w:t xml:space="preserve"> Respondent be and is hereby compelled to instruct the 1</w:t>
      </w:r>
      <w:r w:rsidRPr="008F2EEA">
        <w:rPr>
          <w:rFonts w:ascii="Times New Roman" w:hAnsi="Times New Roman" w:cs="Times New Roman"/>
          <w:sz w:val="22"/>
          <w:szCs w:val="22"/>
          <w:vertAlign w:val="superscript"/>
        </w:rPr>
        <w:t>st</w:t>
      </w:r>
      <w:r w:rsidRPr="008F2EEA">
        <w:rPr>
          <w:rFonts w:ascii="Times New Roman" w:hAnsi="Times New Roman" w:cs="Times New Roman"/>
          <w:sz w:val="22"/>
          <w:szCs w:val="22"/>
        </w:rPr>
        <w:t xml:space="preserve"> Respondent to allow the Applicant access to inspect and make copies of all the documents contained within the files listed in paragraph one of this Order for use in the trial under case number HC2587/18.</w:t>
      </w:r>
    </w:p>
    <w:p w14:paraId="34ECDB84" w14:textId="77777777" w:rsidR="00CE1B7D" w:rsidRPr="008F2EEA" w:rsidRDefault="00FD46BE">
      <w:pPr>
        <w:spacing w:line="240" w:lineRule="auto"/>
        <w:jc w:val="both"/>
        <w:rPr>
          <w:rFonts w:ascii="Times New Roman" w:hAnsi="Times New Roman" w:cs="Times New Roman"/>
          <w:sz w:val="22"/>
          <w:szCs w:val="22"/>
        </w:rPr>
      </w:pPr>
      <w:r w:rsidRPr="008F2EEA">
        <w:rPr>
          <w:rFonts w:ascii="Times New Roman" w:hAnsi="Times New Roman" w:cs="Times New Roman"/>
          <w:sz w:val="22"/>
          <w:szCs w:val="22"/>
        </w:rPr>
        <w:t>3. In the event that the 1</w:t>
      </w:r>
      <w:r w:rsidRPr="008F2EEA">
        <w:rPr>
          <w:rFonts w:ascii="Times New Roman" w:hAnsi="Times New Roman" w:cs="Times New Roman"/>
          <w:sz w:val="22"/>
          <w:szCs w:val="22"/>
          <w:vertAlign w:val="superscript"/>
        </w:rPr>
        <w:t>st</w:t>
      </w:r>
      <w:r w:rsidRPr="008F2EEA">
        <w:rPr>
          <w:rFonts w:ascii="Times New Roman" w:hAnsi="Times New Roman" w:cs="Times New Roman"/>
          <w:sz w:val="22"/>
          <w:szCs w:val="22"/>
        </w:rPr>
        <w:t xml:space="preserve"> and 2</w:t>
      </w:r>
      <w:r w:rsidRPr="008F2EEA">
        <w:rPr>
          <w:rFonts w:ascii="Times New Roman" w:hAnsi="Times New Roman" w:cs="Times New Roman"/>
          <w:sz w:val="22"/>
          <w:szCs w:val="22"/>
          <w:vertAlign w:val="superscript"/>
        </w:rPr>
        <w:t>nd</w:t>
      </w:r>
      <w:r w:rsidRPr="008F2EEA">
        <w:rPr>
          <w:rFonts w:ascii="Times New Roman" w:hAnsi="Times New Roman" w:cs="Times New Roman"/>
          <w:sz w:val="22"/>
          <w:szCs w:val="22"/>
        </w:rPr>
        <w:t xml:space="preserve"> Respondents do not comply, the Sheriff of the High Court of Zimbabwe be and is hereby granted the authority of this honourable court to attend to the 1</w:t>
      </w:r>
      <w:r w:rsidRPr="008F2EEA">
        <w:rPr>
          <w:rFonts w:ascii="Times New Roman" w:hAnsi="Times New Roman" w:cs="Times New Roman"/>
          <w:sz w:val="22"/>
          <w:szCs w:val="22"/>
          <w:vertAlign w:val="superscript"/>
        </w:rPr>
        <w:t>st</w:t>
      </w:r>
      <w:r w:rsidRPr="008F2EEA">
        <w:rPr>
          <w:rFonts w:ascii="Times New Roman" w:hAnsi="Times New Roman" w:cs="Times New Roman"/>
          <w:sz w:val="22"/>
          <w:szCs w:val="22"/>
        </w:rPr>
        <w:t xml:space="preserve"> Respondent’s office and to facilitate access to the Applicant to inspect and make copies of all the documents contained within the files listed in paragraph one of this Order for use in the trial under case number HC2587/18.</w:t>
      </w:r>
    </w:p>
    <w:p w14:paraId="1FE01E6B" w14:textId="4AA8B030" w:rsidR="00CE1B7D" w:rsidRDefault="00FD46BE" w:rsidP="008F2EEA">
      <w:pPr>
        <w:spacing w:line="240" w:lineRule="auto"/>
        <w:jc w:val="both"/>
        <w:rPr>
          <w:rFonts w:ascii="Times New Roman" w:hAnsi="Times New Roman" w:cs="Times New Roman"/>
        </w:rPr>
      </w:pPr>
      <w:r>
        <w:rPr>
          <w:rFonts w:ascii="Times New Roman" w:hAnsi="Times New Roman" w:cs="Times New Roman"/>
        </w:rPr>
        <w:t>4. Each party to bear its own costs.”</w:t>
      </w:r>
    </w:p>
    <w:p w14:paraId="73FBB6B9" w14:textId="11C6C9F3" w:rsidR="00CE1B7D" w:rsidRDefault="008F2EEA" w:rsidP="0092736B">
      <w:pPr>
        <w:spacing w:after="0" w:line="360" w:lineRule="auto"/>
        <w:ind w:firstLine="720"/>
        <w:jc w:val="both"/>
        <w:rPr>
          <w:rFonts w:ascii="Times New Roman" w:hAnsi="Times New Roman" w:cs="Times New Roman"/>
        </w:rPr>
      </w:pPr>
      <w:r>
        <w:rPr>
          <w:rFonts w:ascii="Times New Roman" w:hAnsi="Times New Roman" w:cs="Times New Roman"/>
        </w:rPr>
        <w:t xml:space="preserve">Sometime in 1996, the Applicant concluded an agreement in terms of which the Applicant transferred some mining claims identified in para 1 of its draft order to the </w:t>
      </w:r>
      <w:r w:rsidR="0092736B">
        <w:rPr>
          <w:rFonts w:ascii="Times New Roman" w:hAnsi="Times New Roman" w:cs="Times New Roman"/>
        </w:rPr>
        <w:t xml:space="preserve">third </w:t>
      </w:r>
      <w:r>
        <w:rPr>
          <w:rFonts w:ascii="Times New Roman" w:hAnsi="Times New Roman" w:cs="Times New Roman"/>
        </w:rPr>
        <w:t xml:space="preserve">Respondent. The Applicant alleged that the </w:t>
      </w:r>
      <w:r w:rsidR="0092736B">
        <w:rPr>
          <w:rFonts w:ascii="Times New Roman" w:hAnsi="Times New Roman" w:cs="Times New Roman"/>
        </w:rPr>
        <w:t xml:space="preserve">third </w:t>
      </w:r>
      <w:r>
        <w:rPr>
          <w:rFonts w:ascii="Times New Roman" w:hAnsi="Times New Roman" w:cs="Times New Roman"/>
        </w:rPr>
        <w:t>Respondent breached the agreement which forced the Applicant to approach this court under HC4945/18 seeking the cancellation of the agreement. This court confirmed the cancellation of the agreement.</w:t>
      </w:r>
    </w:p>
    <w:p w14:paraId="2D62E63C" w14:textId="7A7EF11F" w:rsidR="00CE1B7D" w:rsidRDefault="00FD46BE" w:rsidP="0092736B">
      <w:pPr>
        <w:spacing w:after="0" w:line="360" w:lineRule="auto"/>
        <w:ind w:firstLine="720"/>
        <w:jc w:val="both"/>
        <w:rPr>
          <w:rFonts w:ascii="Times New Roman" w:hAnsi="Times New Roman" w:cs="Times New Roman"/>
        </w:rPr>
      </w:pPr>
      <w:r>
        <w:rPr>
          <w:rFonts w:ascii="Times New Roman" w:hAnsi="Times New Roman" w:cs="Times New Roman"/>
        </w:rPr>
        <w:t xml:space="preserve">When the Applicant attempted to enforce the order of this court, it discovered that the </w:t>
      </w:r>
      <w:r w:rsidR="0092736B">
        <w:rPr>
          <w:rFonts w:ascii="Times New Roman" w:hAnsi="Times New Roman" w:cs="Times New Roman"/>
        </w:rPr>
        <w:t xml:space="preserve">fourth </w:t>
      </w:r>
      <w:r>
        <w:rPr>
          <w:rFonts w:ascii="Times New Roman" w:hAnsi="Times New Roman" w:cs="Times New Roman"/>
        </w:rPr>
        <w:t xml:space="preserve">Respondent was now claiming ownership of the mining claims. The </w:t>
      </w:r>
      <w:r w:rsidR="0092736B">
        <w:rPr>
          <w:rFonts w:ascii="Times New Roman" w:hAnsi="Times New Roman" w:cs="Times New Roman"/>
        </w:rPr>
        <w:t>fourth</w:t>
      </w:r>
      <w:r>
        <w:rPr>
          <w:rFonts w:ascii="Times New Roman" w:hAnsi="Times New Roman" w:cs="Times New Roman"/>
        </w:rPr>
        <w:t xml:space="preserve"> Respondent then successfully sought the rescission of the order for the cancellation of the mining claims in terms of Rule 449 of the High Court Rules, 1971, now Rule 29 of the High Court Rules, 2021.</w:t>
      </w:r>
    </w:p>
    <w:p w14:paraId="6D48545B" w14:textId="5C2ACC80" w:rsidR="00CE1B7D" w:rsidRDefault="00FD46BE" w:rsidP="0092736B">
      <w:pPr>
        <w:spacing w:after="0" w:line="360" w:lineRule="auto"/>
        <w:ind w:firstLine="720"/>
        <w:jc w:val="both"/>
        <w:rPr>
          <w:rFonts w:ascii="Times New Roman" w:hAnsi="Times New Roman" w:cs="Times New Roman"/>
        </w:rPr>
      </w:pPr>
      <w:r>
        <w:rPr>
          <w:rFonts w:ascii="Times New Roman" w:hAnsi="Times New Roman" w:cs="Times New Roman"/>
        </w:rPr>
        <w:t xml:space="preserve">The Applicant, in preparation for trial under HC2587/18, approached the </w:t>
      </w:r>
      <w:r w:rsidR="0092736B">
        <w:rPr>
          <w:rFonts w:ascii="Times New Roman" w:hAnsi="Times New Roman" w:cs="Times New Roman"/>
        </w:rPr>
        <w:t xml:space="preserve">first </w:t>
      </w:r>
      <w:r>
        <w:rPr>
          <w:rFonts w:ascii="Times New Roman" w:hAnsi="Times New Roman" w:cs="Times New Roman"/>
        </w:rPr>
        <w:t xml:space="preserve">Respondent with a view to access the records for the mining claims. The Applicant claimed that the </w:t>
      </w:r>
      <w:r w:rsidR="0092736B">
        <w:rPr>
          <w:rFonts w:ascii="Times New Roman" w:hAnsi="Times New Roman" w:cs="Times New Roman"/>
        </w:rPr>
        <w:t>first</w:t>
      </w:r>
      <w:r>
        <w:rPr>
          <w:rFonts w:ascii="Times New Roman" w:hAnsi="Times New Roman" w:cs="Times New Roman"/>
        </w:rPr>
        <w:t xml:space="preserve"> Respondent referred it to the </w:t>
      </w:r>
      <w:r w:rsidR="0092736B">
        <w:rPr>
          <w:rFonts w:ascii="Times New Roman" w:hAnsi="Times New Roman" w:cs="Times New Roman"/>
        </w:rPr>
        <w:t>second</w:t>
      </w:r>
      <w:r>
        <w:rPr>
          <w:rFonts w:ascii="Times New Roman" w:hAnsi="Times New Roman" w:cs="Times New Roman"/>
        </w:rPr>
        <w:t xml:space="preserve"> Respondent. According to the Applicant, it later wrote to the </w:t>
      </w:r>
      <w:r w:rsidR="0092736B">
        <w:rPr>
          <w:rFonts w:ascii="Times New Roman" w:hAnsi="Times New Roman" w:cs="Times New Roman"/>
        </w:rPr>
        <w:t xml:space="preserve">second </w:t>
      </w:r>
      <w:r>
        <w:rPr>
          <w:rFonts w:ascii="Times New Roman" w:hAnsi="Times New Roman" w:cs="Times New Roman"/>
        </w:rPr>
        <w:t>Respondent seeking access to the records for the mining claims but failed to get the response up to the time of the filing of this matter.</w:t>
      </w:r>
    </w:p>
    <w:p w14:paraId="0AD90BB1" w14:textId="5C346E1B" w:rsidR="00CE1B7D" w:rsidRDefault="00FD46BE" w:rsidP="0092736B">
      <w:pPr>
        <w:spacing w:after="0" w:line="360" w:lineRule="auto"/>
        <w:ind w:firstLine="720"/>
        <w:jc w:val="both"/>
        <w:rPr>
          <w:rFonts w:ascii="Times New Roman" w:hAnsi="Times New Roman" w:cs="Times New Roman"/>
        </w:rPr>
      </w:pPr>
      <w:r>
        <w:rPr>
          <w:rFonts w:ascii="Times New Roman" w:hAnsi="Times New Roman" w:cs="Times New Roman"/>
        </w:rPr>
        <w:t xml:space="preserve">The matter was opposed by the </w:t>
      </w:r>
      <w:r w:rsidR="0092736B">
        <w:rPr>
          <w:rFonts w:ascii="Times New Roman" w:hAnsi="Times New Roman" w:cs="Times New Roman"/>
        </w:rPr>
        <w:t>fourth</w:t>
      </w:r>
      <w:r>
        <w:rPr>
          <w:rFonts w:ascii="Times New Roman" w:hAnsi="Times New Roman" w:cs="Times New Roman"/>
        </w:rPr>
        <w:t xml:space="preserve"> Respondent which raised numerous points </w:t>
      </w:r>
      <w:r>
        <w:rPr>
          <w:rFonts w:ascii="Times New Roman" w:hAnsi="Times New Roman" w:cs="Times New Roman"/>
          <w:i/>
          <w:iCs/>
        </w:rPr>
        <w:t>in limine.</w:t>
      </w:r>
      <w:r>
        <w:rPr>
          <w:rFonts w:ascii="Times New Roman" w:hAnsi="Times New Roman" w:cs="Times New Roman"/>
        </w:rPr>
        <w:t xml:space="preserve"> Firstly, the </w:t>
      </w:r>
      <w:r w:rsidR="0092736B">
        <w:rPr>
          <w:rFonts w:ascii="Times New Roman" w:hAnsi="Times New Roman" w:cs="Times New Roman"/>
        </w:rPr>
        <w:t>fourth</w:t>
      </w:r>
      <w:r>
        <w:rPr>
          <w:rFonts w:ascii="Times New Roman" w:hAnsi="Times New Roman" w:cs="Times New Roman"/>
        </w:rPr>
        <w:t xml:space="preserve"> Respondent alleged that the Founding affidavit’s deponent did not attach resolution to the founding affidavit confirming the authority from the Applicant. For this reason, the</w:t>
      </w:r>
      <w:r w:rsidR="0092736B">
        <w:rPr>
          <w:rFonts w:ascii="Times New Roman" w:hAnsi="Times New Roman" w:cs="Times New Roman"/>
        </w:rPr>
        <w:t xml:space="preserve"> fourth</w:t>
      </w:r>
      <w:r>
        <w:rPr>
          <w:rFonts w:ascii="Times New Roman" w:hAnsi="Times New Roman" w:cs="Times New Roman"/>
        </w:rPr>
        <w:t xml:space="preserve"> Respondent alleged that the application is improperly before the court. This was eventually abandoned after it was pointed out that the founding affidavit is accompanied by the resolution. Reference was made to p 10 of the record.</w:t>
      </w:r>
    </w:p>
    <w:p w14:paraId="43A236AE" w14:textId="77777777" w:rsidR="00CE1B7D" w:rsidRDefault="00CE1B7D">
      <w:pPr>
        <w:spacing w:line="360" w:lineRule="auto"/>
        <w:jc w:val="both"/>
        <w:rPr>
          <w:rFonts w:ascii="Times New Roman" w:hAnsi="Times New Roman" w:cs="Times New Roman"/>
        </w:rPr>
      </w:pPr>
    </w:p>
    <w:p w14:paraId="41187F96" w14:textId="696D16C8" w:rsidR="00CE1B7D" w:rsidRDefault="00FD46BE" w:rsidP="0092736B">
      <w:pPr>
        <w:spacing w:after="0" w:line="360" w:lineRule="auto"/>
        <w:jc w:val="both"/>
        <w:rPr>
          <w:rFonts w:ascii="Times New Roman" w:hAnsi="Times New Roman" w:cs="Times New Roman"/>
        </w:rPr>
      </w:pPr>
      <w:r>
        <w:rPr>
          <w:rFonts w:ascii="Times New Roman" w:hAnsi="Times New Roman" w:cs="Times New Roman"/>
        </w:rPr>
        <w:t xml:space="preserve"> The second point </w:t>
      </w:r>
      <w:r>
        <w:rPr>
          <w:rFonts w:ascii="Times New Roman" w:hAnsi="Times New Roman" w:cs="Times New Roman"/>
          <w:i/>
          <w:iCs/>
        </w:rPr>
        <w:t>in limine</w:t>
      </w:r>
      <w:r>
        <w:rPr>
          <w:rFonts w:ascii="Times New Roman" w:hAnsi="Times New Roman" w:cs="Times New Roman"/>
        </w:rPr>
        <w:t xml:space="preserve"> raised by the </w:t>
      </w:r>
      <w:r w:rsidR="0092736B">
        <w:rPr>
          <w:rFonts w:ascii="Times New Roman" w:hAnsi="Times New Roman" w:cs="Times New Roman"/>
        </w:rPr>
        <w:t xml:space="preserve">fourth </w:t>
      </w:r>
      <w:r>
        <w:rPr>
          <w:rFonts w:ascii="Times New Roman" w:hAnsi="Times New Roman" w:cs="Times New Roman"/>
        </w:rPr>
        <w:t xml:space="preserve">Respondent is that the Applicant is barred in the main action under HC2587/18 having failed to file replication therein. Adv </w:t>
      </w:r>
      <w:r>
        <w:rPr>
          <w:rFonts w:ascii="Times New Roman" w:hAnsi="Times New Roman" w:cs="Times New Roman"/>
          <w:i/>
          <w:iCs/>
        </w:rPr>
        <w:t xml:space="preserve">Nyamakura </w:t>
      </w:r>
      <w:r>
        <w:rPr>
          <w:rFonts w:ascii="Times New Roman" w:hAnsi="Times New Roman" w:cs="Times New Roman"/>
        </w:rPr>
        <w:t xml:space="preserve">referred the court to the judgment under HH524/24 where the bar operating against the Applicant was removed. Adv </w:t>
      </w:r>
      <w:r>
        <w:rPr>
          <w:rFonts w:ascii="Times New Roman" w:hAnsi="Times New Roman" w:cs="Times New Roman"/>
          <w:i/>
          <w:iCs/>
        </w:rPr>
        <w:t>Zhuwarara</w:t>
      </w:r>
      <w:r>
        <w:rPr>
          <w:rFonts w:ascii="Times New Roman" w:hAnsi="Times New Roman" w:cs="Times New Roman"/>
        </w:rPr>
        <w:t xml:space="preserve"> insisted that at the time of filing the present application, the bar was still operational and hence the application ought not to have been filed in light of the bar.</w:t>
      </w:r>
    </w:p>
    <w:p w14:paraId="286009D0" w14:textId="1EC49F1A" w:rsidR="00CE1B7D" w:rsidRDefault="00FD46BE" w:rsidP="0092736B">
      <w:pPr>
        <w:spacing w:after="0" w:line="360" w:lineRule="auto"/>
        <w:jc w:val="both"/>
        <w:rPr>
          <w:rFonts w:ascii="Times New Roman" w:hAnsi="Times New Roman" w:cs="Times New Roman"/>
        </w:rPr>
      </w:pPr>
      <w:r>
        <w:rPr>
          <w:rFonts w:ascii="Times New Roman" w:hAnsi="Times New Roman" w:cs="Times New Roman"/>
        </w:rPr>
        <w:t xml:space="preserve"> </w:t>
      </w:r>
      <w:r w:rsidR="0092736B">
        <w:rPr>
          <w:rFonts w:ascii="Times New Roman" w:hAnsi="Times New Roman" w:cs="Times New Roman"/>
        </w:rPr>
        <w:tab/>
      </w:r>
      <w:r>
        <w:rPr>
          <w:rFonts w:ascii="Times New Roman" w:hAnsi="Times New Roman" w:cs="Times New Roman"/>
        </w:rPr>
        <w:t xml:space="preserve">Thirdly, the </w:t>
      </w:r>
      <w:r w:rsidR="0092736B">
        <w:rPr>
          <w:rFonts w:ascii="Times New Roman" w:hAnsi="Times New Roman" w:cs="Times New Roman"/>
        </w:rPr>
        <w:t>third</w:t>
      </w:r>
      <w:r>
        <w:rPr>
          <w:rFonts w:ascii="Times New Roman" w:hAnsi="Times New Roman" w:cs="Times New Roman"/>
        </w:rPr>
        <w:t xml:space="preserve"> Respondent argued that the Applicant ought to have proceeded in terms of Rule 47 instead of filing a fresh application.</w:t>
      </w:r>
      <w:r w:rsidR="0092736B">
        <w:rPr>
          <w:rFonts w:ascii="Times New Roman" w:hAnsi="Times New Roman" w:cs="Times New Roman"/>
        </w:rPr>
        <w:t xml:space="preserve"> </w:t>
      </w:r>
      <w:r>
        <w:rPr>
          <w:rFonts w:ascii="Times New Roman" w:hAnsi="Times New Roman" w:cs="Times New Roman"/>
        </w:rPr>
        <w:t xml:space="preserve"> For this reason, the </w:t>
      </w:r>
      <w:r w:rsidR="0092736B">
        <w:rPr>
          <w:rFonts w:ascii="Times New Roman" w:hAnsi="Times New Roman" w:cs="Times New Roman"/>
        </w:rPr>
        <w:t xml:space="preserve">fourth </w:t>
      </w:r>
      <w:r>
        <w:rPr>
          <w:rFonts w:ascii="Times New Roman" w:hAnsi="Times New Roman" w:cs="Times New Roman"/>
        </w:rPr>
        <w:t xml:space="preserve">Respondent averred that the present application was prematurely filed. </w:t>
      </w:r>
      <w:r w:rsidR="0092736B">
        <w:rPr>
          <w:rFonts w:ascii="Times New Roman" w:hAnsi="Times New Roman" w:cs="Times New Roman"/>
        </w:rPr>
        <w:t xml:space="preserve"> </w:t>
      </w:r>
      <w:r>
        <w:rPr>
          <w:rFonts w:ascii="Times New Roman" w:hAnsi="Times New Roman" w:cs="Times New Roman"/>
        </w:rPr>
        <w:t xml:space="preserve">In its fourth point </w:t>
      </w:r>
      <w:r>
        <w:rPr>
          <w:rFonts w:ascii="Times New Roman" w:hAnsi="Times New Roman" w:cs="Times New Roman"/>
          <w:i/>
          <w:iCs/>
        </w:rPr>
        <w:t>in limine</w:t>
      </w:r>
      <w:r>
        <w:rPr>
          <w:rFonts w:ascii="Times New Roman" w:hAnsi="Times New Roman" w:cs="Times New Roman"/>
        </w:rPr>
        <w:t xml:space="preserve">, the </w:t>
      </w:r>
      <w:r w:rsidR="0092736B">
        <w:rPr>
          <w:rFonts w:ascii="Times New Roman" w:hAnsi="Times New Roman" w:cs="Times New Roman"/>
        </w:rPr>
        <w:t>fourth</w:t>
      </w:r>
      <w:r>
        <w:rPr>
          <w:rFonts w:ascii="Times New Roman" w:hAnsi="Times New Roman" w:cs="Times New Roman"/>
        </w:rPr>
        <w:t xml:space="preserve"> Respondent alleged that this court can only assume its jurisdiction in terms of Rule 47(10). For this reason, the </w:t>
      </w:r>
      <w:r w:rsidR="0092736B">
        <w:rPr>
          <w:rFonts w:ascii="Times New Roman" w:hAnsi="Times New Roman" w:cs="Times New Roman"/>
        </w:rPr>
        <w:t xml:space="preserve">fourth </w:t>
      </w:r>
      <w:r>
        <w:rPr>
          <w:rFonts w:ascii="Times New Roman" w:hAnsi="Times New Roman" w:cs="Times New Roman"/>
        </w:rPr>
        <w:t xml:space="preserve">Respondent claimed that this court does not have jurisdiction to hear this matter. </w:t>
      </w:r>
    </w:p>
    <w:p w14:paraId="31EA3F5B" w14:textId="7D1DC510" w:rsidR="00CE1B7D" w:rsidRDefault="00FD46BE" w:rsidP="0092736B">
      <w:pPr>
        <w:spacing w:after="0" w:line="360" w:lineRule="auto"/>
        <w:ind w:firstLine="720"/>
        <w:jc w:val="both"/>
        <w:rPr>
          <w:rFonts w:ascii="Times New Roman" w:hAnsi="Times New Roman" w:cs="Times New Roman"/>
          <w:i/>
          <w:iCs/>
        </w:rPr>
      </w:pPr>
      <w:r>
        <w:rPr>
          <w:rFonts w:ascii="Times New Roman" w:hAnsi="Times New Roman" w:cs="Times New Roman"/>
        </w:rPr>
        <w:t xml:space="preserve">Fifthly, by way of a further point </w:t>
      </w:r>
      <w:r>
        <w:rPr>
          <w:rFonts w:ascii="Times New Roman" w:hAnsi="Times New Roman" w:cs="Times New Roman"/>
          <w:i/>
          <w:iCs/>
        </w:rPr>
        <w:t>in limine</w:t>
      </w:r>
      <w:r>
        <w:rPr>
          <w:rFonts w:ascii="Times New Roman" w:hAnsi="Times New Roman" w:cs="Times New Roman"/>
        </w:rPr>
        <w:t xml:space="preserve">, the </w:t>
      </w:r>
      <w:r w:rsidR="0092736B">
        <w:rPr>
          <w:rFonts w:ascii="Times New Roman" w:hAnsi="Times New Roman" w:cs="Times New Roman"/>
        </w:rPr>
        <w:t xml:space="preserve">fourth </w:t>
      </w:r>
      <w:r>
        <w:rPr>
          <w:rFonts w:ascii="Times New Roman" w:hAnsi="Times New Roman" w:cs="Times New Roman"/>
        </w:rPr>
        <w:t xml:space="preserve">Respondent maintained that the </w:t>
      </w:r>
      <w:r w:rsidR="0092736B">
        <w:rPr>
          <w:rFonts w:ascii="Times New Roman" w:hAnsi="Times New Roman" w:cs="Times New Roman"/>
        </w:rPr>
        <w:t>first</w:t>
      </w:r>
      <w:r>
        <w:rPr>
          <w:rFonts w:ascii="Times New Roman" w:hAnsi="Times New Roman" w:cs="Times New Roman"/>
        </w:rPr>
        <w:t xml:space="preserve"> Respondent, who was ruled to be a non-existent statutory officer by some decisions of this court, cannot be competently ordered to perform a certain function in the mining area. After being referred to the case of </w:t>
      </w:r>
      <w:r>
        <w:rPr>
          <w:rFonts w:ascii="Times New Roman" w:hAnsi="Times New Roman" w:cs="Times New Roman"/>
          <w:i/>
          <w:iCs/>
        </w:rPr>
        <w:t xml:space="preserve">Stonezim Granite (Pvt) Ltd </w:t>
      </w:r>
      <w:r w:rsidRPr="0092736B">
        <w:rPr>
          <w:rFonts w:ascii="Times New Roman" w:hAnsi="Times New Roman" w:cs="Times New Roman"/>
        </w:rPr>
        <w:t>v</w:t>
      </w:r>
      <w:r>
        <w:rPr>
          <w:rFonts w:ascii="Times New Roman" w:hAnsi="Times New Roman" w:cs="Times New Roman"/>
          <w:i/>
          <w:iCs/>
        </w:rPr>
        <w:t xml:space="preserve"> The Provincial Mining Director Mashonaland East and Ors</w:t>
      </w:r>
      <w:r>
        <w:rPr>
          <w:rStyle w:val="FootnoteReference"/>
          <w:rFonts w:ascii="Times New Roman" w:hAnsi="Times New Roman" w:cs="Times New Roman"/>
        </w:rPr>
        <w:footnoteReference w:id="1"/>
      </w:r>
      <w:r>
        <w:rPr>
          <w:rFonts w:ascii="Times New Roman" w:hAnsi="Times New Roman" w:cs="Times New Roman"/>
        </w:rPr>
        <w:t xml:space="preserve">,  Adv T </w:t>
      </w:r>
      <w:r>
        <w:rPr>
          <w:rFonts w:ascii="Times New Roman" w:hAnsi="Times New Roman" w:cs="Times New Roman"/>
          <w:i/>
          <w:iCs/>
        </w:rPr>
        <w:t>Zhuwarara</w:t>
      </w:r>
      <w:r>
        <w:rPr>
          <w:rFonts w:ascii="Times New Roman" w:hAnsi="Times New Roman" w:cs="Times New Roman"/>
        </w:rPr>
        <w:t xml:space="preserve"> dumped this point </w:t>
      </w:r>
      <w:r>
        <w:rPr>
          <w:rFonts w:ascii="Times New Roman" w:hAnsi="Times New Roman" w:cs="Times New Roman"/>
          <w:i/>
          <w:iCs/>
        </w:rPr>
        <w:t>in limine.</w:t>
      </w:r>
    </w:p>
    <w:p w14:paraId="02FE3F3E" w14:textId="61935C62" w:rsidR="00CE1B7D" w:rsidRDefault="00FD46BE" w:rsidP="0092736B">
      <w:pPr>
        <w:spacing w:after="0" w:line="360" w:lineRule="auto"/>
        <w:jc w:val="both"/>
        <w:rPr>
          <w:rFonts w:ascii="Times New Roman" w:hAnsi="Times New Roman" w:cs="Times New Roman"/>
        </w:rPr>
      </w:pPr>
      <w:r>
        <w:rPr>
          <w:rFonts w:ascii="Times New Roman" w:hAnsi="Times New Roman" w:cs="Times New Roman"/>
        </w:rPr>
        <w:t xml:space="preserve"> </w:t>
      </w:r>
      <w:r w:rsidR="0092736B">
        <w:rPr>
          <w:rFonts w:ascii="Times New Roman" w:hAnsi="Times New Roman" w:cs="Times New Roman"/>
        </w:rPr>
        <w:tab/>
      </w:r>
      <w:r>
        <w:rPr>
          <w:rFonts w:ascii="Times New Roman" w:hAnsi="Times New Roman" w:cs="Times New Roman"/>
        </w:rPr>
        <w:t xml:space="preserve">Lastly, the </w:t>
      </w:r>
      <w:r w:rsidR="0092736B">
        <w:rPr>
          <w:rFonts w:ascii="Times New Roman" w:hAnsi="Times New Roman" w:cs="Times New Roman"/>
        </w:rPr>
        <w:t>fourth</w:t>
      </w:r>
      <w:r>
        <w:rPr>
          <w:rFonts w:ascii="Times New Roman" w:hAnsi="Times New Roman" w:cs="Times New Roman"/>
        </w:rPr>
        <w:t xml:space="preserve"> Respondent argued that the correct official to be sued must be the Permanent Secretary of the Ministry of Mines and Mining Development. Reference was made to the appropriate provisions of the Access to Information and Protection of Privacy Act [</w:t>
      </w:r>
      <w:r>
        <w:rPr>
          <w:rFonts w:ascii="Times New Roman" w:hAnsi="Times New Roman" w:cs="Times New Roman"/>
          <w:i/>
          <w:iCs/>
        </w:rPr>
        <w:t>Chapter 10:27</w:t>
      </w:r>
      <w:r>
        <w:rPr>
          <w:rFonts w:ascii="Times New Roman" w:hAnsi="Times New Roman" w:cs="Times New Roman"/>
        </w:rPr>
        <w:t xml:space="preserve">]. This point </w:t>
      </w:r>
      <w:r>
        <w:rPr>
          <w:rFonts w:ascii="Times New Roman" w:hAnsi="Times New Roman" w:cs="Times New Roman"/>
          <w:i/>
          <w:iCs/>
        </w:rPr>
        <w:t>in limine</w:t>
      </w:r>
      <w:r>
        <w:rPr>
          <w:rFonts w:ascii="Times New Roman" w:hAnsi="Times New Roman" w:cs="Times New Roman"/>
        </w:rPr>
        <w:t xml:space="preserve"> was ditched by the counsel for the </w:t>
      </w:r>
      <w:r w:rsidR="0092736B">
        <w:rPr>
          <w:rFonts w:ascii="Times New Roman" w:hAnsi="Times New Roman" w:cs="Times New Roman"/>
        </w:rPr>
        <w:t>fourth</w:t>
      </w:r>
      <w:r>
        <w:rPr>
          <w:rFonts w:ascii="Times New Roman" w:hAnsi="Times New Roman" w:cs="Times New Roman"/>
        </w:rPr>
        <w:t xml:space="preserve"> Respondent upon being advised by the court that the Act relied upon was repealed by</w:t>
      </w:r>
      <w:r w:rsidR="0092736B">
        <w:rPr>
          <w:rFonts w:ascii="Times New Roman" w:hAnsi="Times New Roman" w:cs="Times New Roman"/>
        </w:rPr>
        <w:t xml:space="preserve"> s</w:t>
      </w:r>
      <w:r>
        <w:rPr>
          <w:rFonts w:ascii="Times New Roman" w:hAnsi="Times New Roman" w:cs="Times New Roman"/>
        </w:rPr>
        <w:t xml:space="preserve"> 41 of the Freedom of Information Act [</w:t>
      </w:r>
      <w:r>
        <w:rPr>
          <w:rFonts w:ascii="Times New Roman" w:hAnsi="Times New Roman" w:cs="Times New Roman"/>
          <w:i/>
          <w:iCs/>
        </w:rPr>
        <w:t>Chapter 10:33]</w:t>
      </w:r>
      <w:r>
        <w:rPr>
          <w:rFonts w:ascii="Times New Roman" w:hAnsi="Times New Roman" w:cs="Times New Roman"/>
        </w:rPr>
        <w:t xml:space="preserve">. </w:t>
      </w:r>
    </w:p>
    <w:p w14:paraId="439BD449" w14:textId="58588460" w:rsidR="00CE1B7D" w:rsidRDefault="00FD46BE" w:rsidP="0092736B">
      <w:pPr>
        <w:spacing w:after="0" w:line="360" w:lineRule="auto"/>
        <w:ind w:firstLine="720"/>
        <w:jc w:val="both"/>
        <w:rPr>
          <w:rFonts w:ascii="Times New Roman" w:hAnsi="Times New Roman" w:cs="Times New Roman"/>
        </w:rPr>
      </w:pPr>
      <w:r>
        <w:rPr>
          <w:rFonts w:ascii="Times New Roman" w:hAnsi="Times New Roman" w:cs="Times New Roman"/>
        </w:rPr>
        <w:t xml:space="preserve">Only three points </w:t>
      </w:r>
      <w:r>
        <w:rPr>
          <w:rFonts w:ascii="Times New Roman" w:hAnsi="Times New Roman" w:cs="Times New Roman"/>
          <w:i/>
          <w:iCs/>
        </w:rPr>
        <w:t xml:space="preserve">in limine, </w:t>
      </w:r>
      <w:r>
        <w:rPr>
          <w:rFonts w:ascii="Times New Roman" w:hAnsi="Times New Roman" w:cs="Times New Roman"/>
        </w:rPr>
        <w:t>the second, third and fourth points in</w:t>
      </w:r>
      <w:r>
        <w:rPr>
          <w:rFonts w:ascii="Times New Roman" w:hAnsi="Times New Roman" w:cs="Times New Roman"/>
          <w:i/>
          <w:iCs/>
        </w:rPr>
        <w:t xml:space="preserve"> limine, </w:t>
      </w:r>
      <w:r>
        <w:rPr>
          <w:rFonts w:ascii="Times New Roman" w:hAnsi="Times New Roman" w:cs="Times New Roman"/>
        </w:rPr>
        <w:t xml:space="preserve">are still outstanding. Turning to the second point </w:t>
      </w:r>
      <w:r>
        <w:rPr>
          <w:rFonts w:ascii="Times New Roman" w:hAnsi="Times New Roman" w:cs="Times New Roman"/>
          <w:i/>
          <w:iCs/>
        </w:rPr>
        <w:t>in limine</w:t>
      </w:r>
      <w:r>
        <w:rPr>
          <w:rFonts w:ascii="Times New Roman" w:hAnsi="Times New Roman" w:cs="Times New Roman"/>
        </w:rPr>
        <w:t xml:space="preserve">, the point </w:t>
      </w:r>
      <w:r>
        <w:rPr>
          <w:rFonts w:ascii="Times New Roman" w:hAnsi="Times New Roman" w:cs="Times New Roman"/>
          <w:i/>
          <w:iCs/>
        </w:rPr>
        <w:t>in limine</w:t>
      </w:r>
      <w:r>
        <w:rPr>
          <w:rFonts w:ascii="Times New Roman" w:hAnsi="Times New Roman" w:cs="Times New Roman"/>
        </w:rPr>
        <w:t xml:space="preserve"> has been overtaken by the judgment under case number HH524/24 which uplifted the bar. The issue of bar is now moot, in my view. </w:t>
      </w:r>
      <w:r w:rsidR="0092736B">
        <w:rPr>
          <w:rFonts w:ascii="Times New Roman" w:hAnsi="Times New Roman" w:cs="Times New Roman"/>
        </w:rPr>
        <w:t xml:space="preserve"> </w:t>
      </w:r>
      <w:r>
        <w:rPr>
          <w:rFonts w:ascii="Times New Roman" w:hAnsi="Times New Roman" w:cs="Times New Roman"/>
        </w:rPr>
        <w:t xml:space="preserve">Assuming that I am wrong in this respect, it is apparent that the present application has been instituted in terms of </w:t>
      </w:r>
      <w:r w:rsidR="0092736B">
        <w:rPr>
          <w:rFonts w:ascii="Times New Roman" w:hAnsi="Times New Roman" w:cs="Times New Roman"/>
        </w:rPr>
        <w:t>s</w:t>
      </w:r>
      <w:r>
        <w:rPr>
          <w:rFonts w:ascii="Times New Roman" w:hAnsi="Times New Roman" w:cs="Times New Roman"/>
        </w:rPr>
        <w:t xml:space="preserve"> 62 of the Constitution. This section establishes the </w:t>
      </w:r>
      <w:r>
        <w:rPr>
          <w:rFonts w:ascii="Times New Roman" w:hAnsi="Times New Roman" w:cs="Times New Roman"/>
        </w:rPr>
        <w:lastRenderedPageBreak/>
        <w:t>right for access to information which must be enjoyed by all persons including natural and juristic persons. Section 62(1) of the Constitution provides as follows:</w:t>
      </w:r>
    </w:p>
    <w:p w14:paraId="4C2BC2AB" w14:textId="77777777" w:rsidR="00CE1B7D" w:rsidRPr="0092736B" w:rsidRDefault="00FD46BE" w:rsidP="0092736B">
      <w:pPr>
        <w:spacing w:after="0" w:line="240" w:lineRule="auto"/>
        <w:ind w:left="720"/>
        <w:jc w:val="both"/>
        <w:rPr>
          <w:rFonts w:ascii="Times New Roman" w:hAnsi="Times New Roman" w:cs="Times New Roman"/>
          <w:sz w:val="22"/>
          <w:szCs w:val="22"/>
        </w:rPr>
      </w:pPr>
      <w:r w:rsidRPr="0092736B">
        <w:rPr>
          <w:rFonts w:ascii="Times New Roman" w:hAnsi="Times New Roman" w:cs="Times New Roman"/>
          <w:sz w:val="22"/>
          <w:szCs w:val="22"/>
        </w:rPr>
        <w:t xml:space="preserve">“Every Zimbabwean citizen or permanent resident, including juristic person and the Zimbabwean media, has the right of access to any information held by the State or by any institution or agency of government at every level in so far as the information is required in interest of public accountability.” </w:t>
      </w:r>
    </w:p>
    <w:p w14:paraId="45D80545" w14:textId="77777777" w:rsidR="00CE1B7D" w:rsidRDefault="00CE1B7D">
      <w:pPr>
        <w:spacing w:line="360" w:lineRule="auto"/>
        <w:jc w:val="both"/>
        <w:rPr>
          <w:rFonts w:ascii="Times New Roman" w:hAnsi="Times New Roman" w:cs="Times New Roman"/>
        </w:rPr>
      </w:pPr>
    </w:p>
    <w:p w14:paraId="6F9343C3" w14:textId="2DD540F9" w:rsidR="00CE1B7D" w:rsidRDefault="00FD46BE" w:rsidP="00CC6D67">
      <w:pPr>
        <w:spacing w:after="0" w:line="360" w:lineRule="auto"/>
        <w:ind w:firstLine="720"/>
        <w:jc w:val="both"/>
        <w:rPr>
          <w:rFonts w:ascii="Times New Roman" w:hAnsi="Times New Roman" w:cs="Times New Roman"/>
        </w:rPr>
      </w:pPr>
      <w:r>
        <w:rPr>
          <w:rFonts w:ascii="Times New Roman" w:hAnsi="Times New Roman" w:cs="Times New Roman"/>
          <w:i/>
          <w:iCs/>
        </w:rPr>
        <w:t>In casu</w:t>
      </w:r>
      <w:r>
        <w:rPr>
          <w:rFonts w:ascii="Times New Roman" w:hAnsi="Times New Roman" w:cs="Times New Roman"/>
        </w:rPr>
        <w:t xml:space="preserve">, the Applicant, being a juristic person, is equally entitled to this right of access to information. Where this right is breached by any government official, every person is entitled to take action in order to enforce this right. Section 62(1) of the Constitution creates an unfettered right of access to information. The Rules of this court are subject to the Constitution. Where the Rules appear to be in conflict with the Constitution, the Constitution must prevail. Section 2 of the Constitution provides that the Constitution is the supreme law and that any law inconsistent with it shall be void to the extent of its inconsistency. To this end, the second point </w:t>
      </w:r>
      <w:r>
        <w:rPr>
          <w:rFonts w:ascii="Times New Roman" w:hAnsi="Times New Roman" w:cs="Times New Roman"/>
          <w:i/>
          <w:iCs/>
        </w:rPr>
        <w:t>in limine</w:t>
      </w:r>
      <w:r>
        <w:rPr>
          <w:rFonts w:ascii="Times New Roman" w:hAnsi="Times New Roman" w:cs="Times New Roman"/>
        </w:rPr>
        <w:t xml:space="preserve"> lacks merit and is accordingly dismissed. </w:t>
      </w:r>
    </w:p>
    <w:p w14:paraId="0DACCADA" w14:textId="5329DFD6" w:rsidR="00CE1B7D" w:rsidRDefault="00FD46BE" w:rsidP="00CC6D67">
      <w:pPr>
        <w:spacing w:after="0" w:line="360" w:lineRule="auto"/>
        <w:ind w:firstLine="369"/>
        <w:jc w:val="both"/>
        <w:rPr>
          <w:rFonts w:ascii="Times New Roman" w:hAnsi="Times New Roman" w:cs="Times New Roman"/>
        </w:rPr>
      </w:pPr>
      <w:r>
        <w:rPr>
          <w:rFonts w:ascii="Times New Roman" w:hAnsi="Times New Roman" w:cs="Times New Roman"/>
        </w:rPr>
        <w:t xml:space="preserve">Moving to the third point </w:t>
      </w:r>
      <w:r>
        <w:rPr>
          <w:rFonts w:ascii="Times New Roman" w:hAnsi="Times New Roman" w:cs="Times New Roman"/>
          <w:i/>
          <w:iCs/>
        </w:rPr>
        <w:t xml:space="preserve">in </w:t>
      </w:r>
      <w:r>
        <w:rPr>
          <w:rFonts w:ascii="Times New Roman" w:hAnsi="Times New Roman" w:cs="Times New Roman"/>
        </w:rPr>
        <w:t xml:space="preserve">limine, as correctly argued by the Applicant’s counsel, the remedy available in terms of Rule 47 is only available where all parties are contesting the dispute before the court. It has not been disputed that the </w:t>
      </w:r>
      <w:r w:rsidR="00CC6D67">
        <w:rPr>
          <w:rFonts w:ascii="Times New Roman" w:hAnsi="Times New Roman" w:cs="Times New Roman"/>
        </w:rPr>
        <w:t>second</w:t>
      </w:r>
      <w:r>
        <w:rPr>
          <w:rFonts w:ascii="Times New Roman" w:hAnsi="Times New Roman" w:cs="Times New Roman"/>
        </w:rPr>
        <w:t xml:space="preserve"> Respondent in this matter did not oppose the matter under HC2587/18.  Rule 47 provides for the discovery, inspection and production of documents for purposes of trial. Rule 47(10) of the High Court Rules, 2021, provides as follows:</w:t>
      </w:r>
    </w:p>
    <w:p w14:paraId="38EEB715" w14:textId="77777777" w:rsidR="00CE1B7D" w:rsidRPr="00CC6D67" w:rsidRDefault="00FD46BE" w:rsidP="00CC6D67">
      <w:pPr>
        <w:pStyle w:val="lrsection"/>
        <w:spacing w:line="240" w:lineRule="auto"/>
        <w:ind w:left="369" w:firstLine="0"/>
        <w:rPr>
          <w:szCs w:val="22"/>
        </w:rPr>
      </w:pPr>
      <w:r w:rsidRPr="00CC6D67">
        <w:rPr>
          <w:szCs w:val="22"/>
        </w:rPr>
        <w:t>“If a party fails to make discovery under this rule or, having been served with a notice under subrule (5) fails to give notice of a time for inspection or fails to permit inspection as required by that subrule, the party desiring discovery or inspection may make a chamber application for an order compelling such discovery or inspection and the judge may grant or refuse the order as he considers appropriate.”</w:t>
      </w:r>
    </w:p>
    <w:p w14:paraId="38F268B6" w14:textId="77777777" w:rsidR="00CE1B7D" w:rsidRDefault="00CE1B7D">
      <w:pPr>
        <w:pStyle w:val="lrsection"/>
        <w:spacing w:line="360" w:lineRule="auto"/>
        <w:rPr>
          <w:sz w:val="24"/>
          <w:szCs w:val="24"/>
        </w:rPr>
      </w:pPr>
    </w:p>
    <w:p w14:paraId="30F94502" w14:textId="41F0FB31" w:rsidR="00CE1B7D" w:rsidRDefault="00CC6D67" w:rsidP="00CC6D67">
      <w:pPr>
        <w:pStyle w:val="lrsection"/>
        <w:spacing w:after="0" w:line="360" w:lineRule="auto"/>
        <w:rPr>
          <w:sz w:val="24"/>
          <w:szCs w:val="24"/>
        </w:rPr>
      </w:pPr>
      <w:r>
        <w:rPr>
          <w:sz w:val="24"/>
          <w:szCs w:val="24"/>
        </w:rPr>
        <w:tab/>
        <w:t xml:space="preserve">It is apparent that this provision can only be activated against an active party to the proceedings. This cannot be enforced against an inactive party to the proceedings. Further, Adv </w:t>
      </w:r>
      <w:r>
        <w:rPr>
          <w:i/>
          <w:iCs/>
          <w:sz w:val="24"/>
          <w:szCs w:val="24"/>
        </w:rPr>
        <w:t>Nyamakura</w:t>
      </w:r>
      <w:r>
        <w:rPr>
          <w:sz w:val="24"/>
          <w:szCs w:val="24"/>
        </w:rPr>
        <w:t xml:space="preserve"> argued that the first Respondent is not a party to the main matter being HC2587/18 and hence the remedy in terms of Rule 47 cannot be applied against him. I do agree with this reasoning. Accordingly, the third point </w:t>
      </w:r>
      <w:r>
        <w:rPr>
          <w:i/>
          <w:iCs/>
          <w:sz w:val="24"/>
          <w:szCs w:val="24"/>
        </w:rPr>
        <w:t>in limine</w:t>
      </w:r>
      <w:r>
        <w:rPr>
          <w:sz w:val="24"/>
          <w:szCs w:val="24"/>
        </w:rPr>
        <w:t xml:space="preserve"> is hereby dismissed.</w:t>
      </w:r>
    </w:p>
    <w:p w14:paraId="65D91FE3" w14:textId="54E169DB" w:rsidR="00CE1B7D" w:rsidRDefault="00CC6D67" w:rsidP="00CC6D67">
      <w:pPr>
        <w:pStyle w:val="lrsection"/>
        <w:spacing w:after="0" w:line="360" w:lineRule="auto"/>
        <w:rPr>
          <w:sz w:val="24"/>
          <w:szCs w:val="24"/>
        </w:rPr>
      </w:pPr>
      <w:r>
        <w:rPr>
          <w:sz w:val="24"/>
          <w:szCs w:val="24"/>
        </w:rPr>
        <w:tab/>
        <w:t>Turning to the question of this court’s jurisdiction, counsel for the Applicant correctly referred to Section 13 of the High Court Act [</w:t>
      </w:r>
      <w:r>
        <w:rPr>
          <w:i/>
          <w:iCs/>
          <w:sz w:val="24"/>
          <w:szCs w:val="24"/>
        </w:rPr>
        <w:t>Chapter 7:06</w:t>
      </w:r>
      <w:r>
        <w:rPr>
          <w:sz w:val="24"/>
          <w:szCs w:val="24"/>
        </w:rPr>
        <w:t>] which provides as follows:</w:t>
      </w:r>
    </w:p>
    <w:p w14:paraId="55A93037" w14:textId="77777777" w:rsidR="00CE1B7D" w:rsidRDefault="00CE1B7D">
      <w:pPr>
        <w:pStyle w:val="lrsection"/>
        <w:spacing w:line="360" w:lineRule="auto"/>
        <w:rPr>
          <w:sz w:val="24"/>
          <w:szCs w:val="24"/>
        </w:rPr>
      </w:pPr>
    </w:p>
    <w:p w14:paraId="56AB8545" w14:textId="5C32F4E1" w:rsidR="00CE1B7D" w:rsidRDefault="00FD46BE" w:rsidP="00CC6D67">
      <w:pPr>
        <w:pStyle w:val="lrsection"/>
        <w:spacing w:line="240" w:lineRule="auto"/>
        <w:ind w:left="720" w:firstLine="0"/>
        <w:rPr>
          <w:sz w:val="24"/>
          <w:szCs w:val="24"/>
        </w:rPr>
      </w:pPr>
      <w:r>
        <w:rPr>
          <w:sz w:val="24"/>
          <w:szCs w:val="24"/>
        </w:rPr>
        <w:lastRenderedPageBreak/>
        <w:t>“Subject to this Act and any other law, the High Court shall have full original civil jurisdiction over all persons and over all matters within Zimbabwe.”</w:t>
      </w:r>
    </w:p>
    <w:p w14:paraId="728B4281" w14:textId="77777777" w:rsidR="00CC6D67" w:rsidRDefault="00CC6D67" w:rsidP="00CC6D67">
      <w:pPr>
        <w:pStyle w:val="lrsection"/>
        <w:spacing w:line="240" w:lineRule="auto"/>
        <w:ind w:left="720" w:firstLine="0"/>
        <w:rPr>
          <w:sz w:val="24"/>
          <w:szCs w:val="24"/>
        </w:rPr>
      </w:pPr>
    </w:p>
    <w:p w14:paraId="501C2A79" w14:textId="638343D3" w:rsidR="00CE1B7D" w:rsidRDefault="00FD46BE" w:rsidP="00CC6D67">
      <w:pPr>
        <w:pStyle w:val="lrsection"/>
        <w:spacing w:line="360" w:lineRule="auto"/>
        <w:rPr>
          <w:sz w:val="24"/>
          <w:szCs w:val="24"/>
        </w:rPr>
      </w:pPr>
      <w:r>
        <w:rPr>
          <w:sz w:val="24"/>
          <w:szCs w:val="24"/>
        </w:rPr>
        <w:t>The question of this court’s civil jurisdiction is also entrenched in the Constitution.</w:t>
      </w:r>
      <w:r>
        <w:rPr>
          <w:sz w:val="24"/>
          <w:szCs w:val="24"/>
          <w:lang w:val="en-ZW"/>
        </w:rPr>
        <w:t xml:space="preserve"> </w:t>
      </w:r>
      <w:r>
        <w:rPr>
          <w:sz w:val="24"/>
          <w:szCs w:val="24"/>
        </w:rPr>
        <w:t>Section 171 (1)(a) of the Constitution provides as follows:</w:t>
      </w:r>
    </w:p>
    <w:p w14:paraId="63964BCE" w14:textId="3DCDE452" w:rsidR="00CE1B7D" w:rsidRDefault="00CC6D67">
      <w:pPr>
        <w:pStyle w:val="lrsection"/>
        <w:spacing w:line="240" w:lineRule="auto"/>
        <w:rPr>
          <w:sz w:val="24"/>
          <w:szCs w:val="24"/>
        </w:rPr>
      </w:pPr>
      <w:r>
        <w:rPr>
          <w:sz w:val="24"/>
          <w:szCs w:val="24"/>
        </w:rPr>
        <w:tab/>
        <w:t>“The High Court—</w:t>
      </w:r>
    </w:p>
    <w:p w14:paraId="17E7149A" w14:textId="77777777" w:rsidR="00CE1B7D" w:rsidRDefault="00FD46BE" w:rsidP="00CC6D67">
      <w:pPr>
        <w:pStyle w:val="lrsection"/>
        <w:numPr>
          <w:ilvl w:val="0"/>
          <w:numId w:val="1"/>
        </w:numPr>
        <w:tabs>
          <w:tab w:val="left" w:pos="990"/>
        </w:tabs>
        <w:spacing w:line="240" w:lineRule="auto"/>
        <w:ind w:left="810" w:hanging="90"/>
        <w:rPr>
          <w:sz w:val="24"/>
          <w:szCs w:val="24"/>
        </w:rPr>
      </w:pPr>
      <w:r>
        <w:rPr>
          <w:sz w:val="24"/>
          <w:szCs w:val="24"/>
        </w:rPr>
        <w:t>Has original jurisdiction over all civil and criminal matters throughout Zimbabwe;”.</w:t>
      </w:r>
    </w:p>
    <w:p w14:paraId="170E079A" w14:textId="77777777" w:rsidR="00CE1B7D" w:rsidRDefault="00CE1B7D">
      <w:pPr>
        <w:pStyle w:val="lrsection"/>
        <w:spacing w:line="360" w:lineRule="auto"/>
        <w:rPr>
          <w:sz w:val="24"/>
          <w:szCs w:val="24"/>
        </w:rPr>
      </w:pPr>
    </w:p>
    <w:p w14:paraId="77D7283E" w14:textId="78E396C3" w:rsidR="00CE1B7D" w:rsidRDefault="00CC6D67" w:rsidP="00CC6D67">
      <w:pPr>
        <w:pStyle w:val="lrsection"/>
        <w:spacing w:line="360" w:lineRule="auto"/>
        <w:rPr>
          <w:sz w:val="24"/>
          <w:szCs w:val="24"/>
        </w:rPr>
      </w:pPr>
      <w:r>
        <w:rPr>
          <w:sz w:val="24"/>
          <w:szCs w:val="24"/>
        </w:rPr>
        <w:tab/>
        <w:t xml:space="preserve">In the absence of a specific piece of legislation that takes away this court’s jurisdiction to hear this matter, I am unable to find merit in this point </w:t>
      </w:r>
      <w:r>
        <w:rPr>
          <w:i/>
          <w:iCs/>
          <w:sz w:val="24"/>
          <w:szCs w:val="24"/>
        </w:rPr>
        <w:t>in limine</w:t>
      </w:r>
      <w:r>
        <w:rPr>
          <w:sz w:val="24"/>
          <w:szCs w:val="24"/>
        </w:rPr>
        <w:t>. Rule 47 relied upon does not specifically take away the jurisdiction of this court.  It only provides a remedy for active parties to the dispute.</w:t>
      </w:r>
    </w:p>
    <w:p w14:paraId="0AD92E21" w14:textId="2B311E8D" w:rsidR="00CE1B7D" w:rsidRPr="00CC6D67" w:rsidRDefault="00FD46BE" w:rsidP="00CC6D67">
      <w:pPr>
        <w:pStyle w:val="lrsection"/>
        <w:spacing w:line="360" w:lineRule="auto"/>
        <w:rPr>
          <w:sz w:val="24"/>
          <w:szCs w:val="24"/>
        </w:rPr>
      </w:pPr>
      <w:r>
        <w:rPr>
          <w:sz w:val="24"/>
          <w:szCs w:val="24"/>
        </w:rPr>
        <w:t xml:space="preserve"> </w:t>
      </w:r>
      <w:r w:rsidR="00CC6D67">
        <w:rPr>
          <w:sz w:val="24"/>
          <w:szCs w:val="24"/>
        </w:rPr>
        <w:tab/>
      </w:r>
      <w:r>
        <w:rPr>
          <w:sz w:val="24"/>
          <w:szCs w:val="24"/>
        </w:rPr>
        <w:t xml:space="preserve">Further, it is apparent that the High Court Rules are promulgated in terms of </w:t>
      </w:r>
      <w:r w:rsidR="00CC6D67">
        <w:rPr>
          <w:sz w:val="24"/>
          <w:szCs w:val="24"/>
        </w:rPr>
        <w:t xml:space="preserve">s </w:t>
      </w:r>
      <w:r>
        <w:rPr>
          <w:sz w:val="24"/>
          <w:szCs w:val="24"/>
        </w:rPr>
        <w:t xml:space="preserve">56 of the High Court Act. </w:t>
      </w:r>
      <w:r w:rsidR="00CC6D67">
        <w:rPr>
          <w:sz w:val="24"/>
          <w:szCs w:val="24"/>
        </w:rPr>
        <w:t xml:space="preserve"> </w:t>
      </w:r>
      <w:r>
        <w:rPr>
          <w:sz w:val="24"/>
          <w:szCs w:val="24"/>
        </w:rPr>
        <w:t>Hence, the High Court Rules are regarded as a subsidiary piece of legislation of the High Court Act. It is an established principle in our jurisdiction</w:t>
      </w:r>
      <w:r>
        <w:rPr>
          <w:sz w:val="24"/>
          <w:szCs w:val="24"/>
          <w:lang w:val="en-ZW"/>
        </w:rPr>
        <w:t xml:space="preserve"> </w:t>
      </w:r>
      <w:r>
        <w:rPr>
          <w:sz w:val="24"/>
          <w:szCs w:val="24"/>
        </w:rPr>
        <w:t>that any subsidiary legislation must not be</w:t>
      </w:r>
      <w:r>
        <w:rPr>
          <w:i/>
          <w:iCs/>
          <w:sz w:val="24"/>
          <w:szCs w:val="24"/>
        </w:rPr>
        <w:t xml:space="preserve"> ultra vires</w:t>
      </w:r>
      <w:r>
        <w:rPr>
          <w:sz w:val="24"/>
          <w:szCs w:val="24"/>
        </w:rPr>
        <w:t xml:space="preserve"> the enabling Act. Put differently, such piece of legislation must be compliant with the parent Act of Parliament.  Thus, the argument that Rule 47 takes away the jurisdiction of this court automatically means that Rule 47 is </w:t>
      </w:r>
      <w:r>
        <w:rPr>
          <w:i/>
          <w:iCs/>
          <w:sz w:val="24"/>
          <w:szCs w:val="24"/>
        </w:rPr>
        <w:t xml:space="preserve">ultra vires </w:t>
      </w:r>
      <w:r w:rsidR="00CC6D67">
        <w:rPr>
          <w:sz w:val="24"/>
          <w:szCs w:val="24"/>
        </w:rPr>
        <w:t>s</w:t>
      </w:r>
      <w:r>
        <w:rPr>
          <w:sz w:val="24"/>
          <w:szCs w:val="24"/>
        </w:rPr>
        <w:t xml:space="preserve"> 13 of the High Court Act which is the enabling Act of the High Court Rules. The purpose of the High Court Rules can only be construed as an attempt to elaborate the manner in which the High Court may perform its functions.  Rule 47 cannot revisit the question of the High Court’s jurisdiction which is ostentatiously clarified by </w:t>
      </w:r>
      <w:r w:rsidR="00CC6D67">
        <w:rPr>
          <w:sz w:val="24"/>
          <w:szCs w:val="24"/>
        </w:rPr>
        <w:t xml:space="preserve">s </w:t>
      </w:r>
      <w:r>
        <w:rPr>
          <w:sz w:val="24"/>
          <w:szCs w:val="24"/>
        </w:rPr>
        <w:t xml:space="preserve">13 of the High Court Act as read with Section 171(1)(a) of the Constitution. For these reasons, I consequently dismiss the fourth point </w:t>
      </w:r>
      <w:r>
        <w:rPr>
          <w:i/>
          <w:iCs/>
          <w:sz w:val="24"/>
          <w:szCs w:val="24"/>
        </w:rPr>
        <w:t>in limine</w:t>
      </w:r>
      <w:r>
        <w:rPr>
          <w:sz w:val="24"/>
          <w:szCs w:val="24"/>
        </w:rPr>
        <w:t>.</w:t>
      </w:r>
    </w:p>
    <w:p w14:paraId="48CB63A2" w14:textId="1F34E36D" w:rsidR="00CE1B7D" w:rsidRDefault="00FD46BE" w:rsidP="00CC6D67">
      <w:pPr>
        <w:spacing w:line="360" w:lineRule="auto"/>
        <w:ind w:firstLine="720"/>
        <w:jc w:val="both"/>
        <w:rPr>
          <w:rFonts w:ascii="Times New Roman" w:hAnsi="Times New Roman" w:cs="Times New Roman"/>
        </w:rPr>
      </w:pPr>
      <w:r>
        <w:rPr>
          <w:rFonts w:ascii="Times New Roman" w:hAnsi="Times New Roman" w:cs="Times New Roman"/>
        </w:rPr>
        <w:t>On the merits, the</w:t>
      </w:r>
      <w:r w:rsidR="00CC6D67">
        <w:rPr>
          <w:rFonts w:ascii="Times New Roman" w:hAnsi="Times New Roman" w:cs="Times New Roman"/>
        </w:rPr>
        <w:t xml:space="preserve"> fourth</w:t>
      </w:r>
      <w:r>
        <w:rPr>
          <w:rFonts w:ascii="Times New Roman" w:hAnsi="Times New Roman" w:cs="Times New Roman"/>
        </w:rPr>
        <w:t xml:space="preserve"> Respondent affirmed that the mining claims were sold to the </w:t>
      </w:r>
      <w:r w:rsidR="00CC6D67">
        <w:rPr>
          <w:rFonts w:ascii="Times New Roman" w:hAnsi="Times New Roman" w:cs="Times New Roman"/>
        </w:rPr>
        <w:t>third</w:t>
      </w:r>
      <w:r>
        <w:rPr>
          <w:rFonts w:ascii="Times New Roman" w:hAnsi="Times New Roman" w:cs="Times New Roman"/>
        </w:rPr>
        <w:t xml:space="preserve"> Respondent in 1997 before being finally transferred to the </w:t>
      </w:r>
      <w:r w:rsidR="00CC6D67">
        <w:rPr>
          <w:rFonts w:ascii="Times New Roman" w:hAnsi="Times New Roman" w:cs="Times New Roman"/>
        </w:rPr>
        <w:t xml:space="preserve">third </w:t>
      </w:r>
      <w:r>
        <w:rPr>
          <w:rFonts w:ascii="Times New Roman" w:hAnsi="Times New Roman" w:cs="Times New Roman"/>
        </w:rPr>
        <w:t xml:space="preserve">Respondent in 1998. Thus, according to the </w:t>
      </w:r>
      <w:r w:rsidR="00CC6D67">
        <w:rPr>
          <w:rFonts w:ascii="Times New Roman" w:hAnsi="Times New Roman" w:cs="Times New Roman"/>
        </w:rPr>
        <w:t>fourth</w:t>
      </w:r>
      <w:r>
        <w:rPr>
          <w:rFonts w:ascii="Times New Roman" w:hAnsi="Times New Roman" w:cs="Times New Roman"/>
        </w:rPr>
        <w:t xml:space="preserve"> Respondent, the order for the cancellation of 1996 agreement under HC4945/18 is of no consequence as the 1997 agreement remains extant. This point was vehemently resisted by the Applicant which dismissed this reasoning for want of evidence of the 1997 agreement alleged by the </w:t>
      </w:r>
      <w:r w:rsidR="00CC6D67">
        <w:rPr>
          <w:rFonts w:ascii="Times New Roman" w:hAnsi="Times New Roman" w:cs="Times New Roman"/>
        </w:rPr>
        <w:t xml:space="preserve">fourth </w:t>
      </w:r>
      <w:r>
        <w:rPr>
          <w:rFonts w:ascii="Times New Roman" w:hAnsi="Times New Roman" w:cs="Times New Roman"/>
        </w:rPr>
        <w:t xml:space="preserve">Respondent. </w:t>
      </w:r>
    </w:p>
    <w:p w14:paraId="3DBA07CE" w14:textId="77777777" w:rsidR="00CE1B7D" w:rsidRDefault="00CE1B7D">
      <w:pPr>
        <w:spacing w:line="360" w:lineRule="auto"/>
        <w:jc w:val="both"/>
        <w:rPr>
          <w:rFonts w:ascii="Times New Roman" w:hAnsi="Times New Roman" w:cs="Times New Roman"/>
        </w:rPr>
      </w:pPr>
    </w:p>
    <w:p w14:paraId="002E2308" w14:textId="74CFCB9F" w:rsidR="00CE1B7D" w:rsidRDefault="00FD46BE" w:rsidP="00CC6D67">
      <w:pPr>
        <w:spacing w:after="0" w:line="360" w:lineRule="auto"/>
        <w:ind w:firstLine="720"/>
        <w:jc w:val="both"/>
        <w:rPr>
          <w:rFonts w:ascii="Times New Roman" w:hAnsi="Times New Roman" w:cs="Times New Roman"/>
        </w:rPr>
      </w:pPr>
      <w:r>
        <w:rPr>
          <w:rFonts w:ascii="Times New Roman" w:hAnsi="Times New Roman" w:cs="Times New Roman"/>
        </w:rPr>
        <w:lastRenderedPageBreak/>
        <w:t>Adv</w:t>
      </w:r>
      <w:r>
        <w:rPr>
          <w:rFonts w:ascii="Times New Roman" w:hAnsi="Times New Roman" w:cs="Times New Roman"/>
          <w:i/>
          <w:iCs/>
        </w:rPr>
        <w:t xml:space="preserve"> Zhuwarara</w:t>
      </w:r>
      <w:r>
        <w:rPr>
          <w:rFonts w:ascii="Times New Roman" w:hAnsi="Times New Roman" w:cs="Times New Roman"/>
        </w:rPr>
        <w:t xml:space="preserve"> submitted that the </w:t>
      </w:r>
      <w:r w:rsidR="00CC6D67">
        <w:rPr>
          <w:rFonts w:ascii="Times New Roman" w:hAnsi="Times New Roman" w:cs="Times New Roman"/>
        </w:rPr>
        <w:t>fourth</w:t>
      </w:r>
      <w:r>
        <w:rPr>
          <w:rFonts w:ascii="Times New Roman" w:hAnsi="Times New Roman" w:cs="Times New Roman"/>
        </w:rPr>
        <w:t xml:space="preserve"> Respondent is prejudiced by the present application which seeks to extract private information from the </w:t>
      </w:r>
      <w:r w:rsidR="00CC6D67">
        <w:rPr>
          <w:rFonts w:ascii="Times New Roman" w:hAnsi="Times New Roman" w:cs="Times New Roman"/>
        </w:rPr>
        <w:t xml:space="preserve">fourth </w:t>
      </w:r>
      <w:r>
        <w:rPr>
          <w:rFonts w:ascii="Times New Roman" w:hAnsi="Times New Roman" w:cs="Times New Roman"/>
        </w:rPr>
        <w:t xml:space="preserve">Respondent. Countering this argument, Adv </w:t>
      </w:r>
      <w:r>
        <w:rPr>
          <w:rFonts w:ascii="Times New Roman" w:hAnsi="Times New Roman" w:cs="Times New Roman"/>
          <w:i/>
          <w:iCs/>
        </w:rPr>
        <w:t>Nyamakura</w:t>
      </w:r>
      <w:r>
        <w:rPr>
          <w:rFonts w:ascii="Times New Roman" w:hAnsi="Times New Roman" w:cs="Times New Roman"/>
        </w:rPr>
        <w:t xml:space="preserve"> claimed that the </w:t>
      </w:r>
      <w:r w:rsidR="00CC6D67">
        <w:rPr>
          <w:rFonts w:ascii="Times New Roman" w:hAnsi="Times New Roman" w:cs="Times New Roman"/>
        </w:rPr>
        <w:t xml:space="preserve">fourth </w:t>
      </w:r>
      <w:r>
        <w:rPr>
          <w:rFonts w:ascii="Times New Roman" w:hAnsi="Times New Roman" w:cs="Times New Roman"/>
        </w:rPr>
        <w:t xml:space="preserve">Respondent ought to have filed a counter application seeking the limitation of information which it believes to be personal information. He further argued that the information for the mining claims constitutes public documents and hence the public must have access to such information.     </w:t>
      </w:r>
    </w:p>
    <w:p w14:paraId="4E3782FA" w14:textId="6A69290C" w:rsidR="00CE1B7D" w:rsidRDefault="00FD46BE" w:rsidP="00CC6D67">
      <w:pPr>
        <w:spacing w:after="0" w:line="360" w:lineRule="auto"/>
        <w:ind w:firstLine="720"/>
        <w:jc w:val="both"/>
        <w:rPr>
          <w:rFonts w:ascii="Times New Roman" w:hAnsi="Times New Roman" w:cs="Times New Roman"/>
        </w:rPr>
      </w:pPr>
      <w:r>
        <w:rPr>
          <w:rFonts w:ascii="Times New Roman" w:hAnsi="Times New Roman" w:cs="Times New Roman"/>
        </w:rPr>
        <w:t xml:space="preserve">Adv </w:t>
      </w:r>
      <w:r>
        <w:rPr>
          <w:rFonts w:ascii="Times New Roman" w:hAnsi="Times New Roman" w:cs="Times New Roman"/>
          <w:i/>
          <w:iCs/>
        </w:rPr>
        <w:t>Zhuwarara</w:t>
      </w:r>
      <w:r>
        <w:rPr>
          <w:rFonts w:ascii="Times New Roman" w:hAnsi="Times New Roman" w:cs="Times New Roman"/>
        </w:rPr>
        <w:t xml:space="preserve"> also argued that the Applicant has available remedy in terms of </w:t>
      </w:r>
      <w:r w:rsidR="00CC6D67">
        <w:rPr>
          <w:rFonts w:ascii="Times New Roman" w:hAnsi="Times New Roman" w:cs="Times New Roman"/>
        </w:rPr>
        <w:t xml:space="preserve">s </w:t>
      </w:r>
      <w:r>
        <w:rPr>
          <w:rFonts w:ascii="Times New Roman" w:hAnsi="Times New Roman" w:cs="Times New Roman"/>
        </w:rPr>
        <w:t>7 of the Freedom of Information Act [</w:t>
      </w:r>
      <w:r>
        <w:rPr>
          <w:rFonts w:ascii="Times New Roman" w:hAnsi="Times New Roman" w:cs="Times New Roman"/>
          <w:i/>
          <w:iCs/>
        </w:rPr>
        <w:t>Chapter 10:33</w:t>
      </w:r>
      <w:r>
        <w:rPr>
          <w:rFonts w:ascii="Times New Roman" w:hAnsi="Times New Roman" w:cs="Times New Roman"/>
        </w:rPr>
        <w:t>] and in terms of Section 4 of the Administrative Justice Act [</w:t>
      </w:r>
      <w:r>
        <w:rPr>
          <w:rFonts w:ascii="Times New Roman" w:hAnsi="Times New Roman" w:cs="Times New Roman"/>
          <w:i/>
          <w:iCs/>
        </w:rPr>
        <w:t>Chapter 10:28</w:t>
      </w:r>
      <w:r>
        <w:rPr>
          <w:rFonts w:ascii="Times New Roman" w:hAnsi="Times New Roman" w:cs="Times New Roman"/>
        </w:rPr>
        <w:t xml:space="preserve">]. In terms of </w:t>
      </w:r>
      <w:r w:rsidR="00CC6D67">
        <w:rPr>
          <w:rFonts w:ascii="Times New Roman" w:hAnsi="Times New Roman" w:cs="Times New Roman"/>
        </w:rPr>
        <w:t>s</w:t>
      </w:r>
      <w:r>
        <w:rPr>
          <w:rFonts w:ascii="Times New Roman" w:hAnsi="Times New Roman" w:cs="Times New Roman"/>
        </w:rPr>
        <w:t xml:space="preserve"> 7 of the Freedom of Information Act, Adv </w:t>
      </w:r>
      <w:r>
        <w:rPr>
          <w:rFonts w:ascii="Times New Roman" w:hAnsi="Times New Roman" w:cs="Times New Roman"/>
          <w:i/>
          <w:iCs/>
        </w:rPr>
        <w:t>Zhuwarara</w:t>
      </w:r>
      <w:r>
        <w:rPr>
          <w:rFonts w:ascii="Times New Roman" w:hAnsi="Times New Roman" w:cs="Times New Roman"/>
        </w:rPr>
        <w:t xml:space="preserve"> argued that the Applicant ought to have approached the</w:t>
      </w:r>
      <w:r w:rsidR="00CC6D67">
        <w:rPr>
          <w:rFonts w:ascii="Times New Roman" w:hAnsi="Times New Roman" w:cs="Times New Roman"/>
        </w:rPr>
        <w:t xml:space="preserve"> </w:t>
      </w:r>
      <w:r>
        <w:rPr>
          <w:rFonts w:ascii="Times New Roman" w:hAnsi="Times New Roman" w:cs="Times New Roman"/>
        </w:rPr>
        <w:t xml:space="preserve">appropriate information officer for access to the information. </w:t>
      </w:r>
    </w:p>
    <w:p w14:paraId="562C6503" w14:textId="5F58B24F" w:rsidR="00CE1B7D" w:rsidRDefault="00FD46BE" w:rsidP="00CC6D67">
      <w:pPr>
        <w:spacing w:after="0" w:line="360" w:lineRule="auto"/>
        <w:ind w:firstLine="720"/>
        <w:jc w:val="both"/>
        <w:rPr>
          <w:rFonts w:ascii="Times New Roman" w:hAnsi="Times New Roman" w:cs="Times New Roman"/>
        </w:rPr>
      </w:pPr>
      <w:r>
        <w:rPr>
          <w:rFonts w:ascii="Times New Roman" w:hAnsi="Times New Roman" w:cs="Times New Roman"/>
        </w:rPr>
        <w:t xml:space="preserve">The sole question that emerges for determination is whether the Applicant may be entitled to the relief prayed for. The present application is an application for mandatory interdict. The requirements for mandatory interdict have been well established in our jurisdiction. Reference is made to the cases of </w:t>
      </w:r>
      <w:r>
        <w:rPr>
          <w:rFonts w:ascii="Times New Roman" w:hAnsi="Times New Roman" w:cs="Times New Roman"/>
          <w:i/>
          <w:iCs/>
        </w:rPr>
        <w:t xml:space="preserve">Tribac (Pvt) Ltd </w:t>
      </w:r>
      <w:r w:rsidRPr="00CC6D67">
        <w:rPr>
          <w:rFonts w:ascii="Times New Roman" w:hAnsi="Times New Roman" w:cs="Times New Roman"/>
        </w:rPr>
        <w:t xml:space="preserve">v </w:t>
      </w:r>
      <w:r>
        <w:rPr>
          <w:rFonts w:ascii="Times New Roman" w:hAnsi="Times New Roman" w:cs="Times New Roman"/>
          <w:i/>
          <w:iCs/>
        </w:rPr>
        <w:t>Tobacco Marketing Board</w:t>
      </w:r>
      <w:r>
        <w:rPr>
          <w:rStyle w:val="FootnoteReference"/>
          <w:rFonts w:ascii="Times New Roman" w:hAnsi="Times New Roman" w:cs="Times New Roman"/>
        </w:rPr>
        <w:footnoteReference w:id="2"/>
      </w:r>
      <w:r>
        <w:rPr>
          <w:rFonts w:ascii="Times New Roman" w:hAnsi="Times New Roman" w:cs="Times New Roman"/>
        </w:rPr>
        <w:t xml:space="preserve">, </w:t>
      </w:r>
      <w:r>
        <w:rPr>
          <w:rFonts w:ascii="Times New Roman" w:hAnsi="Times New Roman" w:cs="Times New Roman"/>
          <w:i/>
          <w:iCs/>
        </w:rPr>
        <w:t>Lipschitz v Wattrus N.O</w:t>
      </w:r>
      <w:r>
        <w:rPr>
          <w:rStyle w:val="FootnoteReference"/>
          <w:rFonts w:ascii="Times New Roman" w:hAnsi="Times New Roman" w:cs="Times New Roman"/>
        </w:rPr>
        <w:footnoteReference w:id="3"/>
      </w:r>
      <w:r>
        <w:rPr>
          <w:rFonts w:ascii="Times New Roman" w:hAnsi="Times New Roman" w:cs="Times New Roman"/>
        </w:rPr>
        <w:t xml:space="preserve"> and </w:t>
      </w:r>
      <w:r>
        <w:rPr>
          <w:rFonts w:ascii="Times New Roman" w:hAnsi="Times New Roman" w:cs="Times New Roman"/>
          <w:i/>
          <w:iCs/>
        </w:rPr>
        <w:t xml:space="preserve">Kaputuaza and Anor </w:t>
      </w:r>
      <w:r w:rsidRPr="00CC6D67">
        <w:rPr>
          <w:rFonts w:ascii="Times New Roman" w:hAnsi="Times New Roman" w:cs="Times New Roman"/>
        </w:rPr>
        <w:t>v</w:t>
      </w:r>
      <w:r>
        <w:rPr>
          <w:rFonts w:ascii="Times New Roman" w:hAnsi="Times New Roman" w:cs="Times New Roman"/>
          <w:i/>
          <w:iCs/>
        </w:rPr>
        <w:t xml:space="preserve"> Executive Committee of Administration of Hereros and Ors</w:t>
      </w:r>
      <w:r>
        <w:rPr>
          <w:rStyle w:val="FootnoteReference"/>
          <w:rFonts w:ascii="Times New Roman" w:hAnsi="Times New Roman" w:cs="Times New Roman"/>
        </w:rPr>
        <w:footnoteReference w:id="4"/>
      </w:r>
      <w:r>
        <w:rPr>
          <w:rFonts w:ascii="Times New Roman" w:hAnsi="Times New Roman" w:cs="Times New Roman"/>
        </w:rPr>
        <w:t>. The following are the requirements of the mandatory interdict:</w:t>
      </w:r>
    </w:p>
    <w:p w14:paraId="002C0354" w14:textId="77777777" w:rsidR="00CE1B7D" w:rsidRDefault="00FD46BE">
      <w:pPr>
        <w:numPr>
          <w:ilvl w:val="0"/>
          <w:numId w:val="2"/>
        </w:numPr>
        <w:spacing w:after="0" w:line="360" w:lineRule="auto"/>
        <w:jc w:val="both"/>
        <w:rPr>
          <w:rFonts w:ascii="Times New Roman" w:hAnsi="Times New Roman" w:cs="Times New Roman"/>
        </w:rPr>
      </w:pPr>
      <w:r>
        <w:rPr>
          <w:rFonts w:ascii="Times New Roman" w:hAnsi="Times New Roman" w:cs="Times New Roman"/>
        </w:rPr>
        <w:t>A clear right.</w:t>
      </w:r>
    </w:p>
    <w:p w14:paraId="33885BD3" w14:textId="77777777" w:rsidR="00CE1B7D" w:rsidRDefault="00FD46BE">
      <w:pPr>
        <w:numPr>
          <w:ilvl w:val="0"/>
          <w:numId w:val="2"/>
        </w:numPr>
        <w:spacing w:after="0" w:line="360" w:lineRule="auto"/>
        <w:jc w:val="both"/>
        <w:rPr>
          <w:rFonts w:ascii="Times New Roman" w:hAnsi="Times New Roman" w:cs="Times New Roman"/>
        </w:rPr>
      </w:pPr>
      <w:r>
        <w:rPr>
          <w:rFonts w:ascii="Times New Roman" w:hAnsi="Times New Roman" w:cs="Times New Roman"/>
        </w:rPr>
        <w:t>An injury actually committed or reasonably apprehended.</w:t>
      </w:r>
    </w:p>
    <w:p w14:paraId="11376AE0" w14:textId="77777777" w:rsidR="00CE1B7D" w:rsidRDefault="00FD46BE">
      <w:pPr>
        <w:numPr>
          <w:ilvl w:val="0"/>
          <w:numId w:val="2"/>
        </w:numPr>
        <w:spacing w:after="0" w:line="360" w:lineRule="auto"/>
        <w:jc w:val="both"/>
        <w:rPr>
          <w:rFonts w:ascii="Times New Roman" w:hAnsi="Times New Roman" w:cs="Times New Roman"/>
        </w:rPr>
      </w:pPr>
      <w:r>
        <w:rPr>
          <w:rFonts w:ascii="Times New Roman" w:hAnsi="Times New Roman" w:cs="Times New Roman"/>
        </w:rPr>
        <w:t>The Applicant must establish that the officer concerned does have a positive duty to perform the duty prayed for.</w:t>
      </w:r>
    </w:p>
    <w:p w14:paraId="5B8DD9BD" w14:textId="29A084BE" w:rsidR="00CE1B7D" w:rsidRDefault="00FD46BE" w:rsidP="00CC6D67">
      <w:pPr>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 The absence of similar protection.</w:t>
      </w:r>
    </w:p>
    <w:p w14:paraId="4828DA56" w14:textId="77777777" w:rsidR="00CC6D67" w:rsidRPr="00CC6D67" w:rsidRDefault="00CC6D67" w:rsidP="00CC6D67">
      <w:pPr>
        <w:spacing w:after="0" w:line="360" w:lineRule="auto"/>
        <w:ind w:left="720"/>
        <w:jc w:val="both"/>
        <w:rPr>
          <w:rFonts w:ascii="Times New Roman" w:hAnsi="Times New Roman" w:cs="Times New Roman"/>
        </w:rPr>
      </w:pPr>
    </w:p>
    <w:p w14:paraId="6BE70E9C" w14:textId="3C600B98" w:rsidR="00CE1B7D" w:rsidRDefault="00FD46BE" w:rsidP="00CC6D67">
      <w:pPr>
        <w:spacing w:line="360" w:lineRule="auto"/>
        <w:ind w:firstLine="360"/>
        <w:jc w:val="both"/>
        <w:rPr>
          <w:rFonts w:ascii="Times New Roman" w:hAnsi="Times New Roman" w:cs="Times New Roman"/>
        </w:rPr>
      </w:pPr>
      <w:r>
        <w:rPr>
          <w:rFonts w:ascii="Times New Roman" w:hAnsi="Times New Roman" w:cs="Times New Roman"/>
        </w:rPr>
        <w:t xml:space="preserve">The Applicant, in my view, does have a clear right by virtue of its claim over the disputed mining claims. The Applicant’s clear right is also established in terms of </w:t>
      </w:r>
      <w:r w:rsidR="00CC6D67">
        <w:rPr>
          <w:rFonts w:ascii="Times New Roman" w:hAnsi="Times New Roman" w:cs="Times New Roman"/>
        </w:rPr>
        <w:t>s</w:t>
      </w:r>
      <w:r>
        <w:rPr>
          <w:rFonts w:ascii="Times New Roman" w:hAnsi="Times New Roman" w:cs="Times New Roman"/>
        </w:rPr>
        <w:t xml:space="preserve"> 62 of the Constitution which creates access to information as a right. Thus, the first requirement of the present application is met. </w:t>
      </w:r>
    </w:p>
    <w:p w14:paraId="1A28668B" w14:textId="77777777" w:rsidR="00CE1B7D" w:rsidRDefault="00CE1B7D">
      <w:pPr>
        <w:spacing w:line="360" w:lineRule="auto"/>
        <w:jc w:val="both"/>
        <w:rPr>
          <w:rFonts w:ascii="Times New Roman" w:hAnsi="Times New Roman" w:cs="Times New Roman"/>
        </w:rPr>
      </w:pPr>
    </w:p>
    <w:p w14:paraId="6889F674" w14:textId="3C8E85C3" w:rsidR="00CE1B7D" w:rsidRDefault="00FD46BE" w:rsidP="00FD282E">
      <w:pPr>
        <w:spacing w:after="0" w:line="360" w:lineRule="auto"/>
        <w:jc w:val="both"/>
        <w:rPr>
          <w:rFonts w:ascii="Times New Roman" w:hAnsi="Times New Roman" w:cs="Times New Roman"/>
        </w:rPr>
      </w:pPr>
      <w:r>
        <w:rPr>
          <w:rFonts w:ascii="Times New Roman" w:hAnsi="Times New Roman" w:cs="Times New Roman"/>
        </w:rPr>
        <w:t xml:space="preserve">Turning to the second requirement, the Applicant is labouring under reasonable apprehension that its failure to access the information for the disputed mining claims may prejudice its right to a fair trial established in terms of </w:t>
      </w:r>
      <w:r w:rsidR="00FD282E">
        <w:rPr>
          <w:rFonts w:ascii="Times New Roman" w:hAnsi="Times New Roman" w:cs="Times New Roman"/>
        </w:rPr>
        <w:t>s</w:t>
      </w:r>
      <w:r>
        <w:rPr>
          <w:rFonts w:ascii="Times New Roman" w:hAnsi="Times New Roman" w:cs="Times New Roman"/>
        </w:rPr>
        <w:t xml:space="preserve"> 69 of the Constitution. Thus, the second requirement is satisfied to this extent, in my view.</w:t>
      </w:r>
    </w:p>
    <w:p w14:paraId="6D866555" w14:textId="354067A4" w:rsidR="00CE1B7D" w:rsidRDefault="00FD46BE" w:rsidP="00FD282E">
      <w:pPr>
        <w:spacing w:after="0" w:line="360" w:lineRule="auto"/>
        <w:ind w:firstLine="720"/>
        <w:jc w:val="both"/>
        <w:rPr>
          <w:rFonts w:ascii="Times New Roman" w:hAnsi="Times New Roman" w:cs="Times New Roman"/>
        </w:rPr>
      </w:pPr>
      <w:r>
        <w:rPr>
          <w:rFonts w:ascii="Times New Roman" w:hAnsi="Times New Roman" w:cs="Times New Roman"/>
        </w:rPr>
        <w:t xml:space="preserve">The </w:t>
      </w:r>
      <w:r w:rsidR="00FD282E">
        <w:rPr>
          <w:rFonts w:ascii="Times New Roman" w:hAnsi="Times New Roman" w:cs="Times New Roman"/>
        </w:rPr>
        <w:t xml:space="preserve">first </w:t>
      </w:r>
      <w:r>
        <w:rPr>
          <w:rFonts w:ascii="Times New Roman" w:hAnsi="Times New Roman" w:cs="Times New Roman"/>
        </w:rPr>
        <w:t xml:space="preserve">and </w:t>
      </w:r>
      <w:r w:rsidR="00FD282E">
        <w:rPr>
          <w:rFonts w:ascii="Times New Roman" w:hAnsi="Times New Roman" w:cs="Times New Roman"/>
        </w:rPr>
        <w:t>second</w:t>
      </w:r>
      <w:r>
        <w:rPr>
          <w:rFonts w:ascii="Times New Roman" w:hAnsi="Times New Roman" w:cs="Times New Roman"/>
        </w:rPr>
        <w:t xml:space="preserve"> Respondents have a positive duty to release information to the deserving persons. This obligation is created in terms of </w:t>
      </w:r>
      <w:r w:rsidR="00FD282E">
        <w:rPr>
          <w:rFonts w:ascii="Times New Roman" w:hAnsi="Times New Roman" w:cs="Times New Roman"/>
        </w:rPr>
        <w:t xml:space="preserve">s </w:t>
      </w:r>
      <w:r>
        <w:rPr>
          <w:rFonts w:ascii="Times New Roman" w:hAnsi="Times New Roman" w:cs="Times New Roman"/>
        </w:rPr>
        <w:t xml:space="preserve">62 of the Constitution. This positive duty was further elaborated by the appropriate provisions of the Freedom of Information Act. Therefore, the third requirement is satisfied in this regard. </w:t>
      </w:r>
    </w:p>
    <w:p w14:paraId="5577456E" w14:textId="02D4C564" w:rsidR="00CE1B7D" w:rsidRDefault="00FD46BE" w:rsidP="00FD282E">
      <w:pPr>
        <w:spacing w:line="360" w:lineRule="auto"/>
        <w:ind w:firstLine="720"/>
        <w:jc w:val="both"/>
        <w:rPr>
          <w:rFonts w:ascii="Times New Roman" w:hAnsi="Times New Roman" w:cs="Times New Roman"/>
        </w:rPr>
      </w:pPr>
      <w:r>
        <w:rPr>
          <w:rFonts w:ascii="Times New Roman" w:hAnsi="Times New Roman" w:cs="Times New Roman"/>
        </w:rPr>
        <w:t>In my view, the present application is the most appropriate remedy through which the Applicant may enforce its right of access to information. Section 7 of the Freedom of Information Act may not be the appropriate remedy at this point given that subsection (1) thereof requires the regulations for it to be fully operational. Section 7(1) of the Freedom of Information Act provides as follows:</w:t>
      </w:r>
    </w:p>
    <w:p w14:paraId="73E4EE2F" w14:textId="12AD1E84" w:rsidR="00CE1B7D" w:rsidRDefault="00FD46BE" w:rsidP="00FD282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“Any person who wishes to request access to information from any public entity, public commercial entity or the holder of a statutory office in accordance with the rights granted under this Act may apply in writing in a prescribed manner to an information officer of the public entity, public commercial entity or holder of a statutory office concerned.”</w:t>
      </w:r>
    </w:p>
    <w:p w14:paraId="233BAAC4" w14:textId="77777777" w:rsidR="00FD282E" w:rsidRPr="00FD282E" w:rsidRDefault="00FD282E" w:rsidP="00FD282E">
      <w:pPr>
        <w:spacing w:line="240" w:lineRule="auto"/>
        <w:ind w:left="720"/>
        <w:jc w:val="both"/>
        <w:rPr>
          <w:rFonts w:ascii="Times New Roman" w:hAnsi="Times New Roman" w:cs="Times New Roman"/>
          <w:sz w:val="22"/>
          <w:szCs w:val="22"/>
        </w:rPr>
      </w:pPr>
    </w:p>
    <w:p w14:paraId="7DD5855D" w14:textId="4312D85A" w:rsidR="00CE1B7D" w:rsidRDefault="00FD46BE" w:rsidP="00FD282E">
      <w:pPr>
        <w:spacing w:line="360" w:lineRule="auto"/>
        <w:ind w:firstLine="720"/>
        <w:jc w:val="both"/>
        <w:rPr>
          <w:rFonts w:ascii="Times New Roman" w:hAnsi="Times New Roman" w:cs="Times New Roman"/>
        </w:rPr>
      </w:pPr>
      <w:r>
        <w:rPr>
          <w:rFonts w:ascii="Times New Roman" w:hAnsi="Times New Roman" w:cs="Times New Roman"/>
        </w:rPr>
        <w:t>Section 40(1) of the Freedom of Information Act clearly spells out the authority which prescribes anything which may be required to be prescribed in terms of the Act. It provides as follows:</w:t>
      </w:r>
    </w:p>
    <w:p w14:paraId="1DE1A085" w14:textId="567A4FC8" w:rsidR="00CE1B7D" w:rsidRPr="00FD282E" w:rsidRDefault="00FD46BE" w:rsidP="00FD282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“The Commission, after consultation with the Minister, may make regulations providing for all matters which by this Act are required or permitted to be prescribed or which, in the Commission’s opinion, are necessary or convenient to be prescribed in order to carry out or give effect to this Act.”</w:t>
      </w:r>
    </w:p>
    <w:p w14:paraId="73D7CE4D" w14:textId="6A8BAD4B" w:rsidR="00CE1B7D" w:rsidRDefault="00FD46BE" w:rsidP="00FD282E">
      <w:pPr>
        <w:spacing w:line="360" w:lineRule="auto"/>
        <w:ind w:firstLine="720"/>
        <w:jc w:val="both"/>
        <w:rPr>
          <w:rFonts w:ascii="Times New Roman" w:hAnsi="Times New Roman" w:cs="Times New Roman"/>
        </w:rPr>
      </w:pPr>
      <w:r>
        <w:rPr>
          <w:rFonts w:ascii="Times New Roman" w:hAnsi="Times New Roman" w:cs="Times New Roman"/>
        </w:rPr>
        <w:t xml:space="preserve">Thus, it is apparent that the manner in which any person may approach the appropriate entity in terms of </w:t>
      </w:r>
      <w:r w:rsidR="00FD282E">
        <w:rPr>
          <w:rFonts w:ascii="Times New Roman" w:hAnsi="Times New Roman" w:cs="Times New Roman"/>
        </w:rPr>
        <w:t xml:space="preserve">s </w:t>
      </w:r>
      <w:r>
        <w:rPr>
          <w:rFonts w:ascii="Times New Roman" w:hAnsi="Times New Roman" w:cs="Times New Roman"/>
        </w:rPr>
        <w:t xml:space="preserve">7(1) of the Freedom of Information Act for access to information has to be prescribed by way of regulations. </w:t>
      </w:r>
      <w:r w:rsidR="00FD282E">
        <w:rPr>
          <w:rFonts w:ascii="Times New Roman" w:hAnsi="Times New Roman" w:cs="Times New Roman"/>
        </w:rPr>
        <w:t xml:space="preserve"> </w:t>
      </w:r>
      <w:r>
        <w:rPr>
          <w:rFonts w:ascii="Times New Roman" w:hAnsi="Times New Roman" w:cs="Times New Roman"/>
        </w:rPr>
        <w:t xml:space="preserve">No set of regulations were brought before my attention which prescribes the manner in which the application for access to information may be made to the information officer. In the absence of such regulations, the present application may remain the most appropriate remedy available to the Applicant. </w:t>
      </w:r>
    </w:p>
    <w:p w14:paraId="391264D2" w14:textId="77777777" w:rsidR="00CE1B7D" w:rsidRDefault="00CE1B7D">
      <w:pPr>
        <w:spacing w:line="360" w:lineRule="auto"/>
        <w:jc w:val="both"/>
        <w:rPr>
          <w:rFonts w:ascii="Times New Roman" w:hAnsi="Times New Roman" w:cs="Times New Roman"/>
        </w:rPr>
      </w:pPr>
    </w:p>
    <w:p w14:paraId="0DE6CE4D" w14:textId="6079354F" w:rsidR="00CE1B7D" w:rsidRDefault="00FD46BE" w:rsidP="00FD282E">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In my opinion, the remedy available in terms of </w:t>
      </w:r>
      <w:r w:rsidR="00FD282E">
        <w:rPr>
          <w:rFonts w:ascii="Times New Roman" w:hAnsi="Times New Roman" w:cs="Times New Roman"/>
        </w:rPr>
        <w:t>s</w:t>
      </w:r>
      <w:r>
        <w:rPr>
          <w:rFonts w:ascii="Times New Roman" w:hAnsi="Times New Roman" w:cs="Times New Roman"/>
        </w:rPr>
        <w:t xml:space="preserve"> of the Administrative Justice Act is not the best remedy. The present application remains the most appropriate remedy given that the Applicant is trying to enforce its constitutional right. Adv </w:t>
      </w:r>
      <w:r>
        <w:rPr>
          <w:rFonts w:ascii="Times New Roman" w:hAnsi="Times New Roman" w:cs="Times New Roman"/>
          <w:i/>
          <w:iCs/>
        </w:rPr>
        <w:t>Zhuwarara</w:t>
      </w:r>
      <w:r>
        <w:rPr>
          <w:rFonts w:ascii="Times New Roman" w:hAnsi="Times New Roman" w:cs="Times New Roman"/>
        </w:rPr>
        <w:t xml:space="preserve"> did not point out the appropriate remedy from </w:t>
      </w:r>
      <w:r w:rsidR="00FD282E">
        <w:rPr>
          <w:rFonts w:ascii="Times New Roman" w:hAnsi="Times New Roman" w:cs="Times New Roman"/>
        </w:rPr>
        <w:t xml:space="preserve">s </w:t>
      </w:r>
      <w:r>
        <w:rPr>
          <w:rFonts w:ascii="Times New Roman" w:hAnsi="Times New Roman" w:cs="Times New Roman"/>
        </w:rPr>
        <w:t>4 (2) of the Administrative Justice Act given that there are multiple remedies specified therein. Section 4 of the Administrative Justice Act is as follows:</w:t>
      </w:r>
    </w:p>
    <w:p w14:paraId="6A851AF0" w14:textId="77777777" w:rsidR="00CE1B7D" w:rsidRPr="00FD282E" w:rsidRDefault="00FD46B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“(1) Subject to this Act and any other law, any person who is aggrieved by the failure of an administrative authority to comply with section 3 may apply to the High Court for relief.</w:t>
      </w:r>
    </w:p>
    <w:p w14:paraId="0F676785" w14:textId="77777777" w:rsidR="00CE1B7D" w:rsidRPr="00FD282E" w:rsidRDefault="00FD46B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(2) Upon an application been made to it in terms of subsection (1), the High Court May, as may be appropriate—</w:t>
      </w:r>
    </w:p>
    <w:p w14:paraId="0CFB163D" w14:textId="77777777" w:rsidR="00CE1B7D" w:rsidRPr="00FD282E" w:rsidRDefault="00FD46B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(a) confirm or set aside the decision concerned;</w:t>
      </w:r>
    </w:p>
    <w:p w14:paraId="1790C920" w14:textId="77777777" w:rsidR="00CE1B7D" w:rsidRPr="00FD282E" w:rsidRDefault="00FD46B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(b) refer the matter back to the administrative authority concerned for consideration or reconsideration;</w:t>
      </w:r>
    </w:p>
    <w:p w14:paraId="2880957C" w14:textId="77777777" w:rsidR="00CE1B7D" w:rsidRPr="00FD282E" w:rsidRDefault="00FD46B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(c) direct the administrative authority to take administrative action within the relevant period specified by the law or, if no such period is specified, within a period fixed by the High Court;</w:t>
      </w:r>
    </w:p>
    <w:p w14:paraId="67F38D1D" w14:textId="77777777" w:rsidR="00CE1B7D" w:rsidRPr="00FD282E" w:rsidRDefault="00FD46B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(d) direct the administrative authority to supply reasons for its administrative action within the relevant period specified by the law or, if no such period is specified, within a period fixed by the High Court.</w:t>
      </w:r>
    </w:p>
    <w:p w14:paraId="05796DED" w14:textId="77777777" w:rsidR="00CE1B7D" w:rsidRPr="00FD282E" w:rsidRDefault="00FD46B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(e) give such directions as the High Court may consider necessary or desirable to achieve compliance by the administrative authority with section 3.</w:t>
      </w:r>
    </w:p>
    <w:p w14:paraId="1E7ACF27" w14:textId="77777777" w:rsidR="00CE1B7D" w:rsidRPr="00FD282E" w:rsidRDefault="00FD46B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(3) Directions given in terms of subsection (2) may include directions as to the manner or procedure which the administrative authority should adopt in arriving at its decision and directions to ensure compliance by the administrative authority with the relevant law or empowering provisions.</w:t>
      </w:r>
    </w:p>
    <w:p w14:paraId="6869CB87" w14:textId="6B65F543" w:rsidR="00CE1B7D" w:rsidRPr="00FD282E" w:rsidRDefault="00FD46BE">
      <w:pPr>
        <w:spacing w:line="240" w:lineRule="auto"/>
        <w:ind w:left="720"/>
        <w:jc w:val="both"/>
        <w:rPr>
          <w:rFonts w:ascii="Times New Roman" w:hAnsi="Times New Roman" w:cs="Times New Roman"/>
          <w:sz w:val="22"/>
          <w:szCs w:val="22"/>
        </w:rPr>
      </w:pPr>
      <w:r w:rsidRPr="00FD282E">
        <w:rPr>
          <w:rFonts w:ascii="Times New Roman" w:hAnsi="Times New Roman" w:cs="Times New Roman"/>
          <w:sz w:val="22"/>
          <w:szCs w:val="22"/>
        </w:rPr>
        <w:t>(4) The High Court may at any time vary or revoke any order or direction given in term</w:t>
      </w:r>
      <w:r w:rsidR="00FD282E">
        <w:rPr>
          <w:rFonts w:ascii="Times New Roman" w:hAnsi="Times New Roman" w:cs="Times New Roman"/>
          <w:sz w:val="22"/>
          <w:szCs w:val="22"/>
        </w:rPr>
        <w:t>s</w:t>
      </w:r>
      <w:r w:rsidRPr="00FD282E">
        <w:rPr>
          <w:rFonts w:ascii="Times New Roman" w:hAnsi="Times New Roman" w:cs="Times New Roman"/>
          <w:sz w:val="22"/>
          <w:szCs w:val="22"/>
        </w:rPr>
        <w:t xml:space="preserve"> of subsection (2).”</w:t>
      </w:r>
    </w:p>
    <w:p w14:paraId="3DB1FB5F" w14:textId="77777777" w:rsidR="00CE1B7D" w:rsidRDefault="00CE1B7D">
      <w:pPr>
        <w:spacing w:line="360" w:lineRule="auto"/>
        <w:jc w:val="both"/>
        <w:rPr>
          <w:rFonts w:ascii="Times New Roman" w:hAnsi="Times New Roman" w:cs="Times New Roman"/>
        </w:rPr>
      </w:pPr>
    </w:p>
    <w:p w14:paraId="7005329E" w14:textId="6DD62C65" w:rsidR="00CE1B7D" w:rsidRDefault="00FD46BE" w:rsidP="00FD282E">
      <w:pPr>
        <w:spacing w:line="360" w:lineRule="auto"/>
        <w:ind w:firstLine="720"/>
        <w:jc w:val="both"/>
        <w:rPr>
          <w:rFonts w:ascii="Times New Roman" w:hAnsi="Times New Roman" w:cs="Times New Roman"/>
        </w:rPr>
      </w:pPr>
      <w:r>
        <w:rPr>
          <w:rFonts w:ascii="Times New Roman" w:hAnsi="Times New Roman" w:cs="Times New Roman"/>
        </w:rPr>
        <w:t xml:space="preserve">What is apparent from the provisions of </w:t>
      </w:r>
      <w:r w:rsidR="00FD282E">
        <w:rPr>
          <w:rFonts w:ascii="Times New Roman" w:hAnsi="Times New Roman" w:cs="Times New Roman"/>
        </w:rPr>
        <w:t xml:space="preserve">s </w:t>
      </w:r>
      <w:r>
        <w:rPr>
          <w:rFonts w:ascii="Times New Roman" w:hAnsi="Times New Roman" w:cs="Times New Roman"/>
        </w:rPr>
        <w:t xml:space="preserve">4 of the Administrative Justice Act is that this Act does not take away this court’s jurisdiction to deal with the omissions and commissions made by the administrative authority in terms of any other existing law. Section 4(1) of the Administrative Justice Act subjects itself to any other law. Thus, the remedy available in terms of </w:t>
      </w:r>
      <w:r w:rsidR="00FD282E">
        <w:rPr>
          <w:rFonts w:ascii="Times New Roman" w:hAnsi="Times New Roman" w:cs="Times New Roman"/>
        </w:rPr>
        <w:t xml:space="preserve">s </w:t>
      </w:r>
      <w:r>
        <w:rPr>
          <w:rFonts w:ascii="Times New Roman" w:hAnsi="Times New Roman" w:cs="Times New Roman"/>
        </w:rPr>
        <w:t>4 of the Administrative Justice Act is not the sole remedy available.</w:t>
      </w:r>
      <w:r w:rsidR="00FD282E">
        <w:rPr>
          <w:rFonts w:ascii="Times New Roman" w:hAnsi="Times New Roman" w:cs="Times New Roman"/>
        </w:rPr>
        <w:t xml:space="preserve"> </w:t>
      </w:r>
      <w:r>
        <w:rPr>
          <w:rFonts w:ascii="Times New Roman" w:hAnsi="Times New Roman" w:cs="Times New Roman"/>
        </w:rPr>
        <w:t xml:space="preserve"> Section 62 as read with the Freedom of Information Act provides other available remedies of enforcing the right of access to information. I am unable to deny this remedy derived from the existing law. Our courts recognise mandatory interdict as one of the available remedies at law to compel officials to release information which is in their custody.</w:t>
      </w:r>
    </w:p>
    <w:p w14:paraId="1273BFB4" w14:textId="77777777" w:rsidR="00CE1B7D" w:rsidRDefault="00CE1B7D">
      <w:pPr>
        <w:spacing w:line="360" w:lineRule="auto"/>
        <w:jc w:val="both"/>
        <w:rPr>
          <w:rFonts w:ascii="Times New Roman" w:hAnsi="Times New Roman" w:cs="Times New Roman"/>
        </w:rPr>
      </w:pPr>
    </w:p>
    <w:p w14:paraId="4D1D93AA" w14:textId="5A804209" w:rsidR="00CE1B7D" w:rsidRDefault="00FD46BE" w:rsidP="00FD282E">
      <w:pPr>
        <w:spacing w:after="0" w:line="360" w:lineRule="auto"/>
        <w:jc w:val="both"/>
        <w:rPr>
          <w:rFonts w:ascii="Times New Roman" w:hAnsi="Times New Roman" w:cs="Times New Roman"/>
        </w:rPr>
      </w:pPr>
      <w:r>
        <w:rPr>
          <w:rFonts w:ascii="Times New Roman" w:hAnsi="Times New Roman" w:cs="Times New Roman"/>
        </w:rPr>
        <w:lastRenderedPageBreak/>
        <w:t xml:space="preserve">Assuming that I am wrong in this respect, I am of the further view that the present application resembles the relief available to a party in terms of </w:t>
      </w:r>
      <w:r w:rsidR="00FD282E">
        <w:rPr>
          <w:rFonts w:ascii="Times New Roman" w:hAnsi="Times New Roman" w:cs="Times New Roman"/>
        </w:rPr>
        <w:t xml:space="preserve">s </w:t>
      </w:r>
      <w:r>
        <w:rPr>
          <w:rFonts w:ascii="Times New Roman" w:hAnsi="Times New Roman" w:cs="Times New Roman"/>
        </w:rPr>
        <w:t xml:space="preserve">4(2)(c) of the Administrative Justice Act. In terms of this provision, this court may direct the administrative authority to perform certain functions. To this end, the present application also falls squarely within the appropriate provisions of the Administrative Justice Act. </w:t>
      </w:r>
    </w:p>
    <w:p w14:paraId="3A7FAA75" w14:textId="3C2DF305" w:rsidR="00CE1B7D" w:rsidRDefault="00FD46BE" w:rsidP="00FD282E">
      <w:pPr>
        <w:spacing w:after="0" w:line="360" w:lineRule="auto"/>
        <w:ind w:firstLine="720"/>
        <w:jc w:val="both"/>
        <w:rPr>
          <w:rFonts w:ascii="Times New Roman" w:hAnsi="Times New Roman" w:cs="Times New Roman"/>
        </w:rPr>
      </w:pPr>
      <w:r>
        <w:rPr>
          <w:rFonts w:ascii="Times New Roman" w:hAnsi="Times New Roman" w:cs="Times New Roman"/>
        </w:rPr>
        <w:t xml:space="preserve">The counsel for the </w:t>
      </w:r>
      <w:r w:rsidR="00FD282E">
        <w:rPr>
          <w:rFonts w:ascii="Times New Roman" w:hAnsi="Times New Roman" w:cs="Times New Roman"/>
        </w:rPr>
        <w:t xml:space="preserve">fourth </w:t>
      </w:r>
      <w:r>
        <w:rPr>
          <w:rFonts w:ascii="Times New Roman" w:hAnsi="Times New Roman" w:cs="Times New Roman"/>
        </w:rPr>
        <w:t xml:space="preserve">Respondent additionally argued that the information sought to be obtained is </w:t>
      </w:r>
      <w:r w:rsidR="00FD282E">
        <w:rPr>
          <w:rFonts w:ascii="Times New Roman" w:hAnsi="Times New Roman" w:cs="Times New Roman"/>
        </w:rPr>
        <w:t>fourth</w:t>
      </w:r>
      <w:r>
        <w:rPr>
          <w:rFonts w:ascii="Times New Roman" w:hAnsi="Times New Roman" w:cs="Times New Roman"/>
        </w:rPr>
        <w:t xml:space="preserve"> Respondent’s personal information. Reference was made to the repealed law of the Access to Information and Protection of Privacy Act. Legal Practitioners undertook to file additional submissions referring to the new law for the protection of privacy. By the time of writing this judgment, no submissions were filed.  In light of this, I will imply that the argument pursued by Adv </w:t>
      </w:r>
      <w:r>
        <w:rPr>
          <w:rFonts w:ascii="Times New Roman" w:hAnsi="Times New Roman" w:cs="Times New Roman"/>
          <w:i/>
          <w:iCs/>
        </w:rPr>
        <w:t>Zhuwarara</w:t>
      </w:r>
      <w:r>
        <w:rPr>
          <w:rFonts w:ascii="Times New Roman" w:hAnsi="Times New Roman" w:cs="Times New Roman"/>
        </w:rPr>
        <w:t xml:space="preserve"> was forsaken.</w:t>
      </w:r>
    </w:p>
    <w:p w14:paraId="7B0F7C6B" w14:textId="50AB373E" w:rsidR="00CE1B7D" w:rsidRDefault="00FD46BE" w:rsidP="00FD282E">
      <w:pPr>
        <w:spacing w:after="0" w:line="360" w:lineRule="auto"/>
        <w:ind w:firstLine="720"/>
        <w:jc w:val="both"/>
        <w:rPr>
          <w:rFonts w:ascii="Times New Roman" w:hAnsi="Times New Roman" w:cs="Times New Roman"/>
        </w:rPr>
      </w:pPr>
      <w:r>
        <w:rPr>
          <w:rFonts w:ascii="Times New Roman" w:hAnsi="Times New Roman" w:cs="Times New Roman"/>
        </w:rPr>
        <w:t xml:space="preserve">In the original draft order, the Applicant prayed for an order that there shall be no order as to costs. </w:t>
      </w:r>
      <w:r w:rsidR="00FD282E">
        <w:rPr>
          <w:rFonts w:ascii="Times New Roman" w:hAnsi="Times New Roman" w:cs="Times New Roman"/>
        </w:rPr>
        <w:t xml:space="preserve"> </w:t>
      </w:r>
      <w:r>
        <w:rPr>
          <w:rFonts w:ascii="Times New Roman" w:hAnsi="Times New Roman" w:cs="Times New Roman"/>
        </w:rPr>
        <w:t xml:space="preserve">After the </w:t>
      </w:r>
      <w:r w:rsidR="00FD282E">
        <w:rPr>
          <w:rFonts w:ascii="Times New Roman" w:hAnsi="Times New Roman" w:cs="Times New Roman"/>
        </w:rPr>
        <w:t xml:space="preserve">fourth </w:t>
      </w:r>
      <w:r>
        <w:rPr>
          <w:rFonts w:ascii="Times New Roman" w:hAnsi="Times New Roman" w:cs="Times New Roman"/>
        </w:rPr>
        <w:t xml:space="preserve">Respondent demonstrated its resistance to the present application, the Applicant prayed for punitive costs on an attorney and client scale against the </w:t>
      </w:r>
      <w:r w:rsidR="00FD282E">
        <w:rPr>
          <w:rFonts w:ascii="Times New Roman" w:hAnsi="Times New Roman" w:cs="Times New Roman"/>
        </w:rPr>
        <w:t xml:space="preserve">fourth </w:t>
      </w:r>
      <w:r>
        <w:rPr>
          <w:rFonts w:ascii="Times New Roman" w:hAnsi="Times New Roman" w:cs="Times New Roman"/>
        </w:rPr>
        <w:t xml:space="preserve">Respondent. No sufficient justification was advanced by the Applicant. I have no reason to punish the </w:t>
      </w:r>
      <w:r w:rsidR="00FD282E">
        <w:rPr>
          <w:rFonts w:ascii="Times New Roman" w:hAnsi="Times New Roman" w:cs="Times New Roman"/>
        </w:rPr>
        <w:t>fourth</w:t>
      </w:r>
      <w:r>
        <w:rPr>
          <w:rFonts w:ascii="Times New Roman" w:hAnsi="Times New Roman" w:cs="Times New Roman"/>
        </w:rPr>
        <w:t xml:space="preserve"> Respondent with an order of costs for purely opposing the present application. Punishing the </w:t>
      </w:r>
      <w:r w:rsidR="00FD282E">
        <w:rPr>
          <w:rFonts w:ascii="Times New Roman" w:hAnsi="Times New Roman" w:cs="Times New Roman"/>
        </w:rPr>
        <w:t>fourth</w:t>
      </w:r>
      <w:r>
        <w:rPr>
          <w:rFonts w:ascii="Times New Roman" w:hAnsi="Times New Roman" w:cs="Times New Roman"/>
        </w:rPr>
        <w:t xml:space="preserve"> Respondent under such circumstances may be regarded as a flagrant affront to the </w:t>
      </w:r>
      <w:r w:rsidR="00FD282E">
        <w:rPr>
          <w:rFonts w:ascii="Times New Roman" w:hAnsi="Times New Roman" w:cs="Times New Roman"/>
        </w:rPr>
        <w:t>fourth</w:t>
      </w:r>
      <w:r>
        <w:rPr>
          <w:rFonts w:ascii="Times New Roman" w:hAnsi="Times New Roman" w:cs="Times New Roman"/>
        </w:rPr>
        <w:t xml:space="preserve"> Respondent’s right of access to justice. In light of this, I am of the view that the Applicant is entitled to the relief as originally prayed for.</w:t>
      </w:r>
    </w:p>
    <w:p w14:paraId="54D4752A" w14:textId="5719EEE7" w:rsidR="00CE1B7D" w:rsidRDefault="00FD46BE" w:rsidP="00FD282E">
      <w:pPr>
        <w:spacing w:after="0" w:line="360" w:lineRule="auto"/>
        <w:ind w:firstLine="360"/>
        <w:jc w:val="both"/>
        <w:rPr>
          <w:rFonts w:ascii="Times New Roman" w:hAnsi="Times New Roman" w:cs="Times New Roman"/>
        </w:rPr>
      </w:pPr>
      <w:r>
        <w:rPr>
          <w:rFonts w:ascii="Times New Roman" w:hAnsi="Times New Roman" w:cs="Times New Roman"/>
        </w:rPr>
        <w:t xml:space="preserve">In the result, it is ordered as follows:                                </w:t>
      </w:r>
    </w:p>
    <w:p w14:paraId="09D071F4" w14:textId="5A874C70" w:rsidR="00CE1B7D" w:rsidRPr="00FD282E" w:rsidRDefault="00FD46BE" w:rsidP="00FD282E">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 xml:space="preserve"> The </w:t>
      </w:r>
      <w:r w:rsidR="00FD282E">
        <w:rPr>
          <w:rFonts w:ascii="Times New Roman" w:hAnsi="Times New Roman" w:cs="Times New Roman"/>
        </w:rPr>
        <w:t xml:space="preserve">first </w:t>
      </w:r>
      <w:r>
        <w:rPr>
          <w:rFonts w:ascii="Times New Roman" w:hAnsi="Times New Roman" w:cs="Times New Roman"/>
        </w:rPr>
        <w:t>Respondent be and is hereby compelled to allow the Applicant access to inspect and make copies of all the documents contained within the files of the following mining claims:</w:t>
      </w:r>
    </w:p>
    <w:tbl>
      <w:tblPr>
        <w:tblStyle w:val="TableGrid"/>
        <w:tblW w:w="0" w:type="auto"/>
        <w:tblLook w:val="04A0" w:firstRow="1" w:lastRow="0" w:firstColumn="1" w:lastColumn="0" w:noHBand="0" w:noVBand="1"/>
      </w:tblPr>
      <w:tblGrid>
        <w:gridCol w:w="1803"/>
        <w:gridCol w:w="1803"/>
        <w:gridCol w:w="1803"/>
        <w:gridCol w:w="1803"/>
        <w:gridCol w:w="1804"/>
      </w:tblGrid>
      <w:tr w:rsidR="00CE1B7D" w14:paraId="2140A6C1" w14:textId="77777777">
        <w:tc>
          <w:tcPr>
            <w:tcW w:w="1803" w:type="dxa"/>
          </w:tcPr>
          <w:p w14:paraId="1CB05EC1" w14:textId="77777777" w:rsidR="00CE1B7D" w:rsidRDefault="00FD46BE">
            <w:pPr>
              <w:spacing w:after="0" w:line="360" w:lineRule="auto"/>
              <w:jc w:val="both"/>
              <w:rPr>
                <w:rFonts w:ascii="Times New Roman" w:hAnsi="Times New Roman" w:cs="Times New Roman"/>
                <w:b/>
                <w:bCs/>
              </w:rPr>
            </w:pPr>
            <w:r>
              <w:rPr>
                <w:rFonts w:ascii="Times New Roman" w:hAnsi="Times New Roman" w:cs="Times New Roman"/>
                <w:b/>
                <w:bCs/>
              </w:rPr>
              <w:t>Name</w:t>
            </w:r>
          </w:p>
        </w:tc>
        <w:tc>
          <w:tcPr>
            <w:tcW w:w="1803" w:type="dxa"/>
          </w:tcPr>
          <w:p w14:paraId="352FE609" w14:textId="77777777" w:rsidR="00CE1B7D" w:rsidRDefault="00FD46BE">
            <w:pPr>
              <w:spacing w:after="0" w:line="360" w:lineRule="auto"/>
              <w:jc w:val="both"/>
              <w:rPr>
                <w:rFonts w:ascii="Times New Roman" w:hAnsi="Times New Roman" w:cs="Times New Roman"/>
                <w:b/>
                <w:bCs/>
              </w:rPr>
            </w:pPr>
            <w:r>
              <w:rPr>
                <w:rFonts w:ascii="Times New Roman" w:hAnsi="Times New Roman" w:cs="Times New Roman"/>
                <w:b/>
                <w:bCs/>
              </w:rPr>
              <w:t>Registration No.</w:t>
            </w:r>
          </w:p>
        </w:tc>
        <w:tc>
          <w:tcPr>
            <w:tcW w:w="1803" w:type="dxa"/>
          </w:tcPr>
          <w:p w14:paraId="0998AB88" w14:textId="77777777" w:rsidR="00CE1B7D" w:rsidRDefault="00FD46BE">
            <w:pPr>
              <w:spacing w:after="0" w:line="360" w:lineRule="auto"/>
              <w:jc w:val="both"/>
              <w:rPr>
                <w:rFonts w:ascii="Times New Roman" w:hAnsi="Times New Roman" w:cs="Times New Roman"/>
                <w:b/>
                <w:bCs/>
              </w:rPr>
            </w:pPr>
            <w:r>
              <w:rPr>
                <w:rFonts w:ascii="Times New Roman" w:hAnsi="Times New Roman" w:cs="Times New Roman"/>
                <w:b/>
                <w:bCs/>
              </w:rPr>
              <w:t>In Respect of</w:t>
            </w:r>
          </w:p>
        </w:tc>
        <w:tc>
          <w:tcPr>
            <w:tcW w:w="1803" w:type="dxa"/>
          </w:tcPr>
          <w:p w14:paraId="40F94617" w14:textId="77777777" w:rsidR="00CE1B7D" w:rsidRDefault="00FD46BE">
            <w:pPr>
              <w:spacing w:after="0" w:line="360" w:lineRule="auto"/>
              <w:jc w:val="both"/>
              <w:rPr>
                <w:rFonts w:ascii="Times New Roman" w:hAnsi="Times New Roman" w:cs="Times New Roman"/>
                <w:b/>
                <w:bCs/>
              </w:rPr>
            </w:pPr>
            <w:r>
              <w:rPr>
                <w:rFonts w:ascii="Times New Roman" w:hAnsi="Times New Roman" w:cs="Times New Roman"/>
                <w:b/>
                <w:bCs/>
              </w:rPr>
              <w:t>No. of Claims</w:t>
            </w:r>
          </w:p>
        </w:tc>
        <w:tc>
          <w:tcPr>
            <w:tcW w:w="1804" w:type="dxa"/>
          </w:tcPr>
          <w:p w14:paraId="3602B759" w14:textId="77777777" w:rsidR="00CE1B7D" w:rsidRDefault="00FD46BE">
            <w:pPr>
              <w:spacing w:after="0" w:line="360" w:lineRule="auto"/>
              <w:jc w:val="both"/>
              <w:rPr>
                <w:rFonts w:ascii="Times New Roman" w:hAnsi="Times New Roman" w:cs="Times New Roman"/>
                <w:b/>
                <w:bCs/>
              </w:rPr>
            </w:pPr>
            <w:r>
              <w:rPr>
                <w:rFonts w:ascii="Times New Roman" w:hAnsi="Times New Roman" w:cs="Times New Roman"/>
                <w:b/>
                <w:bCs/>
              </w:rPr>
              <w:t>Situated</w:t>
            </w:r>
          </w:p>
        </w:tc>
      </w:tr>
      <w:tr w:rsidR="00CE1B7D" w14:paraId="164B366F" w14:textId="77777777">
        <w:tc>
          <w:tcPr>
            <w:tcW w:w="1803" w:type="dxa"/>
          </w:tcPr>
          <w:p w14:paraId="4849F049"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Bono</w:t>
            </w:r>
          </w:p>
        </w:tc>
        <w:tc>
          <w:tcPr>
            <w:tcW w:w="1803" w:type="dxa"/>
          </w:tcPr>
          <w:p w14:paraId="579406DF"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14860</w:t>
            </w:r>
          </w:p>
        </w:tc>
        <w:tc>
          <w:tcPr>
            <w:tcW w:w="1803" w:type="dxa"/>
          </w:tcPr>
          <w:p w14:paraId="64D8777F"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5F6D1ED9"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9</w:t>
            </w:r>
          </w:p>
        </w:tc>
        <w:tc>
          <w:tcPr>
            <w:tcW w:w="1804" w:type="dxa"/>
          </w:tcPr>
          <w:p w14:paraId="78455142"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4CE5E47C" w14:textId="77777777">
        <w:tc>
          <w:tcPr>
            <w:tcW w:w="1803" w:type="dxa"/>
          </w:tcPr>
          <w:p w14:paraId="5E73F1B3"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Bono 2</w:t>
            </w:r>
          </w:p>
        </w:tc>
        <w:tc>
          <w:tcPr>
            <w:tcW w:w="1803" w:type="dxa"/>
          </w:tcPr>
          <w:p w14:paraId="210C54C5"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14770</w:t>
            </w:r>
          </w:p>
        </w:tc>
        <w:tc>
          <w:tcPr>
            <w:tcW w:w="1803" w:type="dxa"/>
          </w:tcPr>
          <w:p w14:paraId="711CBCE4"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 xml:space="preserve">Gold </w:t>
            </w:r>
          </w:p>
        </w:tc>
        <w:tc>
          <w:tcPr>
            <w:tcW w:w="1803" w:type="dxa"/>
          </w:tcPr>
          <w:p w14:paraId="768760EC"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9</w:t>
            </w:r>
          </w:p>
        </w:tc>
        <w:tc>
          <w:tcPr>
            <w:tcW w:w="1804" w:type="dxa"/>
          </w:tcPr>
          <w:p w14:paraId="429E45BB"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077B5241" w14:textId="77777777">
        <w:tc>
          <w:tcPr>
            <w:tcW w:w="1803" w:type="dxa"/>
          </w:tcPr>
          <w:p w14:paraId="2A7B42D0"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Bono 3</w:t>
            </w:r>
          </w:p>
        </w:tc>
        <w:tc>
          <w:tcPr>
            <w:tcW w:w="1803" w:type="dxa"/>
          </w:tcPr>
          <w:p w14:paraId="55BEF044"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14771</w:t>
            </w:r>
          </w:p>
        </w:tc>
        <w:tc>
          <w:tcPr>
            <w:tcW w:w="1803" w:type="dxa"/>
          </w:tcPr>
          <w:p w14:paraId="19143E37"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38A391D5"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761E67A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7472D8BF" w14:textId="77777777">
        <w:tc>
          <w:tcPr>
            <w:tcW w:w="1803" w:type="dxa"/>
          </w:tcPr>
          <w:p w14:paraId="210F405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Blue Streak</w:t>
            </w:r>
          </w:p>
        </w:tc>
        <w:tc>
          <w:tcPr>
            <w:tcW w:w="1803" w:type="dxa"/>
          </w:tcPr>
          <w:p w14:paraId="6123E9F9"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12918</w:t>
            </w:r>
          </w:p>
        </w:tc>
        <w:tc>
          <w:tcPr>
            <w:tcW w:w="1803" w:type="dxa"/>
          </w:tcPr>
          <w:p w14:paraId="39D3E148"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1076493F"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24E4B14F"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22E08675" w14:textId="77777777">
        <w:tc>
          <w:tcPr>
            <w:tcW w:w="1803" w:type="dxa"/>
          </w:tcPr>
          <w:p w14:paraId="74F2084D"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Blue Streak 2</w:t>
            </w:r>
          </w:p>
        </w:tc>
        <w:tc>
          <w:tcPr>
            <w:tcW w:w="1803" w:type="dxa"/>
          </w:tcPr>
          <w:p w14:paraId="043567FD"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12989</w:t>
            </w:r>
          </w:p>
        </w:tc>
        <w:tc>
          <w:tcPr>
            <w:tcW w:w="1803" w:type="dxa"/>
          </w:tcPr>
          <w:p w14:paraId="0FE30BB0"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144409F3"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113E6CCC"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183C59F0" w14:textId="77777777">
        <w:tc>
          <w:tcPr>
            <w:tcW w:w="1803" w:type="dxa"/>
          </w:tcPr>
          <w:p w14:paraId="1A9300C3"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Blue Streak 8</w:t>
            </w:r>
          </w:p>
        </w:tc>
        <w:tc>
          <w:tcPr>
            <w:tcW w:w="1803" w:type="dxa"/>
          </w:tcPr>
          <w:p w14:paraId="1490EC8B"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14132</w:t>
            </w:r>
          </w:p>
        </w:tc>
        <w:tc>
          <w:tcPr>
            <w:tcW w:w="1803" w:type="dxa"/>
          </w:tcPr>
          <w:p w14:paraId="16CF50B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2A582325"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124911CB"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09172615" w14:textId="77777777">
        <w:tc>
          <w:tcPr>
            <w:tcW w:w="1803" w:type="dxa"/>
          </w:tcPr>
          <w:p w14:paraId="5E5300B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Blue Streak 9</w:t>
            </w:r>
          </w:p>
        </w:tc>
        <w:tc>
          <w:tcPr>
            <w:tcW w:w="1803" w:type="dxa"/>
          </w:tcPr>
          <w:p w14:paraId="314F2C9F"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14145</w:t>
            </w:r>
          </w:p>
        </w:tc>
        <w:tc>
          <w:tcPr>
            <w:tcW w:w="1803" w:type="dxa"/>
          </w:tcPr>
          <w:p w14:paraId="456F95D2"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64D36CC2"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1E0035A8"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2ECAB75D" w14:textId="77777777">
        <w:tc>
          <w:tcPr>
            <w:tcW w:w="1803" w:type="dxa"/>
          </w:tcPr>
          <w:p w14:paraId="581CA202"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lastRenderedPageBreak/>
              <w:t>Blue Streak 10</w:t>
            </w:r>
          </w:p>
        </w:tc>
        <w:tc>
          <w:tcPr>
            <w:tcW w:w="1803" w:type="dxa"/>
          </w:tcPr>
          <w:p w14:paraId="5D80114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14146</w:t>
            </w:r>
          </w:p>
        </w:tc>
        <w:tc>
          <w:tcPr>
            <w:tcW w:w="1803" w:type="dxa"/>
          </w:tcPr>
          <w:p w14:paraId="15238F83"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10454958"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8</w:t>
            </w:r>
          </w:p>
        </w:tc>
        <w:tc>
          <w:tcPr>
            <w:tcW w:w="1804" w:type="dxa"/>
          </w:tcPr>
          <w:p w14:paraId="4D1B63A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597FB1AD" w14:textId="77777777">
        <w:tc>
          <w:tcPr>
            <w:tcW w:w="1803" w:type="dxa"/>
          </w:tcPr>
          <w:p w14:paraId="31E93F61"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Blue Streak 11</w:t>
            </w:r>
          </w:p>
        </w:tc>
        <w:tc>
          <w:tcPr>
            <w:tcW w:w="1803" w:type="dxa"/>
          </w:tcPr>
          <w:p w14:paraId="5C3148D9"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14259</w:t>
            </w:r>
          </w:p>
        </w:tc>
        <w:tc>
          <w:tcPr>
            <w:tcW w:w="1803" w:type="dxa"/>
          </w:tcPr>
          <w:p w14:paraId="69C49A2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365AA488"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6</w:t>
            </w:r>
          </w:p>
        </w:tc>
        <w:tc>
          <w:tcPr>
            <w:tcW w:w="1804" w:type="dxa"/>
          </w:tcPr>
          <w:p w14:paraId="4E66D17E"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04A9E245" w14:textId="77777777">
        <w:tc>
          <w:tcPr>
            <w:tcW w:w="1803" w:type="dxa"/>
          </w:tcPr>
          <w:p w14:paraId="12D03110"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Blue Streak 12</w:t>
            </w:r>
          </w:p>
        </w:tc>
        <w:tc>
          <w:tcPr>
            <w:tcW w:w="1803" w:type="dxa"/>
          </w:tcPr>
          <w:p w14:paraId="57F6E5EA"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14260</w:t>
            </w:r>
          </w:p>
        </w:tc>
        <w:tc>
          <w:tcPr>
            <w:tcW w:w="1803" w:type="dxa"/>
          </w:tcPr>
          <w:p w14:paraId="35DF1734"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4A89ED8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2869FA09"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2B6F4029" w14:textId="77777777">
        <w:tc>
          <w:tcPr>
            <w:tcW w:w="1803" w:type="dxa"/>
          </w:tcPr>
          <w:p w14:paraId="045A30FC"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Blue Streak 13</w:t>
            </w:r>
          </w:p>
        </w:tc>
        <w:tc>
          <w:tcPr>
            <w:tcW w:w="1803" w:type="dxa"/>
          </w:tcPr>
          <w:p w14:paraId="1315E4B4"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14261</w:t>
            </w:r>
          </w:p>
        </w:tc>
        <w:tc>
          <w:tcPr>
            <w:tcW w:w="1803" w:type="dxa"/>
          </w:tcPr>
          <w:p w14:paraId="49F386DC"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1E898BFA"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1DCBB86F"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3141F71C" w14:textId="77777777">
        <w:tc>
          <w:tcPr>
            <w:tcW w:w="1803" w:type="dxa"/>
          </w:tcPr>
          <w:p w14:paraId="65FD2375"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Concession Hill (w Portion)</w:t>
            </w:r>
          </w:p>
        </w:tc>
        <w:tc>
          <w:tcPr>
            <w:tcW w:w="1803" w:type="dxa"/>
          </w:tcPr>
          <w:p w14:paraId="3B46330B"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319B</w:t>
            </w:r>
          </w:p>
        </w:tc>
        <w:tc>
          <w:tcPr>
            <w:tcW w:w="1803" w:type="dxa"/>
          </w:tcPr>
          <w:p w14:paraId="0F210A49"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 xml:space="preserve">Gold </w:t>
            </w:r>
          </w:p>
        </w:tc>
        <w:tc>
          <w:tcPr>
            <w:tcW w:w="1803" w:type="dxa"/>
          </w:tcPr>
          <w:p w14:paraId="01944B78"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5</w:t>
            </w:r>
          </w:p>
        </w:tc>
        <w:tc>
          <w:tcPr>
            <w:tcW w:w="1804" w:type="dxa"/>
          </w:tcPr>
          <w:p w14:paraId="311FEFDE"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58296F13" w14:textId="77777777">
        <w:tc>
          <w:tcPr>
            <w:tcW w:w="1803" w:type="dxa"/>
          </w:tcPr>
          <w:p w14:paraId="4AB1BBE2"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Duchess 2</w:t>
            </w:r>
          </w:p>
        </w:tc>
        <w:tc>
          <w:tcPr>
            <w:tcW w:w="1803" w:type="dxa"/>
          </w:tcPr>
          <w:p w14:paraId="1F81B2F8"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13938</w:t>
            </w:r>
          </w:p>
        </w:tc>
        <w:tc>
          <w:tcPr>
            <w:tcW w:w="1803" w:type="dxa"/>
          </w:tcPr>
          <w:p w14:paraId="4DBB986E"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30D3809D"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3CF9D9E8"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0222EDF0" w14:textId="77777777">
        <w:tc>
          <w:tcPr>
            <w:tcW w:w="1803" w:type="dxa"/>
          </w:tcPr>
          <w:p w14:paraId="489704EB"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Hilldene M</w:t>
            </w:r>
          </w:p>
        </w:tc>
        <w:tc>
          <w:tcPr>
            <w:tcW w:w="1803" w:type="dxa"/>
          </w:tcPr>
          <w:p w14:paraId="64A47D1E"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14144</w:t>
            </w:r>
          </w:p>
        </w:tc>
        <w:tc>
          <w:tcPr>
            <w:tcW w:w="1803" w:type="dxa"/>
          </w:tcPr>
          <w:p w14:paraId="1560C842"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3CEF5615"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7</w:t>
            </w:r>
          </w:p>
        </w:tc>
        <w:tc>
          <w:tcPr>
            <w:tcW w:w="1804" w:type="dxa"/>
          </w:tcPr>
          <w:p w14:paraId="44C62FC2"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59C41B55" w14:textId="77777777">
        <w:tc>
          <w:tcPr>
            <w:tcW w:w="1803" w:type="dxa"/>
          </w:tcPr>
          <w:p w14:paraId="110EB61B"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Homelands 2</w:t>
            </w:r>
          </w:p>
        </w:tc>
        <w:tc>
          <w:tcPr>
            <w:tcW w:w="1803" w:type="dxa"/>
          </w:tcPr>
          <w:p w14:paraId="7C6CD9D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14143</w:t>
            </w:r>
          </w:p>
        </w:tc>
        <w:tc>
          <w:tcPr>
            <w:tcW w:w="1803" w:type="dxa"/>
          </w:tcPr>
          <w:p w14:paraId="76EDE824"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1FEFA198"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47170914"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2677232B" w14:textId="77777777">
        <w:tc>
          <w:tcPr>
            <w:tcW w:w="1803" w:type="dxa"/>
          </w:tcPr>
          <w:p w14:paraId="53596844"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Pickstone North</w:t>
            </w:r>
          </w:p>
        </w:tc>
        <w:tc>
          <w:tcPr>
            <w:tcW w:w="1803" w:type="dxa"/>
          </w:tcPr>
          <w:p w14:paraId="2801D11F"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14037</w:t>
            </w:r>
          </w:p>
        </w:tc>
        <w:tc>
          <w:tcPr>
            <w:tcW w:w="1803" w:type="dxa"/>
          </w:tcPr>
          <w:p w14:paraId="68C0529F"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352E9F17"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5899FC7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76F4FBBB" w14:textId="77777777">
        <w:tc>
          <w:tcPr>
            <w:tcW w:w="1803" w:type="dxa"/>
          </w:tcPr>
          <w:p w14:paraId="438CFC77"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Peerless</w:t>
            </w:r>
          </w:p>
        </w:tc>
        <w:tc>
          <w:tcPr>
            <w:tcW w:w="1803" w:type="dxa"/>
          </w:tcPr>
          <w:p w14:paraId="12BE44E3"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8034</w:t>
            </w:r>
          </w:p>
        </w:tc>
        <w:tc>
          <w:tcPr>
            <w:tcW w:w="1803" w:type="dxa"/>
          </w:tcPr>
          <w:p w14:paraId="28658245"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594367AF"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09ED7D85"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2555DE44" w14:textId="77777777">
        <w:tc>
          <w:tcPr>
            <w:tcW w:w="1803" w:type="dxa"/>
          </w:tcPr>
          <w:p w14:paraId="2F6A196A"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Venning</w:t>
            </w:r>
          </w:p>
        </w:tc>
        <w:tc>
          <w:tcPr>
            <w:tcW w:w="1803" w:type="dxa"/>
          </w:tcPr>
          <w:p w14:paraId="145DC151"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9315</w:t>
            </w:r>
          </w:p>
        </w:tc>
        <w:tc>
          <w:tcPr>
            <w:tcW w:w="1803" w:type="dxa"/>
          </w:tcPr>
          <w:p w14:paraId="6BCDF0AD"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56971C2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7E1FCF05"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479D6EC3" w14:textId="77777777">
        <w:tc>
          <w:tcPr>
            <w:tcW w:w="1803" w:type="dxa"/>
          </w:tcPr>
          <w:p w14:paraId="6A3C9C76"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Warren 2</w:t>
            </w:r>
          </w:p>
        </w:tc>
        <w:tc>
          <w:tcPr>
            <w:tcW w:w="1803" w:type="dxa"/>
          </w:tcPr>
          <w:p w14:paraId="324B38D4"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14772</w:t>
            </w:r>
          </w:p>
        </w:tc>
        <w:tc>
          <w:tcPr>
            <w:tcW w:w="1803" w:type="dxa"/>
          </w:tcPr>
          <w:p w14:paraId="0ACFEE51"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65F64FF9"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10</w:t>
            </w:r>
          </w:p>
        </w:tc>
        <w:tc>
          <w:tcPr>
            <w:tcW w:w="1804" w:type="dxa"/>
          </w:tcPr>
          <w:p w14:paraId="3566E64A"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r w:rsidR="00CE1B7D" w14:paraId="7B03D77C" w14:textId="77777777">
        <w:tc>
          <w:tcPr>
            <w:tcW w:w="1803" w:type="dxa"/>
          </w:tcPr>
          <w:p w14:paraId="7DAF0C6C"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Duchess 3</w:t>
            </w:r>
          </w:p>
        </w:tc>
        <w:tc>
          <w:tcPr>
            <w:tcW w:w="1803" w:type="dxa"/>
          </w:tcPr>
          <w:p w14:paraId="3F7C866B"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6436</w:t>
            </w:r>
          </w:p>
        </w:tc>
        <w:tc>
          <w:tcPr>
            <w:tcW w:w="1803" w:type="dxa"/>
          </w:tcPr>
          <w:p w14:paraId="273D8207"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Gold</w:t>
            </w:r>
          </w:p>
        </w:tc>
        <w:tc>
          <w:tcPr>
            <w:tcW w:w="1803" w:type="dxa"/>
          </w:tcPr>
          <w:p w14:paraId="7DB20122"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11</w:t>
            </w:r>
          </w:p>
        </w:tc>
        <w:tc>
          <w:tcPr>
            <w:tcW w:w="1804" w:type="dxa"/>
          </w:tcPr>
          <w:p w14:paraId="30E27734" w14:textId="77777777" w:rsidR="00CE1B7D" w:rsidRDefault="00FD46BE">
            <w:pPr>
              <w:spacing w:after="0" w:line="360" w:lineRule="auto"/>
              <w:jc w:val="both"/>
              <w:rPr>
                <w:rFonts w:ascii="Times New Roman" w:hAnsi="Times New Roman" w:cs="Times New Roman"/>
              </w:rPr>
            </w:pPr>
            <w:r>
              <w:rPr>
                <w:rFonts w:ascii="Times New Roman" w:hAnsi="Times New Roman" w:cs="Times New Roman"/>
              </w:rPr>
              <w:t>Kadoma</w:t>
            </w:r>
          </w:p>
        </w:tc>
      </w:tr>
    </w:tbl>
    <w:p w14:paraId="5D6EA8D4" w14:textId="77777777" w:rsidR="00CE1B7D" w:rsidRDefault="00CE1B7D">
      <w:pPr>
        <w:spacing w:line="360" w:lineRule="auto"/>
        <w:jc w:val="both"/>
        <w:rPr>
          <w:rFonts w:ascii="Times New Roman" w:hAnsi="Times New Roman" w:cs="Times New Roman"/>
        </w:rPr>
      </w:pPr>
    </w:p>
    <w:p w14:paraId="794FC5B9" w14:textId="77777777" w:rsidR="00CE1B7D" w:rsidRDefault="00FD46BE">
      <w:pPr>
        <w:spacing w:line="360" w:lineRule="auto"/>
        <w:jc w:val="both"/>
        <w:rPr>
          <w:rFonts w:ascii="Times New Roman" w:hAnsi="Times New Roman" w:cs="Times New Roman"/>
        </w:rPr>
      </w:pPr>
      <w:r>
        <w:rPr>
          <w:rFonts w:ascii="Times New Roman" w:hAnsi="Times New Roman" w:cs="Times New Roman"/>
        </w:rPr>
        <w:t>For use in the trial under case number HC 2587/18.</w:t>
      </w:r>
    </w:p>
    <w:p w14:paraId="04613BF4" w14:textId="53DC8966" w:rsidR="00CE1B7D" w:rsidRDefault="00FD46BE">
      <w:pPr>
        <w:spacing w:line="360" w:lineRule="auto"/>
        <w:jc w:val="both"/>
        <w:rPr>
          <w:rFonts w:ascii="Times New Roman" w:hAnsi="Times New Roman" w:cs="Times New Roman"/>
        </w:rPr>
      </w:pPr>
      <w:r>
        <w:rPr>
          <w:rFonts w:ascii="Times New Roman" w:hAnsi="Times New Roman" w:cs="Times New Roman"/>
        </w:rPr>
        <w:t xml:space="preserve">(B)  In the event that the </w:t>
      </w:r>
      <w:r w:rsidR="00FD282E">
        <w:rPr>
          <w:rFonts w:ascii="Times New Roman" w:hAnsi="Times New Roman" w:cs="Times New Roman"/>
        </w:rPr>
        <w:t xml:space="preserve">first </w:t>
      </w:r>
      <w:r>
        <w:rPr>
          <w:rFonts w:ascii="Times New Roman" w:hAnsi="Times New Roman" w:cs="Times New Roman"/>
        </w:rPr>
        <w:t xml:space="preserve">Respondent does not comply with paragraph (A), the </w:t>
      </w:r>
      <w:r w:rsidR="00C4487C">
        <w:rPr>
          <w:rFonts w:ascii="Times New Roman" w:hAnsi="Times New Roman" w:cs="Times New Roman"/>
        </w:rPr>
        <w:t xml:space="preserve">second </w:t>
      </w:r>
      <w:r>
        <w:rPr>
          <w:rFonts w:ascii="Times New Roman" w:hAnsi="Times New Roman" w:cs="Times New Roman"/>
        </w:rPr>
        <w:t xml:space="preserve">Respondent be and is hereby compelled to instruct the </w:t>
      </w:r>
      <w:r w:rsidR="00C4487C">
        <w:rPr>
          <w:rFonts w:ascii="Times New Roman" w:hAnsi="Times New Roman" w:cs="Times New Roman"/>
        </w:rPr>
        <w:t xml:space="preserve">first </w:t>
      </w:r>
      <w:r>
        <w:rPr>
          <w:rFonts w:ascii="Times New Roman" w:hAnsi="Times New Roman" w:cs="Times New Roman"/>
        </w:rPr>
        <w:t>Respondent to allow the Applicant access to inspect and make copies of all the documents contained within the files listed in paragraph (A) of this Order for use in the trial under case number HC2587/18.</w:t>
      </w:r>
    </w:p>
    <w:p w14:paraId="2145A8EE" w14:textId="43E6DC4C" w:rsidR="00CE1B7D" w:rsidRDefault="00FD46BE">
      <w:pPr>
        <w:spacing w:line="360" w:lineRule="auto"/>
        <w:jc w:val="both"/>
        <w:rPr>
          <w:rFonts w:ascii="Times New Roman" w:hAnsi="Times New Roman" w:cs="Times New Roman"/>
        </w:rPr>
      </w:pPr>
      <w:r>
        <w:rPr>
          <w:rFonts w:ascii="Times New Roman" w:hAnsi="Times New Roman" w:cs="Times New Roman"/>
        </w:rPr>
        <w:t xml:space="preserve">(C) In the event that the </w:t>
      </w:r>
      <w:r w:rsidR="00C4487C">
        <w:rPr>
          <w:rFonts w:ascii="Times New Roman" w:hAnsi="Times New Roman" w:cs="Times New Roman"/>
        </w:rPr>
        <w:t xml:space="preserve">first </w:t>
      </w:r>
      <w:r>
        <w:rPr>
          <w:rFonts w:ascii="Times New Roman" w:hAnsi="Times New Roman" w:cs="Times New Roman"/>
        </w:rPr>
        <w:t xml:space="preserve">and </w:t>
      </w:r>
      <w:r w:rsidR="00C4487C">
        <w:rPr>
          <w:rFonts w:ascii="Times New Roman" w:hAnsi="Times New Roman" w:cs="Times New Roman"/>
        </w:rPr>
        <w:t>second</w:t>
      </w:r>
      <w:r>
        <w:rPr>
          <w:rFonts w:ascii="Times New Roman" w:hAnsi="Times New Roman" w:cs="Times New Roman"/>
        </w:rPr>
        <w:t xml:space="preserve"> Respondents do not comply with paragraphs (A) and (B), the Sheriff of the High Court of Zimbabwe be and is hereby granted the authority of this honourable court to attend to the </w:t>
      </w:r>
      <w:r w:rsidR="00C4487C">
        <w:rPr>
          <w:rFonts w:ascii="Times New Roman" w:hAnsi="Times New Roman" w:cs="Times New Roman"/>
        </w:rPr>
        <w:t xml:space="preserve">first </w:t>
      </w:r>
      <w:r>
        <w:rPr>
          <w:rFonts w:ascii="Times New Roman" w:hAnsi="Times New Roman" w:cs="Times New Roman"/>
        </w:rPr>
        <w:t>Respondent’s office and to facilitate access to the Applicant to inspect and make copies of all the documents contained within the files listed in paragraph (A) of this Order for use in the trial under case number HC2587/18.</w:t>
      </w:r>
    </w:p>
    <w:p w14:paraId="39A88F9C" w14:textId="72AE5B2B" w:rsidR="00CE1B7D" w:rsidRDefault="00FD46BE">
      <w:pPr>
        <w:spacing w:line="360" w:lineRule="auto"/>
        <w:jc w:val="both"/>
        <w:rPr>
          <w:rFonts w:ascii="Times New Roman" w:hAnsi="Times New Roman" w:cs="Times New Roman"/>
        </w:rPr>
      </w:pPr>
      <w:r>
        <w:rPr>
          <w:rFonts w:ascii="Times New Roman" w:hAnsi="Times New Roman" w:cs="Times New Roman"/>
        </w:rPr>
        <w:t>(D) Each party to bear its own costs.</w:t>
      </w:r>
    </w:p>
    <w:p w14:paraId="030A2322" w14:textId="4F8E4A4C" w:rsidR="00E526D5" w:rsidRPr="002229CF" w:rsidRDefault="002229CF">
      <w:pPr>
        <w:spacing w:line="360" w:lineRule="auto"/>
        <w:jc w:val="both"/>
        <w:rPr>
          <w:rFonts w:ascii="Times New Roman" w:hAnsi="Times New Roman" w:cs="Times New Roman"/>
          <w:b/>
          <w:bCs/>
        </w:rPr>
      </w:pPr>
      <w:r w:rsidRPr="002229CF">
        <w:rPr>
          <w:rFonts w:ascii="Times New Roman" w:hAnsi="Times New Roman" w:cs="Times New Roman"/>
          <w:b/>
          <w:bCs/>
          <w:smallCaps/>
        </w:rPr>
        <w:t>Deme</w:t>
      </w:r>
      <w:r w:rsidRPr="002229CF">
        <w:rPr>
          <w:rFonts w:ascii="Times New Roman" w:hAnsi="Times New Roman" w:cs="Times New Roman"/>
          <w:b/>
          <w:bCs/>
        </w:rPr>
        <w:t xml:space="preserve"> J:………………</w:t>
      </w:r>
    </w:p>
    <w:p w14:paraId="129A3202" w14:textId="77777777" w:rsidR="00CE1B7D" w:rsidRDefault="00FD46BE" w:rsidP="00C4487C">
      <w:pPr>
        <w:spacing w:after="0" w:line="240" w:lineRule="auto"/>
        <w:jc w:val="both"/>
        <w:rPr>
          <w:rFonts w:ascii="Times New Roman" w:hAnsi="Times New Roman" w:cs="Times New Roman"/>
        </w:rPr>
      </w:pPr>
      <w:r w:rsidRPr="00C4487C">
        <w:rPr>
          <w:rFonts w:ascii="Times New Roman" w:hAnsi="Times New Roman" w:cs="Times New Roman"/>
          <w:i/>
          <w:iCs/>
        </w:rPr>
        <w:t>Coghlan, Welsh and Guest</w:t>
      </w:r>
      <w:r>
        <w:rPr>
          <w:rFonts w:ascii="Times New Roman" w:hAnsi="Times New Roman" w:cs="Times New Roman"/>
        </w:rPr>
        <w:t>, Applicant’s Legal Practitioners.</w:t>
      </w:r>
    </w:p>
    <w:p w14:paraId="407D4481" w14:textId="6931EE80" w:rsidR="00CE1B7D" w:rsidRDefault="00FD46BE" w:rsidP="00C4487C">
      <w:pPr>
        <w:spacing w:after="0" w:line="240" w:lineRule="auto"/>
        <w:jc w:val="both"/>
        <w:rPr>
          <w:rFonts w:ascii="Times New Roman" w:hAnsi="Times New Roman" w:cs="Times New Roman"/>
        </w:rPr>
      </w:pPr>
      <w:r w:rsidRPr="00C4487C">
        <w:rPr>
          <w:rFonts w:ascii="Times New Roman" w:hAnsi="Times New Roman" w:cs="Times New Roman"/>
          <w:i/>
          <w:iCs/>
        </w:rPr>
        <w:t>Lunga Mazikana Attorneys</w:t>
      </w:r>
      <w:r>
        <w:rPr>
          <w:rFonts w:ascii="Times New Roman" w:hAnsi="Times New Roman" w:cs="Times New Roman"/>
        </w:rPr>
        <w:t xml:space="preserve">, </w:t>
      </w:r>
      <w:r w:rsidR="00C4487C">
        <w:rPr>
          <w:rFonts w:ascii="Times New Roman" w:hAnsi="Times New Roman" w:cs="Times New Roman"/>
        </w:rPr>
        <w:t>fourth</w:t>
      </w:r>
      <w:r>
        <w:rPr>
          <w:rFonts w:ascii="Times New Roman" w:hAnsi="Times New Roman" w:cs="Times New Roman"/>
        </w:rPr>
        <w:t xml:space="preserve"> Respondent’s Legal Practitioners.</w:t>
      </w:r>
    </w:p>
    <w:sectPr w:rsidR="00CE1B7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713C1" w14:textId="77777777" w:rsidR="00BB7672" w:rsidRDefault="00BB7672">
      <w:pPr>
        <w:spacing w:line="240" w:lineRule="auto"/>
      </w:pPr>
      <w:r>
        <w:separator/>
      </w:r>
    </w:p>
  </w:endnote>
  <w:endnote w:type="continuationSeparator" w:id="0">
    <w:p w14:paraId="179097D9" w14:textId="77777777" w:rsidR="00BB7672" w:rsidRDefault="00BB76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B1086" w14:textId="77777777" w:rsidR="00BB7672" w:rsidRDefault="00BB7672">
      <w:pPr>
        <w:spacing w:after="0"/>
      </w:pPr>
      <w:r>
        <w:separator/>
      </w:r>
    </w:p>
  </w:footnote>
  <w:footnote w:type="continuationSeparator" w:id="0">
    <w:p w14:paraId="3D9B7407" w14:textId="77777777" w:rsidR="00BB7672" w:rsidRDefault="00BB7672">
      <w:pPr>
        <w:spacing w:after="0"/>
      </w:pPr>
      <w:r>
        <w:continuationSeparator/>
      </w:r>
    </w:p>
  </w:footnote>
  <w:footnote w:id="1">
    <w:p w14:paraId="47162A14" w14:textId="77777777" w:rsidR="00CE1B7D" w:rsidRDefault="00FD46BE">
      <w:pPr>
        <w:pStyle w:val="FootnoteText"/>
        <w:rPr>
          <w:lang w:val="en-US"/>
        </w:rPr>
      </w:pPr>
      <w:r>
        <w:rPr>
          <w:rStyle w:val="FootnoteReference"/>
        </w:rPr>
        <w:footnoteRef/>
      </w:r>
      <w:r>
        <w:t xml:space="preserve"> </w:t>
      </w:r>
      <w:r>
        <w:rPr>
          <w:lang w:val="en-US"/>
        </w:rPr>
        <w:t>SC01/24.</w:t>
      </w:r>
    </w:p>
  </w:footnote>
  <w:footnote w:id="2">
    <w:p w14:paraId="38592D8A" w14:textId="77777777" w:rsidR="00CE1B7D" w:rsidRDefault="00FD46BE">
      <w:pPr>
        <w:pStyle w:val="FootnoteText"/>
        <w:rPr>
          <w:lang w:val="en-GB"/>
        </w:rPr>
      </w:pPr>
      <w:r>
        <w:rPr>
          <w:rStyle w:val="FootnoteReference"/>
        </w:rPr>
        <w:footnoteRef/>
      </w:r>
      <w:r>
        <w:t xml:space="preserve"> 1996 (2) ZLR 52 (S).</w:t>
      </w:r>
    </w:p>
  </w:footnote>
  <w:footnote w:id="3">
    <w:p w14:paraId="5034CCAA" w14:textId="77777777" w:rsidR="00CE1B7D" w:rsidRDefault="00FD46BE">
      <w:pPr>
        <w:pStyle w:val="FootnoteText"/>
        <w:rPr>
          <w:lang w:val="en-GB"/>
        </w:rPr>
      </w:pPr>
      <w:r>
        <w:rPr>
          <w:rStyle w:val="FootnoteReference"/>
        </w:rPr>
        <w:footnoteRef/>
      </w:r>
      <w:r>
        <w:t xml:space="preserve"> </w:t>
      </w:r>
      <w:r>
        <w:rPr>
          <w:rFonts w:ascii="Times New Roman" w:hAnsi="Times New Roman"/>
          <w:sz w:val="24"/>
          <w:szCs w:val="24"/>
        </w:rPr>
        <w:t xml:space="preserve">1980 (1) SA 662 (T).   </w:t>
      </w:r>
    </w:p>
  </w:footnote>
  <w:footnote w:id="4">
    <w:p w14:paraId="149C852E" w14:textId="77777777" w:rsidR="00CE1B7D" w:rsidRDefault="00FD46BE">
      <w:pPr>
        <w:pStyle w:val="FootnoteText"/>
        <w:rPr>
          <w:lang w:val="en-GB"/>
        </w:rPr>
      </w:pPr>
      <w:r>
        <w:rPr>
          <w:rStyle w:val="FootnoteReference"/>
        </w:rPr>
        <w:footnoteRef/>
      </w:r>
      <w:r>
        <w:t xml:space="preserve"> 1984 (4) SA 295 (SWA).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064231"/>
      <w:docPartObj>
        <w:docPartGallery w:val="Page Numbers (Top of Page)"/>
        <w:docPartUnique/>
      </w:docPartObj>
    </w:sdtPr>
    <w:sdtEndPr>
      <w:rPr>
        <w:noProof/>
      </w:rPr>
    </w:sdtEndPr>
    <w:sdtContent>
      <w:p w14:paraId="02E75F01" w14:textId="58829E4E" w:rsidR="008F2EEA" w:rsidRDefault="008F2EEA">
        <w:pPr>
          <w:pStyle w:val="Header"/>
          <w:jc w:val="right"/>
          <w:rPr>
            <w:noProof/>
          </w:rPr>
        </w:pPr>
        <w:r>
          <w:fldChar w:fldCharType="begin"/>
        </w:r>
        <w:r>
          <w:instrText xml:space="preserve"> PAGE   \* MERGEFORMAT </w:instrText>
        </w:r>
        <w:r>
          <w:fldChar w:fldCharType="separate"/>
        </w:r>
        <w:r w:rsidR="001C5EC0">
          <w:rPr>
            <w:noProof/>
          </w:rPr>
          <w:t>1</w:t>
        </w:r>
        <w:r>
          <w:rPr>
            <w:noProof/>
          </w:rPr>
          <w:fldChar w:fldCharType="end"/>
        </w:r>
      </w:p>
      <w:p w14:paraId="2397B085" w14:textId="331A5A8B" w:rsidR="008F2EEA" w:rsidRDefault="008F2EEA">
        <w:pPr>
          <w:pStyle w:val="Header"/>
          <w:jc w:val="right"/>
          <w:rPr>
            <w:noProof/>
          </w:rPr>
        </w:pPr>
        <w:r>
          <w:rPr>
            <w:noProof/>
          </w:rPr>
          <w:t>HH</w:t>
        </w:r>
        <w:r w:rsidR="00587A32">
          <w:rPr>
            <w:noProof/>
          </w:rPr>
          <w:t xml:space="preserve"> 161-25</w:t>
        </w:r>
      </w:p>
      <w:p w14:paraId="267E49EF" w14:textId="77AC25F2" w:rsidR="008F2EEA" w:rsidRDefault="008F2EEA">
        <w:pPr>
          <w:pStyle w:val="Header"/>
          <w:jc w:val="right"/>
        </w:pPr>
        <w:r>
          <w:rPr>
            <w:noProof/>
          </w:rPr>
          <w:t>HCH 6315/23</w:t>
        </w:r>
      </w:p>
    </w:sdtContent>
  </w:sdt>
  <w:p w14:paraId="59B69F47" w14:textId="77777777" w:rsidR="008F2EEA" w:rsidRDefault="008F2E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B12DA"/>
    <w:multiLevelType w:val="multilevel"/>
    <w:tmpl w:val="09FB12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B04CDF"/>
    <w:multiLevelType w:val="multilevel"/>
    <w:tmpl w:val="35B04CD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0D7B10"/>
    <w:multiLevelType w:val="multilevel"/>
    <w:tmpl w:val="730D7B10"/>
    <w:lvl w:ilvl="0">
      <w:start w:val="1"/>
      <w:numFmt w:val="lowerLetter"/>
      <w:lvlText w:val="(%1)"/>
      <w:lvlJc w:val="left"/>
      <w:pPr>
        <w:ind w:left="729" w:hanging="360"/>
      </w:pPr>
      <w:rPr>
        <w:rFonts w:hint="default"/>
      </w:rPr>
    </w:lvl>
    <w:lvl w:ilvl="1">
      <w:start w:val="1"/>
      <w:numFmt w:val="lowerLetter"/>
      <w:lvlText w:val="%2."/>
      <w:lvlJc w:val="left"/>
      <w:pPr>
        <w:ind w:left="1449" w:hanging="360"/>
      </w:pPr>
    </w:lvl>
    <w:lvl w:ilvl="2">
      <w:start w:val="1"/>
      <w:numFmt w:val="lowerRoman"/>
      <w:lvlText w:val="%3."/>
      <w:lvlJc w:val="right"/>
      <w:pPr>
        <w:ind w:left="2169" w:hanging="180"/>
      </w:pPr>
    </w:lvl>
    <w:lvl w:ilvl="3">
      <w:start w:val="1"/>
      <w:numFmt w:val="decimal"/>
      <w:lvlText w:val="%4."/>
      <w:lvlJc w:val="left"/>
      <w:pPr>
        <w:ind w:left="2889" w:hanging="360"/>
      </w:pPr>
    </w:lvl>
    <w:lvl w:ilvl="4">
      <w:start w:val="1"/>
      <w:numFmt w:val="lowerLetter"/>
      <w:lvlText w:val="%5."/>
      <w:lvlJc w:val="left"/>
      <w:pPr>
        <w:ind w:left="3609" w:hanging="360"/>
      </w:pPr>
    </w:lvl>
    <w:lvl w:ilvl="5">
      <w:start w:val="1"/>
      <w:numFmt w:val="lowerRoman"/>
      <w:lvlText w:val="%6."/>
      <w:lvlJc w:val="right"/>
      <w:pPr>
        <w:ind w:left="4329" w:hanging="180"/>
      </w:pPr>
    </w:lvl>
    <w:lvl w:ilvl="6">
      <w:start w:val="1"/>
      <w:numFmt w:val="decimal"/>
      <w:lvlText w:val="%7."/>
      <w:lvlJc w:val="left"/>
      <w:pPr>
        <w:ind w:left="5049" w:hanging="360"/>
      </w:pPr>
    </w:lvl>
    <w:lvl w:ilvl="7">
      <w:start w:val="1"/>
      <w:numFmt w:val="lowerLetter"/>
      <w:lvlText w:val="%8."/>
      <w:lvlJc w:val="left"/>
      <w:pPr>
        <w:ind w:left="5769" w:hanging="360"/>
      </w:pPr>
    </w:lvl>
    <w:lvl w:ilvl="8">
      <w:start w:val="1"/>
      <w:numFmt w:val="lowerRoman"/>
      <w:lvlText w:val="%9."/>
      <w:lvlJc w:val="right"/>
      <w:pPr>
        <w:ind w:left="64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08"/>
    <w:rsid w:val="00005211"/>
    <w:rsid w:val="000530F0"/>
    <w:rsid w:val="00060717"/>
    <w:rsid w:val="000711CC"/>
    <w:rsid w:val="0009288A"/>
    <w:rsid w:val="000A2096"/>
    <w:rsid w:val="000A6ACC"/>
    <w:rsid w:val="000A7C2B"/>
    <w:rsid w:val="000B1483"/>
    <w:rsid w:val="000B2994"/>
    <w:rsid w:val="000D63D3"/>
    <w:rsid w:val="000E2835"/>
    <w:rsid w:val="000E4743"/>
    <w:rsid w:val="000F3349"/>
    <w:rsid w:val="000F75F2"/>
    <w:rsid w:val="001030B6"/>
    <w:rsid w:val="0010528E"/>
    <w:rsid w:val="001162D6"/>
    <w:rsid w:val="001174ED"/>
    <w:rsid w:val="00175219"/>
    <w:rsid w:val="00180F50"/>
    <w:rsid w:val="001967E7"/>
    <w:rsid w:val="001A6AB0"/>
    <w:rsid w:val="001C314F"/>
    <w:rsid w:val="001C5EC0"/>
    <w:rsid w:val="001C7C8C"/>
    <w:rsid w:val="001C7C91"/>
    <w:rsid w:val="001E0163"/>
    <w:rsid w:val="001F787C"/>
    <w:rsid w:val="002111BA"/>
    <w:rsid w:val="002229CF"/>
    <w:rsid w:val="00223A98"/>
    <w:rsid w:val="00251B3D"/>
    <w:rsid w:val="00266AA7"/>
    <w:rsid w:val="002723A7"/>
    <w:rsid w:val="002723E3"/>
    <w:rsid w:val="002856EA"/>
    <w:rsid w:val="00291939"/>
    <w:rsid w:val="002A2BDA"/>
    <w:rsid w:val="002B4CD1"/>
    <w:rsid w:val="002C288C"/>
    <w:rsid w:val="002C65FE"/>
    <w:rsid w:val="002E5C3C"/>
    <w:rsid w:val="00302800"/>
    <w:rsid w:val="00313ABA"/>
    <w:rsid w:val="003169C1"/>
    <w:rsid w:val="00326D48"/>
    <w:rsid w:val="00335968"/>
    <w:rsid w:val="00347B47"/>
    <w:rsid w:val="0035545A"/>
    <w:rsid w:val="0036102A"/>
    <w:rsid w:val="00362F28"/>
    <w:rsid w:val="003B2AF3"/>
    <w:rsid w:val="003C739C"/>
    <w:rsid w:val="00402B92"/>
    <w:rsid w:val="00410F1B"/>
    <w:rsid w:val="00424716"/>
    <w:rsid w:val="00424BDE"/>
    <w:rsid w:val="004441BB"/>
    <w:rsid w:val="004565E1"/>
    <w:rsid w:val="004808E8"/>
    <w:rsid w:val="00481E98"/>
    <w:rsid w:val="004914F6"/>
    <w:rsid w:val="004B51B6"/>
    <w:rsid w:val="004D0B22"/>
    <w:rsid w:val="004D661C"/>
    <w:rsid w:val="004F1DF7"/>
    <w:rsid w:val="005030A3"/>
    <w:rsid w:val="005254FA"/>
    <w:rsid w:val="00535C79"/>
    <w:rsid w:val="00536D33"/>
    <w:rsid w:val="00543845"/>
    <w:rsid w:val="00552C7D"/>
    <w:rsid w:val="00566180"/>
    <w:rsid w:val="005706DD"/>
    <w:rsid w:val="00575A3D"/>
    <w:rsid w:val="00580917"/>
    <w:rsid w:val="0058116E"/>
    <w:rsid w:val="005828B9"/>
    <w:rsid w:val="00587A32"/>
    <w:rsid w:val="00590A68"/>
    <w:rsid w:val="00590CBC"/>
    <w:rsid w:val="00592AEA"/>
    <w:rsid w:val="005964B3"/>
    <w:rsid w:val="005B1392"/>
    <w:rsid w:val="005B2BAE"/>
    <w:rsid w:val="005B688A"/>
    <w:rsid w:val="005C7EDB"/>
    <w:rsid w:val="005D22F6"/>
    <w:rsid w:val="005E3209"/>
    <w:rsid w:val="005F4C5B"/>
    <w:rsid w:val="005F6E54"/>
    <w:rsid w:val="006150AC"/>
    <w:rsid w:val="0062348C"/>
    <w:rsid w:val="00623C17"/>
    <w:rsid w:val="00636F1F"/>
    <w:rsid w:val="006650AA"/>
    <w:rsid w:val="00667EE0"/>
    <w:rsid w:val="00671708"/>
    <w:rsid w:val="00671C90"/>
    <w:rsid w:val="006756CA"/>
    <w:rsid w:val="00687DC1"/>
    <w:rsid w:val="00694356"/>
    <w:rsid w:val="006A10CA"/>
    <w:rsid w:val="006A5FA7"/>
    <w:rsid w:val="006B126D"/>
    <w:rsid w:val="006C1E58"/>
    <w:rsid w:val="006D29A5"/>
    <w:rsid w:val="006E4C6D"/>
    <w:rsid w:val="006E7291"/>
    <w:rsid w:val="006F616A"/>
    <w:rsid w:val="006F7059"/>
    <w:rsid w:val="0070286C"/>
    <w:rsid w:val="00725025"/>
    <w:rsid w:val="00793657"/>
    <w:rsid w:val="00794C16"/>
    <w:rsid w:val="007A48D6"/>
    <w:rsid w:val="007A4B76"/>
    <w:rsid w:val="007B6576"/>
    <w:rsid w:val="007E0E06"/>
    <w:rsid w:val="007E5C1F"/>
    <w:rsid w:val="007E7251"/>
    <w:rsid w:val="007F3F69"/>
    <w:rsid w:val="0080030D"/>
    <w:rsid w:val="00805FE9"/>
    <w:rsid w:val="00831D98"/>
    <w:rsid w:val="00836E18"/>
    <w:rsid w:val="00844B20"/>
    <w:rsid w:val="00855548"/>
    <w:rsid w:val="0086013F"/>
    <w:rsid w:val="008608A1"/>
    <w:rsid w:val="008632A1"/>
    <w:rsid w:val="00864339"/>
    <w:rsid w:val="008711AA"/>
    <w:rsid w:val="0087294B"/>
    <w:rsid w:val="00874B0D"/>
    <w:rsid w:val="0087704A"/>
    <w:rsid w:val="00894C02"/>
    <w:rsid w:val="008A199E"/>
    <w:rsid w:val="008A47D5"/>
    <w:rsid w:val="008C0B4C"/>
    <w:rsid w:val="008C23E4"/>
    <w:rsid w:val="008C5316"/>
    <w:rsid w:val="008E4942"/>
    <w:rsid w:val="008E7869"/>
    <w:rsid w:val="008F0713"/>
    <w:rsid w:val="008F2EEA"/>
    <w:rsid w:val="008F65AF"/>
    <w:rsid w:val="00911607"/>
    <w:rsid w:val="00920FA2"/>
    <w:rsid w:val="00923869"/>
    <w:rsid w:val="0092736B"/>
    <w:rsid w:val="00931E19"/>
    <w:rsid w:val="00933CF4"/>
    <w:rsid w:val="00944AC9"/>
    <w:rsid w:val="00950593"/>
    <w:rsid w:val="0095442D"/>
    <w:rsid w:val="00967E0D"/>
    <w:rsid w:val="00975EAA"/>
    <w:rsid w:val="00996950"/>
    <w:rsid w:val="009B3723"/>
    <w:rsid w:val="009C7B7F"/>
    <w:rsid w:val="009D1ECB"/>
    <w:rsid w:val="009D2DBE"/>
    <w:rsid w:val="009D5538"/>
    <w:rsid w:val="009D62F0"/>
    <w:rsid w:val="00A1505B"/>
    <w:rsid w:val="00A428B6"/>
    <w:rsid w:val="00A44997"/>
    <w:rsid w:val="00A81392"/>
    <w:rsid w:val="00A83EDC"/>
    <w:rsid w:val="00A93FC7"/>
    <w:rsid w:val="00AA19D7"/>
    <w:rsid w:val="00AC3628"/>
    <w:rsid w:val="00AE2994"/>
    <w:rsid w:val="00AF1281"/>
    <w:rsid w:val="00B01A88"/>
    <w:rsid w:val="00B10A35"/>
    <w:rsid w:val="00B11B10"/>
    <w:rsid w:val="00B152B2"/>
    <w:rsid w:val="00B17475"/>
    <w:rsid w:val="00B24BA3"/>
    <w:rsid w:val="00B26A48"/>
    <w:rsid w:val="00B44C48"/>
    <w:rsid w:val="00B50557"/>
    <w:rsid w:val="00B52E37"/>
    <w:rsid w:val="00B560BB"/>
    <w:rsid w:val="00B77B49"/>
    <w:rsid w:val="00B80DD4"/>
    <w:rsid w:val="00B919DD"/>
    <w:rsid w:val="00B920AE"/>
    <w:rsid w:val="00BA231A"/>
    <w:rsid w:val="00BB7672"/>
    <w:rsid w:val="00BC1165"/>
    <w:rsid w:val="00BC71CB"/>
    <w:rsid w:val="00BD079C"/>
    <w:rsid w:val="00BD57D2"/>
    <w:rsid w:val="00BD5956"/>
    <w:rsid w:val="00BD5BC8"/>
    <w:rsid w:val="00BE00FD"/>
    <w:rsid w:val="00BF4FEE"/>
    <w:rsid w:val="00C258CD"/>
    <w:rsid w:val="00C25984"/>
    <w:rsid w:val="00C30797"/>
    <w:rsid w:val="00C4487C"/>
    <w:rsid w:val="00C567A9"/>
    <w:rsid w:val="00C607F9"/>
    <w:rsid w:val="00C66ABA"/>
    <w:rsid w:val="00C834C1"/>
    <w:rsid w:val="00CC232E"/>
    <w:rsid w:val="00CC6D67"/>
    <w:rsid w:val="00CE1B7D"/>
    <w:rsid w:val="00CF61E3"/>
    <w:rsid w:val="00CF7EB5"/>
    <w:rsid w:val="00D24B7F"/>
    <w:rsid w:val="00D41204"/>
    <w:rsid w:val="00D51184"/>
    <w:rsid w:val="00D6241C"/>
    <w:rsid w:val="00D64E0D"/>
    <w:rsid w:val="00D7458E"/>
    <w:rsid w:val="00D9189A"/>
    <w:rsid w:val="00DB62C4"/>
    <w:rsid w:val="00DD4A07"/>
    <w:rsid w:val="00DE7981"/>
    <w:rsid w:val="00DF5CFC"/>
    <w:rsid w:val="00DF6DF6"/>
    <w:rsid w:val="00E11BB7"/>
    <w:rsid w:val="00E33280"/>
    <w:rsid w:val="00E4455E"/>
    <w:rsid w:val="00E526D5"/>
    <w:rsid w:val="00E61124"/>
    <w:rsid w:val="00E673FF"/>
    <w:rsid w:val="00E746D1"/>
    <w:rsid w:val="00E87654"/>
    <w:rsid w:val="00E92FAD"/>
    <w:rsid w:val="00EA12B5"/>
    <w:rsid w:val="00EC307F"/>
    <w:rsid w:val="00F219B8"/>
    <w:rsid w:val="00F242CD"/>
    <w:rsid w:val="00F30C90"/>
    <w:rsid w:val="00F53ADC"/>
    <w:rsid w:val="00F61414"/>
    <w:rsid w:val="00F876A6"/>
    <w:rsid w:val="00FA66E2"/>
    <w:rsid w:val="00FA6844"/>
    <w:rsid w:val="00FB3D64"/>
    <w:rsid w:val="00FC1ACF"/>
    <w:rsid w:val="00FC2524"/>
    <w:rsid w:val="00FD282E"/>
    <w:rsid w:val="00FD46BE"/>
    <w:rsid w:val="00FD5AA8"/>
    <w:rsid w:val="00FE2647"/>
    <w:rsid w:val="00FE7E16"/>
    <w:rsid w:val="00FF6DA1"/>
    <w:rsid w:val="64E076AE"/>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02BFC"/>
  <w15:docId w15:val="{207D6589-18BC-445B-A7D9-18106F8B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lang w:val="en-ZW"/>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59" w:lineRule="auto"/>
    </w:pPr>
    <w:rPr>
      <w:rFonts w:ascii="Calibri" w:eastAsia="Calibri" w:hAnsi="Calibri" w:cs="Times New Roman"/>
      <w:kern w:val="0"/>
      <w:sz w:val="20"/>
      <w:szCs w:val="2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lrsection">
    <w:name w:val="lr section"/>
    <w:basedOn w:val="Normal"/>
    <w:qFormat/>
    <w:pPr>
      <w:tabs>
        <w:tab w:val="left" w:pos="369"/>
      </w:tabs>
      <w:spacing w:after="80" w:line="300" w:lineRule="exact"/>
      <w:ind w:firstLine="369"/>
      <w:jc w:val="both"/>
    </w:pPr>
    <w:rPr>
      <w:rFonts w:ascii="Times New Roman" w:eastAsia="Times New Roman" w:hAnsi="Times New Roman" w:cs="Times New Roman"/>
      <w:kern w:val="0"/>
      <w:sz w:val="22"/>
      <w:szCs w:val="20"/>
      <w:lang w:val="en-GB"/>
      <w14:ligatures w14:val="none"/>
    </w:rPr>
  </w:style>
  <w:style w:type="character" w:customStyle="1" w:styleId="FootnoteTextChar">
    <w:name w:val="Footnote Text Char"/>
    <w:basedOn w:val="DefaultParagraphFont"/>
    <w:link w:val="FootnoteText"/>
    <w:uiPriority w:val="99"/>
    <w:semiHidden/>
    <w:qFormat/>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8F2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EEA"/>
    <w:rPr>
      <w:kern w:val="2"/>
      <w:sz w:val="24"/>
      <w:szCs w:val="24"/>
      <w:lang w:val="en-ZW"/>
      <w14:ligatures w14:val="standardContextual"/>
    </w:rPr>
  </w:style>
  <w:style w:type="paragraph" w:styleId="Footer">
    <w:name w:val="footer"/>
    <w:basedOn w:val="Normal"/>
    <w:link w:val="FooterChar"/>
    <w:uiPriority w:val="99"/>
    <w:unhideWhenUsed/>
    <w:rsid w:val="008F2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EEA"/>
    <w:rPr>
      <w:kern w:val="2"/>
      <w:sz w:val="24"/>
      <w:szCs w:val="24"/>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6B09-9803-41A8-933B-8F25DD948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2025-03-14T11:26:00Z</dcterms:created>
  <dcterms:modified xsi:type="dcterms:W3CDTF">2025-03-14T11:26:00Z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a95f7569-9c0e-4560-a18d-006f57891091</vt:lpwstr>
  </property>
  <property fmtid="{D5CDD505-2E9C-101B-9397-08002B2CF9AE}" pid="3" name="KSOProductBuildVer">
    <vt:lpwstr>1033-12.2.0.20326</vt:lpwstr>
  </property>
  <property fmtid="{D5CDD505-2E9C-101B-9397-08002B2CF9AE}" pid="4" name="ICV">
    <vt:lpwstr>B2662B4AC4CC4A048744D03EB15EF31E_12</vt:lpwstr>
  </property>
</Properties>
</file>