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7564B0" w14:textId="326DC849" w:rsidR="002912A6" w:rsidRDefault="005C1FE9" w:rsidP="00804E6A">
      <w:pPr>
        <w:jc w:val="both"/>
      </w:pPr>
      <w:bookmarkStart w:id="0" w:name="_GoBack"/>
      <w:bookmarkEnd w:id="0"/>
      <w:r>
        <w:t>RIOZIM LIMITED</w:t>
      </w:r>
    </w:p>
    <w:p w14:paraId="07A4A289" w14:textId="1A04CEA9" w:rsidR="002912A6" w:rsidRDefault="00DC45EF" w:rsidP="009A35C7">
      <w:pPr>
        <w:jc w:val="both"/>
      </w:pPr>
      <w:r>
        <w:t>v</w:t>
      </w:r>
      <w:r w:rsidR="00CD12E4">
        <w:t>ersus</w:t>
      </w:r>
    </w:p>
    <w:p w14:paraId="51FC1924" w14:textId="77777777" w:rsidR="00DC67DE" w:rsidRPr="00DC67DE" w:rsidRDefault="00DC67DE" w:rsidP="009A35C7">
      <w:pPr>
        <w:jc w:val="both"/>
        <w:rPr>
          <w:sz w:val="6"/>
          <w:szCs w:val="6"/>
        </w:rPr>
      </w:pPr>
    </w:p>
    <w:p w14:paraId="4F5D5CD5" w14:textId="1D15CCF5" w:rsidR="002912A6" w:rsidRDefault="005C1FE9" w:rsidP="009A35C7">
      <w:pPr>
        <w:jc w:val="both"/>
      </w:pPr>
      <w:r>
        <w:t>BRECKRIDGE INVESTMENTS (PRIVATE) LIMITED</w:t>
      </w:r>
    </w:p>
    <w:p w14:paraId="4BBF40A7" w14:textId="5B80C154" w:rsidR="00056938" w:rsidRDefault="00DC45EF" w:rsidP="009A35C7">
      <w:pPr>
        <w:jc w:val="both"/>
      </w:pPr>
      <w:r>
        <w:t>a</w:t>
      </w:r>
      <w:r w:rsidR="00056938">
        <w:t>nd</w:t>
      </w:r>
    </w:p>
    <w:p w14:paraId="03202861" w14:textId="1D90EC0F" w:rsidR="00056938" w:rsidRDefault="005C1FE9" w:rsidP="009A35C7">
      <w:pPr>
        <w:jc w:val="both"/>
      </w:pPr>
      <w:r>
        <w:t>NORTH RAND (PRIVATE) LIMITED</w:t>
      </w:r>
    </w:p>
    <w:p w14:paraId="03B9BF53" w14:textId="2025933A" w:rsidR="00056938" w:rsidRDefault="00DC45EF" w:rsidP="009A35C7">
      <w:pPr>
        <w:jc w:val="both"/>
      </w:pPr>
      <w:r>
        <w:t>a</w:t>
      </w:r>
      <w:r w:rsidR="00056938">
        <w:t>nd</w:t>
      </w:r>
    </w:p>
    <w:p w14:paraId="07ED7B78" w14:textId="73088F2F" w:rsidR="00056938" w:rsidRDefault="005C1FE9" w:rsidP="009A35C7">
      <w:pPr>
        <w:jc w:val="both"/>
      </w:pPr>
      <w:r>
        <w:t>THE MINISTER OF MINES AND MINING DEVEOPMENT</w:t>
      </w:r>
    </w:p>
    <w:p w14:paraId="3CA66A6C" w14:textId="77777777" w:rsidR="00804E6A" w:rsidRPr="00804E6A" w:rsidRDefault="00804E6A" w:rsidP="009A35C7">
      <w:pPr>
        <w:jc w:val="both"/>
        <w:rPr>
          <w:sz w:val="8"/>
          <w:szCs w:val="8"/>
        </w:rPr>
      </w:pPr>
    </w:p>
    <w:p w14:paraId="574D98E3" w14:textId="77777777" w:rsidR="00405423" w:rsidRDefault="00405423" w:rsidP="00405423">
      <w:pPr>
        <w:jc w:val="both"/>
      </w:pPr>
    </w:p>
    <w:p w14:paraId="56EF25BD" w14:textId="5C8DDFDA" w:rsidR="009C18C8" w:rsidRDefault="009C18C8" w:rsidP="009A35C7">
      <w:pPr>
        <w:jc w:val="both"/>
      </w:pPr>
    </w:p>
    <w:p w14:paraId="49D1887C" w14:textId="77777777" w:rsidR="00DC45EF" w:rsidRPr="008A0AA3" w:rsidRDefault="00DC45EF" w:rsidP="009A35C7">
      <w:pPr>
        <w:jc w:val="both"/>
        <w:rPr>
          <w:sz w:val="2"/>
          <w:szCs w:val="2"/>
        </w:rPr>
      </w:pPr>
    </w:p>
    <w:p w14:paraId="2F87A55E" w14:textId="77777777" w:rsidR="005A4D7A" w:rsidRDefault="005A4D7A" w:rsidP="009A35C7">
      <w:pPr>
        <w:jc w:val="both"/>
      </w:pPr>
      <w:r>
        <w:t>HIGH COURT OF ZIMBABWE</w:t>
      </w:r>
    </w:p>
    <w:p w14:paraId="01DFDB99" w14:textId="1A60E757" w:rsidR="005A4D7A" w:rsidRPr="00166C56" w:rsidRDefault="00A831D8" w:rsidP="009A35C7">
      <w:pPr>
        <w:jc w:val="both"/>
        <w:rPr>
          <w:b/>
        </w:rPr>
      </w:pPr>
      <w:r w:rsidRPr="00166C56">
        <w:rPr>
          <w:b/>
        </w:rPr>
        <w:t>CHINAMORA</w:t>
      </w:r>
      <w:r w:rsidR="005A4D7A" w:rsidRPr="00166C56">
        <w:rPr>
          <w:b/>
        </w:rPr>
        <w:t xml:space="preserve"> J</w:t>
      </w:r>
    </w:p>
    <w:p w14:paraId="1297C29C" w14:textId="3EC0BE4D" w:rsidR="00A70D91" w:rsidRDefault="00C94792" w:rsidP="009A35C7">
      <w:pPr>
        <w:jc w:val="both"/>
      </w:pPr>
      <w:r>
        <w:t>HARARE, 15</w:t>
      </w:r>
      <w:r w:rsidR="00A70D91">
        <w:t xml:space="preserve"> November 2024</w:t>
      </w:r>
    </w:p>
    <w:p w14:paraId="03F824E6" w14:textId="77777777" w:rsidR="005A4D7A" w:rsidRPr="004E3AB8" w:rsidRDefault="005A4D7A" w:rsidP="009A35C7">
      <w:pPr>
        <w:spacing w:line="360" w:lineRule="auto"/>
        <w:jc w:val="both"/>
        <w:rPr>
          <w:sz w:val="12"/>
          <w:szCs w:val="12"/>
        </w:rPr>
      </w:pPr>
    </w:p>
    <w:p w14:paraId="359B0BD5" w14:textId="77777777" w:rsidR="004C1893" w:rsidRDefault="004C1893" w:rsidP="009A35C7">
      <w:pPr>
        <w:spacing w:line="360" w:lineRule="auto"/>
        <w:jc w:val="both"/>
        <w:rPr>
          <w:b/>
        </w:rPr>
      </w:pPr>
    </w:p>
    <w:p w14:paraId="61AC3464" w14:textId="72DD79EA" w:rsidR="005A4D7A" w:rsidRPr="00166C56" w:rsidRDefault="00900FA8" w:rsidP="009A35C7">
      <w:pPr>
        <w:spacing w:line="360" w:lineRule="auto"/>
        <w:jc w:val="both"/>
        <w:rPr>
          <w:b/>
          <w:i/>
        </w:rPr>
      </w:pPr>
      <w:r w:rsidRPr="00166C56">
        <w:rPr>
          <w:b/>
          <w:i/>
        </w:rPr>
        <w:t>Opposed application</w:t>
      </w:r>
    </w:p>
    <w:p w14:paraId="2662D0F0" w14:textId="7C9B8BD9" w:rsidR="005A4D7A" w:rsidRDefault="005A4D7A" w:rsidP="009A35C7">
      <w:pPr>
        <w:spacing w:line="360" w:lineRule="auto"/>
        <w:jc w:val="both"/>
      </w:pPr>
    </w:p>
    <w:p w14:paraId="7650F4AC" w14:textId="77777777" w:rsidR="00445A14" w:rsidRPr="006B5F55" w:rsidRDefault="00445A14" w:rsidP="009A35C7">
      <w:pPr>
        <w:spacing w:line="360" w:lineRule="auto"/>
        <w:jc w:val="both"/>
        <w:rPr>
          <w:sz w:val="8"/>
          <w:szCs w:val="8"/>
        </w:rPr>
      </w:pPr>
    </w:p>
    <w:p w14:paraId="37F651F7" w14:textId="22C5CC5B" w:rsidR="00C835A5" w:rsidRDefault="004316E9" w:rsidP="00C835A5">
      <w:pPr>
        <w:jc w:val="both"/>
      </w:pPr>
      <w:r>
        <w:rPr>
          <w:i/>
        </w:rPr>
        <w:t xml:space="preserve">Adv G Madzoka, </w:t>
      </w:r>
      <w:r w:rsidR="00FD00F3">
        <w:t xml:space="preserve">for the </w:t>
      </w:r>
      <w:r w:rsidR="00CE42F4">
        <w:t>applicant</w:t>
      </w:r>
      <w:r w:rsidR="00CD12E4">
        <w:t>s</w:t>
      </w:r>
    </w:p>
    <w:p w14:paraId="7FB35535" w14:textId="4743E1C1" w:rsidR="004D0E53" w:rsidRDefault="00AD7CE3" w:rsidP="00C835A5">
      <w:pPr>
        <w:jc w:val="both"/>
      </w:pPr>
      <w:r w:rsidRPr="004E3AB8">
        <w:rPr>
          <w:i/>
        </w:rPr>
        <w:t>Adv T Zhuwarara,</w:t>
      </w:r>
      <w:r>
        <w:t xml:space="preserve"> </w:t>
      </w:r>
      <w:r w:rsidR="00CD12E4">
        <w:t xml:space="preserve">for the </w:t>
      </w:r>
      <w:r w:rsidR="00C835A5">
        <w:t>respondent</w:t>
      </w:r>
    </w:p>
    <w:p w14:paraId="12387A7D" w14:textId="0494DE96" w:rsidR="007B4C9B" w:rsidRDefault="007B4C9B" w:rsidP="00C835A5">
      <w:pPr>
        <w:jc w:val="both"/>
      </w:pPr>
      <w:r>
        <w:t>No appearance for the 2</w:t>
      </w:r>
      <w:r w:rsidRPr="007B4C9B">
        <w:rPr>
          <w:vertAlign w:val="superscript"/>
        </w:rPr>
        <w:t>nd</w:t>
      </w:r>
      <w:r>
        <w:t xml:space="preserve"> and 3</w:t>
      </w:r>
      <w:r w:rsidRPr="007B4C9B">
        <w:rPr>
          <w:vertAlign w:val="superscript"/>
        </w:rPr>
        <w:t>rd</w:t>
      </w:r>
      <w:r>
        <w:t xml:space="preserve"> respondents</w:t>
      </w:r>
    </w:p>
    <w:p w14:paraId="1DD8C259" w14:textId="77777777" w:rsidR="00C835A5" w:rsidRPr="004E3AB8" w:rsidRDefault="00C835A5" w:rsidP="009A35C7">
      <w:pPr>
        <w:spacing w:line="360" w:lineRule="auto"/>
        <w:jc w:val="both"/>
        <w:rPr>
          <w:sz w:val="4"/>
          <w:szCs w:val="4"/>
        </w:rPr>
      </w:pPr>
    </w:p>
    <w:p w14:paraId="4E043EA6" w14:textId="77777777" w:rsidR="004E3AB8" w:rsidRDefault="004E3AB8" w:rsidP="00405423">
      <w:pPr>
        <w:spacing w:line="360" w:lineRule="auto"/>
        <w:jc w:val="both"/>
      </w:pPr>
    </w:p>
    <w:p w14:paraId="2A617C69" w14:textId="6366FDFE" w:rsidR="008A0AA3" w:rsidRPr="006B5F55" w:rsidRDefault="008A0AA3" w:rsidP="00405423">
      <w:pPr>
        <w:spacing w:line="360" w:lineRule="auto"/>
        <w:jc w:val="both"/>
        <w:rPr>
          <w:b/>
          <w:sz w:val="8"/>
          <w:szCs w:val="8"/>
        </w:rPr>
      </w:pPr>
    </w:p>
    <w:p w14:paraId="012AED57" w14:textId="77777777" w:rsidR="00445A14" w:rsidRPr="00445A14" w:rsidRDefault="00445A14" w:rsidP="00405423">
      <w:pPr>
        <w:spacing w:line="360" w:lineRule="auto"/>
        <w:jc w:val="both"/>
        <w:rPr>
          <w:b/>
          <w:sz w:val="6"/>
          <w:szCs w:val="6"/>
        </w:rPr>
      </w:pPr>
    </w:p>
    <w:p w14:paraId="099A3D40" w14:textId="4BCD9F34" w:rsidR="00B83F70" w:rsidRPr="00C45974" w:rsidRDefault="004169FF" w:rsidP="00405423">
      <w:pPr>
        <w:spacing w:line="360" w:lineRule="auto"/>
        <w:jc w:val="both"/>
        <w:rPr>
          <w:b/>
        </w:rPr>
      </w:pPr>
      <w:r w:rsidRPr="004E3AB8">
        <w:rPr>
          <w:b/>
        </w:rPr>
        <w:t>CHINAMORA</w:t>
      </w:r>
      <w:r w:rsidR="005A4D7A" w:rsidRPr="004E3AB8">
        <w:rPr>
          <w:b/>
        </w:rPr>
        <w:t xml:space="preserve"> J: </w:t>
      </w:r>
    </w:p>
    <w:p w14:paraId="6445CDCE" w14:textId="3DFDFBA4" w:rsidR="00471C5C" w:rsidRPr="005021DD" w:rsidRDefault="00193316" w:rsidP="00D82C29">
      <w:pPr>
        <w:spacing w:line="360" w:lineRule="auto"/>
        <w:ind w:firstLine="720"/>
        <w:jc w:val="both"/>
        <w:rPr>
          <w:sz w:val="12"/>
          <w:szCs w:val="12"/>
        </w:rPr>
      </w:pPr>
      <w:r>
        <w:t xml:space="preserve">This </w:t>
      </w:r>
      <w:r w:rsidR="0001001B">
        <w:t>applicati</w:t>
      </w:r>
      <w:r>
        <w:t>on</w:t>
      </w:r>
      <w:r w:rsidR="008A0AA3">
        <w:t xml:space="preserve"> is brought in terms of Rule 39 (4) (a) of the High Court Rules, 2021, and</w:t>
      </w:r>
      <w:r>
        <w:t xml:space="preserve"> seeks </w:t>
      </w:r>
      <w:r w:rsidR="0001001B">
        <w:t>the lifting of bar</w:t>
      </w:r>
      <w:r w:rsidR="00DD4FF9">
        <w:t xml:space="preserve"> operating against it</w:t>
      </w:r>
      <w:r w:rsidR="0001001B">
        <w:t xml:space="preserve">. </w:t>
      </w:r>
      <w:r w:rsidR="00D82C29">
        <w:t>The salient facts</w:t>
      </w:r>
      <w:r w:rsidR="00471C5C">
        <w:t xml:space="preserve"> ar</w:t>
      </w:r>
      <w:r w:rsidR="0080043C">
        <w:t>e that, on 3 October 1996, the a</w:t>
      </w:r>
      <w:r w:rsidR="00471C5C">
        <w:t>pplicant and the 2</w:t>
      </w:r>
      <w:r w:rsidR="00471C5C" w:rsidRPr="00471C5C">
        <w:rPr>
          <w:vertAlign w:val="superscript"/>
        </w:rPr>
        <w:t>nd</w:t>
      </w:r>
      <w:r w:rsidR="0080043C">
        <w:t xml:space="preserve"> respondent entered into a notarial and p</w:t>
      </w:r>
      <w:r w:rsidR="00471C5C">
        <w:t>rospecting contract and option agreement. In terms of the agreement, the applicant transferred its mining claims to the 2</w:t>
      </w:r>
      <w:r w:rsidR="00471C5C" w:rsidRPr="00471C5C">
        <w:rPr>
          <w:vertAlign w:val="superscript"/>
        </w:rPr>
        <w:t>nd</w:t>
      </w:r>
      <w:r w:rsidR="006E320A">
        <w:t xml:space="preserve"> r</w:t>
      </w:r>
      <w:r w:rsidR="00471C5C">
        <w:t>espond</w:t>
      </w:r>
      <w:r w:rsidR="006E320A">
        <w:t>ent. The terms of this contract can be captured as follow</w:t>
      </w:r>
      <w:r w:rsidR="005021DD">
        <w:t>s:</w:t>
      </w:r>
    </w:p>
    <w:p w14:paraId="0614E5E3" w14:textId="77777777" w:rsidR="005021DD" w:rsidRPr="005021DD" w:rsidRDefault="005021DD" w:rsidP="00D82C29">
      <w:pPr>
        <w:spacing w:line="360" w:lineRule="auto"/>
        <w:ind w:firstLine="720"/>
        <w:jc w:val="both"/>
        <w:rPr>
          <w:sz w:val="16"/>
          <w:szCs w:val="16"/>
        </w:rPr>
      </w:pPr>
    </w:p>
    <w:p w14:paraId="2D909C78" w14:textId="45944EA6" w:rsidR="00471C5C" w:rsidRDefault="005021DD" w:rsidP="00471C5C">
      <w:pPr>
        <w:pStyle w:val="ListParagraph"/>
        <w:numPr>
          <w:ilvl w:val="0"/>
          <w:numId w:val="33"/>
        </w:numPr>
        <w:spacing w:line="360" w:lineRule="auto"/>
        <w:jc w:val="both"/>
      </w:pPr>
      <w:r>
        <w:t>The a</w:t>
      </w:r>
      <w:r w:rsidR="00471C5C">
        <w:t>pplicant agreed to transfer the mining claims to the 2</w:t>
      </w:r>
      <w:r w:rsidR="00471C5C" w:rsidRPr="00471C5C">
        <w:rPr>
          <w:vertAlign w:val="superscript"/>
        </w:rPr>
        <w:t>nd</w:t>
      </w:r>
      <w:r>
        <w:t xml:space="preserve"> r</w:t>
      </w:r>
      <w:r w:rsidR="00471C5C">
        <w:t>espondent upon the 2</w:t>
      </w:r>
      <w:r w:rsidR="00471C5C" w:rsidRPr="00471C5C">
        <w:rPr>
          <w:vertAlign w:val="superscript"/>
        </w:rPr>
        <w:t>nd</w:t>
      </w:r>
      <w:r>
        <w:t xml:space="preserve"> r</w:t>
      </w:r>
      <w:r w:rsidR="00471C5C">
        <w:t>espondent making an in</w:t>
      </w:r>
      <w:r>
        <w:t>i</w:t>
      </w:r>
      <w:r w:rsidR="00471C5C">
        <w:t>tial paymen</w:t>
      </w:r>
      <w:r>
        <w:t xml:space="preserve">t of one </w:t>
      </w:r>
      <w:r w:rsidR="001A5712">
        <w:t xml:space="preserve">(1) </w:t>
      </w:r>
      <w:r>
        <w:t>million United States d</w:t>
      </w:r>
      <w:r w:rsidR="00471C5C">
        <w:t>ollars.</w:t>
      </w:r>
    </w:p>
    <w:p w14:paraId="4BB093B3" w14:textId="77777777" w:rsidR="009C5C99" w:rsidRPr="009C5C99" w:rsidRDefault="009C5C99" w:rsidP="009C5C99">
      <w:pPr>
        <w:pStyle w:val="ListParagraph"/>
        <w:spacing w:line="360" w:lineRule="auto"/>
        <w:jc w:val="both"/>
        <w:rPr>
          <w:sz w:val="10"/>
          <w:szCs w:val="10"/>
        </w:rPr>
      </w:pPr>
    </w:p>
    <w:p w14:paraId="302F77DF" w14:textId="2C18F2F8" w:rsidR="00471C5C" w:rsidRDefault="00471C5C" w:rsidP="00471C5C">
      <w:pPr>
        <w:pStyle w:val="ListParagraph"/>
        <w:numPr>
          <w:ilvl w:val="0"/>
          <w:numId w:val="33"/>
        </w:numPr>
        <w:spacing w:line="360" w:lineRule="auto"/>
        <w:jc w:val="both"/>
      </w:pPr>
      <w:r>
        <w:t>O</w:t>
      </w:r>
      <w:r w:rsidR="00315EF8">
        <w:t>nce the claims were mined, the a</w:t>
      </w:r>
      <w:r>
        <w:t xml:space="preserve">pplicant would be entitled to one hundred </w:t>
      </w:r>
      <w:r w:rsidR="00482354">
        <w:t xml:space="preserve">(100) </w:t>
      </w:r>
      <w:r>
        <w:t>ounces of gold produced from the claims and royalties of five</w:t>
      </w:r>
      <w:r w:rsidR="00BE7F59">
        <w:t xml:space="preserve"> (5)</w:t>
      </w:r>
      <w:r>
        <w:t xml:space="preserve"> </w:t>
      </w:r>
      <w:r w:rsidR="00482354">
        <w:t>United States d</w:t>
      </w:r>
      <w:r>
        <w:t>ollars per ounce in respect of each ounce of gold produced until royalty payments amounted to five</w:t>
      </w:r>
      <w:r w:rsidR="00064E21">
        <w:t xml:space="preserve"> (5) million United States d</w:t>
      </w:r>
      <w:r>
        <w:t xml:space="preserve">ollars. </w:t>
      </w:r>
    </w:p>
    <w:p w14:paraId="40877448" w14:textId="77777777" w:rsidR="00471C5C" w:rsidRDefault="00471C5C" w:rsidP="00471C5C">
      <w:pPr>
        <w:spacing w:line="360" w:lineRule="auto"/>
        <w:jc w:val="both"/>
      </w:pPr>
    </w:p>
    <w:p w14:paraId="1251310B" w14:textId="119698CD" w:rsidR="004D7023" w:rsidRDefault="00471C5C" w:rsidP="00E03C76">
      <w:pPr>
        <w:spacing w:line="360" w:lineRule="auto"/>
        <w:ind w:firstLine="720"/>
        <w:jc w:val="both"/>
      </w:pPr>
      <w:r>
        <w:lastRenderedPageBreak/>
        <w:t>The 2</w:t>
      </w:r>
      <w:r w:rsidRPr="00471C5C">
        <w:rPr>
          <w:vertAlign w:val="superscript"/>
        </w:rPr>
        <w:t>nd</w:t>
      </w:r>
      <w:r w:rsidR="008A1E93">
        <w:t xml:space="preserve"> r</w:t>
      </w:r>
      <w:r>
        <w:t>espondent paid the said one</w:t>
      </w:r>
      <w:r w:rsidR="008A1E93">
        <w:t xml:space="preserve"> (1) million United States d</w:t>
      </w:r>
      <w:r w:rsidR="00A60AB7">
        <w:t>ollars</w:t>
      </w:r>
      <w:r>
        <w:t xml:space="preserve"> in fulfilmen</w:t>
      </w:r>
      <w:r w:rsidR="00784CC2">
        <w:t>t of its contractual obligation. In consequence, t</w:t>
      </w:r>
      <w:r w:rsidR="0020295A">
        <w:t>he a</w:t>
      </w:r>
      <w:r>
        <w:t>pplicant duly facilitated the transfer of the claims to the 2</w:t>
      </w:r>
      <w:r w:rsidRPr="00471C5C">
        <w:rPr>
          <w:vertAlign w:val="superscript"/>
        </w:rPr>
        <w:t>nd</w:t>
      </w:r>
      <w:r w:rsidR="0020295A">
        <w:t xml:space="preserve"> r</w:t>
      </w:r>
      <w:r w:rsidR="00521D1E">
        <w:t>espondent. Sometime i</w:t>
      </w:r>
      <w:r w:rsidR="00AB30DC">
        <w:t>n 2018, the a</w:t>
      </w:r>
      <w:r>
        <w:t>pplicant issued out a summons</w:t>
      </w:r>
      <w:r w:rsidR="0079468A">
        <w:t xml:space="preserve"> under HCH 2587/18</w:t>
      </w:r>
      <w:r>
        <w:t xml:space="preserve"> against the 2</w:t>
      </w:r>
      <w:r w:rsidRPr="00471C5C">
        <w:rPr>
          <w:vertAlign w:val="superscript"/>
        </w:rPr>
        <w:t>nd</w:t>
      </w:r>
      <w:r w:rsidR="0079468A">
        <w:t xml:space="preserve"> r</w:t>
      </w:r>
      <w:r>
        <w:t>espondent seeking the cancellatio</w:t>
      </w:r>
      <w:r w:rsidR="0079468A">
        <w:t xml:space="preserve">n of the agreement between the parties, </w:t>
      </w:r>
      <w:r>
        <w:t>and</w:t>
      </w:r>
      <w:r w:rsidR="0079468A">
        <w:t xml:space="preserve"> also </w:t>
      </w:r>
      <w:r w:rsidR="00FB32AB">
        <w:t>asked for</w:t>
      </w:r>
      <w:r>
        <w:t xml:space="preserve"> an order compelling the 3</w:t>
      </w:r>
      <w:r w:rsidRPr="00471C5C">
        <w:rPr>
          <w:vertAlign w:val="superscript"/>
        </w:rPr>
        <w:t>rd</w:t>
      </w:r>
      <w:r w:rsidR="0079468A">
        <w:t xml:space="preserve"> respondent to transfer to the a</w:t>
      </w:r>
      <w:r>
        <w:t>pplicant all the mining claims registered in the name of the 2</w:t>
      </w:r>
      <w:r w:rsidRPr="00471C5C">
        <w:rPr>
          <w:vertAlign w:val="superscript"/>
        </w:rPr>
        <w:t>nd</w:t>
      </w:r>
      <w:r w:rsidR="0079468A">
        <w:t xml:space="preserve"> r</w:t>
      </w:r>
      <w:r w:rsidR="00207778">
        <w:t>espondent</w:t>
      </w:r>
      <w:r w:rsidR="00ED56AE">
        <w:t>. The order sought was granted by this c</w:t>
      </w:r>
      <w:r w:rsidR="004D7023">
        <w:t>ourt.</w:t>
      </w:r>
    </w:p>
    <w:p w14:paraId="6D1DBF84" w14:textId="2D8F3DAF" w:rsidR="004D7023" w:rsidRDefault="00E03C76" w:rsidP="00471C5C">
      <w:pPr>
        <w:spacing w:line="360" w:lineRule="auto"/>
        <w:ind w:firstLine="720"/>
        <w:jc w:val="both"/>
      </w:pPr>
      <w:r>
        <w:t>Aggrieved by this, t</w:t>
      </w:r>
      <w:r w:rsidR="004D7023">
        <w:t>he 1</w:t>
      </w:r>
      <w:r w:rsidR="004D7023" w:rsidRPr="004D7023">
        <w:rPr>
          <w:vertAlign w:val="superscript"/>
        </w:rPr>
        <w:t>st</w:t>
      </w:r>
      <w:r>
        <w:t xml:space="preserve"> respondent approached this court under HCH 1380/20 for </w:t>
      </w:r>
      <w:r w:rsidR="004D7023">
        <w:t>resciss</w:t>
      </w:r>
      <w:r w:rsidR="00156C59">
        <w:t>i</w:t>
      </w:r>
      <w:r w:rsidR="004D7023">
        <w:t xml:space="preserve">on </w:t>
      </w:r>
      <w:r>
        <w:t xml:space="preserve">of </w:t>
      </w:r>
      <w:r w:rsidR="004D7023">
        <w:t>judgment</w:t>
      </w:r>
      <w:r w:rsidR="00156C59">
        <w:t>. After hearing argument, o</w:t>
      </w:r>
      <w:r w:rsidR="004D7023">
        <w:t xml:space="preserve">n 1 </w:t>
      </w:r>
      <w:r w:rsidR="00335F89">
        <w:t>February 2021, this court ordered</w:t>
      </w:r>
      <w:r w:rsidR="004D7023">
        <w:t xml:space="preserve"> that:</w:t>
      </w:r>
    </w:p>
    <w:p w14:paraId="2C3F4B56" w14:textId="39816C55" w:rsidR="00156C59" w:rsidRPr="00682F2E" w:rsidRDefault="00156C59" w:rsidP="00471C5C">
      <w:pPr>
        <w:spacing w:line="360" w:lineRule="auto"/>
        <w:ind w:firstLine="720"/>
        <w:jc w:val="both"/>
        <w:rPr>
          <w:sz w:val="12"/>
          <w:szCs w:val="12"/>
        </w:rPr>
      </w:pPr>
    </w:p>
    <w:p w14:paraId="6DC8D1ED" w14:textId="2D6DBD64" w:rsidR="004D7023" w:rsidRDefault="004D7023" w:rsidP="004D7023">
      <w:pPr>
        <w:pStyle w:val="ListParagraph"/>
        <w:numPr>
          <w:ilvl w:val="0"/>
          <w:numId w:val="34"/>
        </w:numPr>
        <w:spacing w:line="360" w:lineRule="auto"/>
        <w:jc w:val="both"/>
      </w:pPr>
      <w:r>
        <w:t>The 1</w:t>
      </w:r>
      <w:r w:rsidRPr="004D7023">
        <w:rPr>
          <w:vertAlign w:val="superscript"/>
        </w:rPr>
        <w:t>st</w:t>
      </w:r>
      <w:r w:rsidR="00682F2E">
        <w:t xml:space="preserve"> r</w:t>
      </w:r>
      <w:r>
        <w:t>espondent be joined to the proceedings in HCH 2587/18 as a third defendant; and</w:t>
      </w:r>
    </w:p>
    <w:p w14:paraId="78367067" w14:textId="523CABE4" w:rsidR="004D7023" w:rsidRDefault="00682F2E" w:rsidP="004D7023">
      <w:pPr>
        <w:pStyle w:val="ListParagraph"/>
        <w:numPr>
          <w:ilvl w:val="0"/>
          <w:numId w:val="34"/>
        </w:numPr>
        <w:spacing w:line="360" w:lineRule="auto"/>
        <w:jc w:val="both"/>
      </w:pPr>
      <w:r>
        <w:t>The a</w:t>
      </w:r>
      <w:r w:rsidR="004D7023">
        <w:t>pplicant serve summons in HCH 2587/18 upon the 1</w:t>
      </w:r>
      <w:r w:rsidR="004D7023" w:rsidRPr="004D7023">
        <w:rPr>
          <w:vertAlign w:val="superscript"/>
        </w:rPr>
        <w:t>st</w:t>
      </w:r>
      <w:r>
        <w:t xml:space="preserve"> r</w:t>
      </w:r>
      <w:r w:rsidR="004D7023">
        <w:t xml:space="preserve">espondent within five days. </w:t>
      </w:r>
    </w:p>
    <w:p w14:paraId="55584AFE" w14:textId="77777777" w:rsidR="004D7023" w:rsidRPr="00682F2E" w:rsidRDefault="004D7023" w:rsidP="004D7023">
      <w:pPr>
        <w:spacing w:line="360" w:lineRule="auto"/>
        <w:jc w:val="both"/>
        <w:rPr>
          <w:sz w:val="20"/>
          <w:szCs w:val="20"/>
        </w:rPr>
      </w:pPr>
    </w:p>
    <w:p w14:paraId="47B18B15" w14:textId="60C56894" w:rsidR="000032D1" w:rsidRDefault="00166C56" w:rsidP="00971039">
      <w:pPr>
        <w:spacing w:line="360" w:lineRule="auto"/>
        <w:jc w:val="both"/>
      </w:pPr>
      <w:r>
        <w:tab/>
      </w:r>
      <w:r w:rsidR="00903A86">
        <w:t>Subsequently, o</w:t>
      </w:r>
      <w:r w:rsidR="00084474">
        <w:t>n 27 May 2022, the a</w:t>
      </w:r>
      <w:r w:rsidR="004D7023">
        <w:t>pplicant filed its notic</w:t>
      </w:r>
      <w:r w:rsidR="00FE2C0A">
        <w:t>e to plead and intention</w:t>
      </w:r>
      <w:r w:rsidR="004D7023">
        <w:t xml:space="preserve"> to bar</w:t>
      </w:r>
      <w:r w:rsidR="00084474">
        <w:t>. In response,</w:t>
      </w:r>
      <w:r w:rsidR="004D7023">
        <w:t xml:space="preserve"> the 1</w:t>
      </w:r>
      <w:r w:rsidR="004D7023" w:rsidRPr="004D7023">
        <w:rPr>
          <w:vertAlign w:val="superscript"/>
        </w:rPr>
        <w:t>st</w:t>
      </w:r>
      <w:r w:rsidR="00084474">
        <w:t xml:space="preserve"> respondent </w:t>
      </w:r>
      <w:r w:rsidR="00513957">
        <w:t>filed its plea. Following this, t</w:t>
      </w:r>
      <w:r w:rsidR="004D7023">
        <w:t xml:space="preserve">he Applicant filed </w:t>
      </w:r>
      <w:r w:rsidR="00742142">
        <w:t>its replication on the 4</w:t>
      </w:r>
      <w:r w:rsidR="00742142" w:rsidRPr="00742142">
        <w:rPr>
          <w:vertAlign w:val="superscript"/>
        </w:rPr>
        <w:t>th</w:t>
      </w:r>
      <w:r w:rsidR="00742142">
        <w:t xml:space="preserve"> of August 2022 outside the </w:t>
      </w:r>
      <w:r w:rsidR="00952A7F">
        <w:t>twelve-day</w:t>
      </w:r>
      <w:r w:rsidR="00742142">
        <w:t xml:space="preserve"> period as pr</w:t>
      </w:r>
      <w:r w:rsidR="00ED2BE2">
        <w:t xml:space="preserve">ovided for by the High </w:t>
      </w:r>
      <w:r w:rsidR="00742142">
        <w:t>Court</w:t>
      </w:r>
      <w:r w:rsidR="00ED2BE2">
        <w:t xml:space="preserve"> Rules</w:t>
      </w:r>
      <w:r w:rsidR="00742142">
        <w:t>. It is on this basis that the applicant is approaching this court seeking the lifting of the bar in te</w:t>
      </w:r>
      <w:r w:rsidR="00126FFE">
        <w:t xml:space="preserve">rms of the Rules of this Court. </w:t>
      </w:r>
      <w:r w:rsidR="00952A7F">
        <w:t>The 1</w:t>
      </w:r>
      <w:r w:rsidR="00952A7F" w:rsidRPr="00952A7F">
        <w:rPr>
          <w:vertAlign w:val="superscript"/>
        </w:rPr>
        <w:t>st</w:t>
      </w:r>
      <w:r w:rsidR="00126FFE">
        <w:t xml:space="preserve"> r</w:t>
      </w:r>
      <w:r w:rsidR="00952A7F">
        <w:t>espon</w:t>
      </w:r>
      <w:r w:rsidR="00126FFE">
        <w:t xml:space="preserve">dent opposed the application, and raised a preliminary point that the </w:t>
      </w:r>
      <w:r w:rsidR="00774454">
        <w:t xml:space="preserve">approach chosen by the </w:t>
      </w:r>
      <w:r w:rsidR="00126FFE">
        <w:t>a</w:t>
      </w:r>
      <w:r w:rsidR="00774454">
        <w:t>pplicant was improper</w:t>
      </w:r>
      <w:r w:rsidR="00952A7F">
        <w:t xml:space="preserve">. It is </w:t>
      </w:r>
      <w:r w:rsidR="009F1E10">
        <w:t xml:space="preserve">the </w:t>
      </w:r>
      <w:r w:rsidR="00952A7F">
        <w:t>1</w:t>
      </w:r>
      <w:r w:rsidR="00952A7F" w:rsidRPr="00952A7F">
        <w:rPr>
          <w:vertAlign w:val="superscript"/>
        </w:rPr>
        <w:t>st</w:t>
      </w:r>
      <w:r w:rsidR="009F1E10">
        <w:t xml:space="preserve"> r</w:t>
      </w:r>
      <w:r w:rsidR="00952A7F">
        <w:t>espondent</w:t>
      </w:r>
      <w:r w:rsidR="009F1E10">
        <w:t>’s</w:t>
      </w:r>
      <w:r w:rsidR="00952A7F">
        <w:t xml:space="preserve"> su</w:t>
      </w:r>
      <w:r w:rsidR="009F1E10">
        <w:t>bmission that by operation of Rule 40 (</w:t>
      </w:r>
      <w:r w:rsidR="00952A7F">
        <w:t>9</w:t>
      </w:r>
      <w:r w:rsidR="009F1E10">
        <w:t>)</w:t>
      </w:r>
      <w:r w:rsidR="0030548C">
        <w:t xml:space="preserve"> of the High Court Rules, the a</w:t>
      </w:r>
      <w:r w:rsidR="00952A7F">
        <w:t>pplicant had been automatically barred from filing any further pleading or doc</w:t>
      </w:r>
      <w:r w:rsidR="00C409EF">
        <w:t>ument. It is this bar that the a</w:t>
      </w:r>
      <w:r w:rsidR="00952A7F">
        <w:t>pplicant viola</w:t>
      </w:r>
      <w:r w:rsidR="002F2B5B">
        <w:t xml:space="preserve">ted by lodging its replication. </w:t>
      </w:r>
      <w:r w:rsidR="00952A7F">
        <w:t>Furthermore, the 1</w:t>
      </w:r>
      <w:r w:rsidR="00952A7F" w:rsidRPr="00952A7F">
        <w:rPr>
          <w:vertAlign w:val="superscript"/>
        </w:rPr>
        <w:t>st</w:t>
      </w:r>
      <w:r w:rsidR="00952A7F">
        <w:t xml:space="preserve"> </w:t>
      </w:r>
      <w:r w:rsidR="002F2B5B">
        <w:t>r</w:t>
      </w:r>
      <w:r w:rsidR="00952A7F">
        <w:t>espondent argues that no condonation was sought f</w:t>
      </w:r>
      <w:r w:rsidR="002F2B5B">
        <w:t>or the irregular step that the a</w:t>
      </w:r>
      <w:r w:rsidR="00952A7F">
        <w:t xml:space="preserve">pplicant took in filing its replication in violation of the Rules. </w:t>
      </w:r>
      <w:r w:rsidR="00A47856">
        <w:t xml:space="preserve">In its answering affidavit, the applicant </w:t>
      </w:r>
      <w:r w:rsidR="000032D1">
        <w:t>noted that it had abandoned the replication and would file a fresh pleading once the bar o</w:t>
      </w:r>
      <w:r w:rsidR="00C2691A">
        <w:t>perating against it was lifted. Alt</w:t>
      </w:r>
      <w:r w:rsidR="00781CE6">
        <w:t>hough the applicant did not file</w:t>
      </w:r>
      <w:r w:rsidR="000032D1">
        <w:t xml:space="preserve"> a n</w:t>
      </w:r>
      <w:r w:rsidR="00904216">
        <w:t xml:space="preserve">otice of withdrawal of the </w:t>
      </w:r>
      <w:r w:rsidR="000032D1">
        <w:t>replication, I am inclined to take the applicant’s word and</w:t>
      </w:r>
      <w:r w:rsidR="00781CE6">
        <w:t>,</w:t>
      </w:r>
      <w:r w:rsidR="000032D1">
        <w:t xml:space="preserve"> consequently</w:t>
      </w:r>
      <w:r w:rsidR="00781CE6">
        <w:t>,</w:t>
      </w:r>
      <w:r w:rsidR="000032D1">
        <w:t xml:space="preserve"> dismiss the said preliminary point. </w:t>
      </w:r>
      <w:r w:rsidR="00971039">
        <w:t>Having done so, I will consider the merits of the case.</w:t>
      </w:r>
    </w:p>
    <w:p w14:paraId="3D6C7EE2" w14:textId="6D48F881" w:rsidR="00F07A1F" w:rsidRDefault="000032D1" w:rsidP="00B6660B">
      <w:pPr>
        <w:spacing w:line="360" w:lineRule="auto"/>
        <w:ind w:firstLine="720"/>
        <w:jc w:val="both"/>
      </w:pPr>
      <w:r>
        <w:t>On the merits, the 1</w:t>
      </w:r>
      <w:r w:rsidRPr="000032D1">
        <w:rPr>
          <w:vertAlign w:val="superscript"/>
        </w:rPr>
        <w:t>st</w:t>
      </w:r>
      <w:r w:rsidR="00D54FF8">
        <w:t xml:space="preserve"> r</w:t>
      </w:r>
      <w:r>
        <w:t>espondent arg</w:t>
      </w:r>
      <w:r w:rsidR="00D54FF8">
        <w:t>ued that the Rules do not provide for upliftment of a b</w:t>
      </w:r>
      <w:r>
        <w:t>ar</w:t>
      </w:r>
      <w:r w:rsidR="00D54FF8">
        <w:t xml:space="preserve"> operating against a party</w:t>
      </w:r>
      <w:r w:rsidR="00C63938">
        <w:t>.</w:t>
      </w:r>
      <w:r w:rsidR="00D54FF8">
        <w:t xml:space="preserve"> The 1</w:t>
      </w:r>
      <w:r w:rsidR="00D54FF8" w:rsidRPr="00D54FF8">
        <w:rPr>
          <w:vertAlign w:val="superscript"/>
        </w:rPr>
        <w:t>st</w:t>
      </w:r>
      <w:r w:rsidR="00D54FF8">
        <w:t xml:space="preserve"> respondent’s contention was that </w:t>
      </w:r>
      <w:r>
        <w:t>the Rules only provide for the lodg</w:t>
      </w:r>
      <w:r w:rsidR="00D54FF8">
        <w:t>ment of an application for the r</w:t>
      </w:r>
      <w:r>
        <w:t>emoval of a bar. It is 1</w:t>
      </w:r>
      <w:r w:rsidRPr="000032D1">
        <w:rPr>
          <w:vertAlign w:val="superscript"/>
        </w:rPr>
        <w:t>st</w:t>
      </w:r>
      <w:r w:rsidR="00CA0A9C">
        <w:t xml:space="preserve"> r</w:t>
      </w:r>
      <w:r>
        <w:t>espondent’s case that the factual background given by the applicant is somewhat misleading as regards the contra</w:t>
      </w:r>
      <w:r w:rsidR="00CA0A9C">
        <w:t>ctual relationship between the a</w:t>
      </w:r>
      <w:r>
        <w:t>pplicant and the 2</w:t>
      </w:r>
      <w:r w:rsidRPr="000032D1">
        <w:rPr>
          <w:vertAlign w:val="superscript"/>
        </w:rPr>
        <w:t>nd</w:t>
      </w:r>
      <w:r w:rsidR="00CA0A9C">
        <w:t xml:space="preserve"> r</w:t>
      </w:r>
      <w:r>
        <w:t xml:space="preserve">espondent. </w:t>
      </w:r>
      <w:r w:rsidR="00F07A1F">
        <w:t>The 1</w:t>
      </w:r>
      <w:r w:rsidR="00F07A1F" w:rsidRPr="00F07A1F">
        <w:rPr>
          <w:vertAlign w:val="superscript"/>
        </w:rPr>
        <w:t>st</w:t>
      </w:r>
      <w:r w:rsidR="00D86A2C">
        <w:t xml:space="preserve"> r</w:t>
      </w:r>
      <w:r w:rsidR="00F07A1F">
        <w:t>espondent argues that</w:t>
      </w:r>
      <w:r w:rsidR="00D86A2C">
        <w:t>,</w:t>
      </w:r>
      <w:r w:rsidR="00F07A1F">
        <w:t xml:space="preserve"> as can be gleaned </w:t>
      </w:r>
      <w:r w:rsidR="00F07A1F">
        <w:lastRenderedPageBreak/>
        <w:t>from the origi</w:t>
      </w:r>
      <w:r w:rsidR="00D86A2C">
        <w:t>nal summons under HCH 2585/18, the a</w:t>
      </w:r>
      <w:r w:rsidR="00F07A1F">
        <w:t>pplicant open</w:t>
      </w:r>
      <w:r w:rsidR="00D86A2C">
        <w:t>ly admits that it transferred its</w:t>
      </w:r>
      <w:r w:rsidR="00F07A1F">
        <w:t xml:space="preserve"> </w:t>
      </w:r>
      <w:r w:rsidR="00554DDE">
        <w:t>mining c</w:t>
      </w:r>
      <w:r w:rsidR="00F07A1F">
        <w:t>laims to the 2</w:t>
      </w:r>
      <w:r w:rsidR="00F07A1F" w:rsidRPr="00F07A1F">
        <w:rPr>
          <w:vertAlign w:val="superscript"/>
        </w:rPr>
        <w:t>nd</w:t>
      </w:r>
      <w:r w:rsidR="00554DDE">
        <w:t xml:space="preserve"> r</w:t>
      </w:r>
      <w:r w:rsidR="00F07A1F">
        <w:t>espondent. According</w:t>
      </w:r>
      <w:r w:rsidR="00741D2E">
        <w:t>ly,</w:t>
      </w:r>
      <w:r w:rsidR="00F07A1F">
        <w:t xml:space="preserve"> the 1</w:t>
      </w:r>
      <w:r w:rsidR="00F07A1F" w:rsidRPr="00F07A1F">
        <w:rPr>
          <w:vertAlign w:val="superscript"/>
        </w:rPr>
        <w:t>st</w:t>
      </w:r>
      <w:r w:rsidR="00741D2E">
        <w:t xml:space="preserve"> respondent contends that</w:t>
      </w:r>
      <w:r w:rsidR="00F07A1F">
        <w:t xml:space="preserve"> the transfer </w:t>
      </w:r>
      <w:r w:rsidR="00741D2E">
        <w:t>was not conditional as alleged. I</w:t>
      </w:r>
      <w:r w:rsidR="00F07A1F">
        <w:t>t must be noted that the 2</w:t>
      </w:r>
      <w:r w:rsidR="00F07A1F" w:rsidRPr="00F07A1F">
        <w:rPr>
          <w:vertAlign w:val="superscript"/>
        </w:rPr>
        <w:t>nd</w:t>
      </w:r>
      <w:r w:rsidR="00741D2E">
        <w:t xml:space="preserve"> r</w:t>
      </w:r>
      <w:r w:rsidR="00F07A1F">
        <w:t>espondent did obtain full righ</w:t>
      </w:r>
      <w:r w:rsidR="00741D2E">
        <w:t>ts over the claims by operation</w:t>
      </w:r>
      <w:r w:rsidR="00F07A1F">
        <w:t xml:space="preserve"> of a secondary agreement as opposed to the red herring p</w:t>
      </w:r>
      <w:r w:rsidR="00741D2E">
        <w:t>ostulated by the a</w:t>
      </w:r>
      <w:r w:rsidR="00F07A1F">
        <w:t>pplicant. The Rules of this court a</w:t>
      </w:r>
      <w:r w:rsidR="00B6660B">
        <w:t xml:space="preserve">re instructive in this regard, </w:t>
      </w:r>
      <w:r w:rsidR="00F07A1F">
        <w:t>particular</w:t>
      </w:r>
      <w:r w:rsidR="00B6660B">
        <w:t>ly</w:t>
      </w:r>
      <w:r w:rsidR="00F07A1F">
        <w:t xml:space="preserve"> Rule 39</w:t>
      </w:r>
      <w:r w:rsidR="00B6660B">
        <w:t xml:space="preserve"> (4)</w:t>
      </w:r>
      <w:r w:rsidR="00F07A1F">
        <w:t xml:space="preserve"> which provides that:</w:t>
      </w:r>
    </w:p>
    <w:p w14:paraId="23727190" w14:textId="77777777" w:rsidR="00B6660B" w:rsidRPr="00806989" w:rsidRDefault="00B6660B" w:rsidP="00B6660B">
      <w:pPr>
        <w:spacing w:line="360" w:lineRule="auto"/>
        <w:jc w:val="both"/>
        <w:rPr>
          <w:sz w:val="12"/>
          <w:szCs w:val="12"/>
        </w:rPr>
      </w:pPr>
    </w:p>
    <w:p w14:paraId="3BBC8740" w14:textId="5FD6FE35" w:rsidR="00806989" w:rsidRDefault="00F07A1F" w:rsidP="00806989">
      <w:pPr>
        <w:ind w:firstLine="720"/>
        <w:jc w:val="both"/>
        <w:rPr>
          <w:sz w:val="22"/>
          <w:szCs w:val="22"/>
        </w:rPr>
      </w:pPr>
      <w:r w:rsidRPr="00806989">
        <w:rPr>
          <w:sz w:val="22"/>
          <w:szCs w:val="22"/>
        </w:rPr>
        <w:t xml:space="preserve">“(4) A party who has been barred may- </w:t>
      </w:r>
    </w:p>
    <w:p w14:paraId="55E3294B" w14:textId="77777777" w:rsidR="00806989" w:rsidRPr="00806989" w:rsidRDefault="00806989" w:rsidP="00806989">
      <w:pPr>
        <w:ind w:firstLine="720"/>
        <w:jc w:val="both"/>
        <w:rPr>
          <w:sz w:val="8"/>
          <w:szCs w:val="8"/>
        </w:rPr>
      </w:pPr>
    </w:p>
    <w:p w14:paraId="7DD3019F" w14:textId="77777777" w:rsidR="00806989" w:rsidRPr="00806989" w:rsidRDefault="00F07A1F" w:rsidP="00806989">
      <w:pPr>
        <w:pStyle w:val="ListParagraph"/>
        <w:numPr>
          <w:ilvl w:val="0"/>
          <w:numId w:val="35"/>
        </w:numPr>
        <w:jc w:val="both"/>
        <w:rPr>
          <w:sz w:val="22"/>
          <w:szCs w:val="22"/>
        </w:rPr>
      </w:pPr>
      <w:r w:rsidRPr="00806989">
        <w:rPr>
          <w:sz w:val="22"/>
          <w:szCs w:val="22"/>
        </w:rPr>
        <w:t>Make a chamber application to remove the bar; or</w:t>
      </w:r>
    </w:p>
    <w:p w14:paraId="3E9FC7B7" w14:textId="77777777" w:rsidR="00806989" w:rsidRPr="00806989" w:rsidRDefault="00701654" w:rsidP="00806989">
      <w:pPr>
        <w:pStyle w:val="ListParagraph"/>
        <w:numPr>
          <w:ilvl w:val="0"/>
          <w:numId w:val="35"/>
        </w:numPr>
        <w:jc w:val="both"/>
        <w:rPr>
          <w:sz w:val="22"/>
          <w:szCs w:val="22"/>
        </w:rPr>
      </w:pPr>
      <w:r w:rsidRPr="00806989">
        <w:rPr>
          <w:sz w:val="22"/>
          <w:szCs w:val="22"/>
        </w:rPr>
        <w:t xml:space="preserve">Make an oral application at the hearing, if any, of the action or suit concerned </w:t>
      </w:r>
    </w:p>
    <w:p w14:paraId="083BC32C" w14:textId="5C6F8DCD" w:rsidR="00701654" w:rsidRPr="00806989" w:rsidRDefault="00701654" w:rsidP="00806989">
      <w:pPr>
        <w:pStyle w:val="ListParagraph"/>
        <w:jc w:val="both"/>
        <w:rPr>
          <w:sz w:val="22"/>
          <w:szCs w:val="22"/>
        </w:rPr>
      </w:pPr>
      <w:r w:rsidRPr="00806989">
        <w:rPr>
          <w:sz w:val="22"/>
          <w:szCs w:val="22"/>
        </w:rPr>
        <w:t>and the judge or court may allow the application on such terms as to costs and otherwise as the judge or court, as the case may be, considered fit.”</w:t>
      </w:r>
    </w:p>
    <w:p w14:paraId="5DFDD180" w14:textId="77777777" w:rsidR="00701654" w:rsidRDefault="00701654" w:rsidP="00701654">
      <w:pPr>
        <w:spacing w:line="360" w:lineRule="auto"/>
        <w:jc w:val="both"/>
      </w:pPr>
    </w:p>
    <w:p w14:paraId="56FE4B35" w14:textId="49BAC1CB" w:rsidR="00701654" w:rsidRDefault="00FD6688" w:rsidP="00C757B4">
      <w:pPr>
        <w:spacing w:line="360" w:lineRule="auto"/>
        <w:ind w:firstLine="720"/>
        <w:jc w:val="both"/>
      </w:pPr>
      <w:r>
        <w:t xml:space="preserve">It is also worth noting that, in </w:t>
      </w:r>
      <w:r w:rsidRPr="00FD6688">
        <w:rPr>
          <w:i/>
        </w:rPr>
        <w:t xml:space="preserve">Grain Marketing Board v </w:t>
      </w:r>
      <w:r w:rsidR="00701654" w:rsidRPr="00FD6688">
        <w:rPr>
          <w:i/>
        </w:rPr>
        <w:t>Muchero</w:t>
      </w:r>
      <w:r w:rsidR="00701654">
        <w:t xml:space="preserve"> </w:t>
      </w:r>
      <w:r w:rsidR="00701654" w:rsidRPr="00FD6688">
        <w:rPr>
          <w:iCs/>
        </w:rPr>
        <w:t>2008 (1) ZLR 216 (S)</w:t>
      </w:r>
      <w:r>
        <w:t xml:space="preserve"> </w:t>
      </w:r>
      <w:r w:rsidR="00166C56" w:rsidRPr="00166C56">
        <w:rPr>
          <w:smallCaps/>
        </w:rPr>
        <w:t>Garwe Ja</w:t>
      </w:r>
      <w:r w:rsidR="00166C56">
        <w:t xml:space="preserve"> </w:t>
      </w:r>
      <w:r w:rsidR="00701654">
        <w:t>(as he then was) in interpreting Rule 84 of the now repealed High Court Rules, 1971 which is si</w:t>
      </w:r>
      <w:r w:rsidR="00037E77">
        <w:t xml:space="preserve">milar to Rule 39 (4) above observed </w:t>
      </w:r>
      <w:r w:rsidR="00701654">
        <w:t>that:</w:t>
      </w:r>
    </w:p>
    <w:p w14:paraId="05FD2E96" w14:textId="77777777" w:rsidR="00FD6688" w:rsidRPr="00003ADC" w:rsidRDefault="00FD6688" w:rsidP="00701654">
      <w:pPr>
        <w:spacing w:line="360" w:lineRule="auto"/>
        <w:jc w:val="both"/>
        <w:rPr>
          <w:sz w:val="6"/>
          <w:szCs w:val="6"/>
        </w:rPr>
      </w:pPr>
    </w:p>
    <w:p w14:paraId="61F7BFEB" w14:textId="3F1D3539" w:rsidR="00701654" w:rsidRPr="00FD6688" w:rsidRDefault="00701654" w:rsidP="00FD6688">
      <w:pPr>
        <w:ind w:left="720"/>
        <w:jc w:val="both"/>
        <w:rPr>
          <w:sz w:val="22"/>
          <w:szCs w:val="22"/>
        </w:rPr>
      </w:pPr>
      <w:r w:rsidRPr="00FD6688">
        <w:rPr>
          <w:sz w:val="22"/>
          <w:szCs w:val="22"/>
        </w:rPr>
        <w:t>“It is clear from the above provisions that once a party is barred</w:t>
      </w:r>
      <w:r w:rsidR="009F31ED">
        <w:rPr>
          <w:sz w:val="22"/>
          <w:szCs w:val="22"/>
        </w:rPr>
        <w:t xml:space="preserve"> </w:t>
      </w:r>
      <w:r w:rsidRPr="00FD6688">
        <w:rPr>
          <w:sz w:val="22"/>
          <w:szCs w:val="22"/>
        </w:rPr>
        <w:t>the matter is treated as unopposed unless the party so barred makes an application before that court for upliftment of bar. It is also clear that in making the application to uplift the bar</w:t>
      </w:r>
      <w:r w:rsidR="006C2FAA">
        <w:rPr>
          <w:sz w:val="22"/>
          <w:szCs w:val="22"/>
        </w:rPr>
        <w:t>,</w:t>
      </w:r>
      <w:r w:rsidRPr="00FD6688">
        <w:rPr>
          <w:sz w:val="22"/>
          <w:szCs w:val="22"/>
        </w:rPr>
        <w:t xml:space="preserve"> the party that has been </w:t>
      </w:r>
      <w:r w:rsidR="006C2FAA">
        <w:rPr>
          <w:sz w:val="22"/>
          <w:szCs w:val="22"/>
        </w:rPr>
        <w:t xml:space="preserve">barred </w:t>
      </w:r>
      <w:r w:rsidRPr="00FD6688">
        <w:rPr>
          <w:sz w:val="22"/>
          <w:szCs w:val="22"/>
        </w:rPr>
        <w:t>can either file a chamber (not court) application to uplift the bar</w:t>
      </w:r>
      <w:r w:rsidR="006C2FAA">
        <w:rPr>
          <w:sz w:val="22"/>
          <w:szCs w:val="22"/>
        </w:rPr>
        <w:t>,</w:t>
      </w:r>
      <w:r w:rsidRPr="00FD6688">
        <w:rPr>
          <w:sz w:val="22"/>
          <w:szCs w:val="22"/>
        </w:rPr>
        <w:t xml:space="preserve"> or where that has not been done the party can make an oral application at the hearing.”</w:t>
      </w:r>
    </w:p>
    <w:p w14:paraId="358A7479" w14:textId="77777777" w:rsidR="00701654" w:rsidRDefault="00701654" w:rsidP="00701654">
      <w:pPr>
        <w:spacing w:line="360" w:lineRule="auto"/>
        <w:jc w:val="both"/>
      </w:pPr>
    </w:p>
    <w:p w14:paraId="655369A8" w14:textId="18FA07D3" w:rsidR="009468D8" w:rsidRDefault="00166C56" w:rsidP="00B107F8">
      <w:pPr>
        <w:spacing w:line="360" w:lineRule="auto"/>
        <w:jc w:val="both"/>
      </w:pPr>
      <w:r>
        <w:tab/>
      </w:r>
      <w:r w:rsidR="00701654">
        <w:t>In light of the above case authori</w:t>
      </w:r>
      <w:r w:rsidR="00794C5B">
        <w:t>ty, it is a non-issue that the a</w:t>
      </w:r>
      <w:r w:rsidR="00701654">
        <w:t xml:space="preserve">pplicant referred to this application as a chamber application for upliftment of bar. In my view, </w:t>
      </w:r>
      <w:r w:rsidR="009468D8">
        <w:t>this court cannot deny a litigant its</w:t>
      </w:r>
      <w:r w:rsidR="00794C5B">
        <w:t xml:space="preserve"> day in court over semantics, namely, describing this</w:t>
      </w:r>
      <w:r w:rsidR="009468D8">
        <w:t xml:space="preserve"> application </w:t>
      </w:r>
      <w:r w:rsidR="00794C5B">
        <w:t xml:space="preserve">as one </w:t>
      </w:r>
      <w:r w:rsidR="009468D8">
        <w:t>for upliftment of bar</w:t>
      </w:r>
      <w:r w:rsidR="00794C5B">
        <w:t>,</w:t>
      </w:r>
      <w:r w:rsidR="009468D8">
        <w:t xml:space="preserve"> instead of</w:t>
      </w:r>
      <w:r w:rsidR="00794C5B">
        <w:t xml:space="preserve"> calling it an application for</w:t>
      </w:r>
      <w:r w:rsidR="009468D8">
        <w:t xml:space="preserve"> re</w:t>
      </w:r>
      <w:r w:rsidR="00E135B6">
        <w:t xml:space="preserve">moval of bar. In my view, what is important </w:t>
      </w:r>
      <w:r w:rsidR="009468D8">
        <w:t>is that the applicant has petitioned this court to either remove the bar or confirm it</w:t>
      </w:r>
      <w:r w:rsidR="00F65486">
        <w:t>,</w:t>
      </w:r>
      <w:r w:rsidR="009468D8">
        <w:t xml:space="preserve"> and have the main matter dealt with as an unopposed case. </w:t>
      </w:r>
    </w:p>
    <w:p w14:paraId="72CEC771" w14:textId="1DB085E9" w:rsidR="009468D8" w:rsidRDefault="009468D8" w:rsidP="00701654">
      <w:pPr>
        <w:spacing w:line="360" w:lineRule="auto"/>
        <w:ind w:firstLine="720"/>
        <w:jc w:val="both"/>
      </w:pPr>
      <w:r>
        <w:t>In dealing wi</w:t>
      </w:r>
      <w:r w:rsidR="00B107F8">
        <w:t xml:space="preserve">th a similar situation </w:t>
      </w:r>
      <w:r w:rsidR="00166C56" w:rsidRPr="00166C56">
        <w:rPr>
          <w:smallCaps/>
        </w:rPr>
        <w:t>Chatukuta J</w:t>
      </w:r>
      <w:r>
        <w:t xml:space="preserve"> (as she then was) in </w:t>
      </w:r>
      <w:r w:rsidRPr="00B107F8">
        <w:rPr>
          <w:i/>
        </w:rPr>
        <w:t>African Banking Corp</w:t>
      </w:r>
      <w:r w:rsidR="00B107F8" w:rsidRPr="00B107F8">
        <w:rPr>
          <w:i/>
        </w:rPr>
        <w:t>oration of Zimbabwe and Anor v</w:t>
      </w:r>
      <w:r w:rsidRPr="00B107F8">
        <w:rPr>
          <w:i/>
        </w:rPr>
        <w:t xml:space="preserve"> Lesley Faye Marsh (Pvt) Ltd t/a Premier Diamonds and Ors</w:t>
      </w:r>
      <w:r>
        <w:t xml:space="preserve"> </w:t>
      </w:r>
      <w:r w:rsidR="00B107F8">
        <w:rPr>
          <w:iCs/>
        </w:rPr>
        <w:t>HH 425-</w:t>
      </w:r>
      <w:r w:rsidRPr="00B107F8">
        <w:rPr>
          <w:iCs/>
        </w:rPr>
        <w:t>16</w:t>
      </w:r>
      <w:r>
        <w:t xml:space="preserve"> held that:</w:t>
      </w:r>
    </w:p>
    <w:p w14:paraId="096FACF9" w14:textId="06F62E25" w:rsidR="0024231A" w:rsidRPr="0024231A" w:rsidRDefault="0024231A" w:rsidP="0024231A">
      <w:pPr>
        <w:spacing w:line="360" w:lineRule="auto"/>
        <w:jc w:val="both"/>
        <w:rPr>
          <w:sz w:val="6"/>
          <w:szCs w:val="6"/>
        </w:rPr>
      </w:pPr>
    </w:p>
    <w:p w14:paraId="0327935C" w14:textId="7E0CB902" w:rsidR="002760A7" w:rsidRDefault="009468D8" w:rsidP="0024231A">
      <w:pPr>
        <w:ind w:left="720"/>
        <w:jc w:val="both"/>
        <w:rPr>
          <w:sz w:val="22"/>
          <w:szCs w:val="22"/>
        </w:rPr>
      </w:pPr>
      <w:r w:rsidRPr="0024231A">
        <w:rPr>
          <w:sz w:val="22"/>
          <w:szCs w:val="22"/>
        </w:rPr>
        <w:t xml:space="preserve">“Turning to the question whether or not the bar should be lifted, these court have, time and again, pronounced that the </w:t>
      </w:r>
      <w:r w:rsidR="002760A7" w:rsidRPr="0024231A">
        <w:rPr>
          <w:sz w:val="22"/>
          <w:szCs w:val="22"/>
        </w:rPr>
        <w:t>upliftment</w:t>
      </w:r>
      <w:r w:rsidRPr="0024231A">
        <w:rPr>
          <w:sz w:val="22"/>
          <w:szCs w:val="22"/>
        </w:rPr>
        <w:t xml:space="preserve"> of a bar in not automatic upon the mere asking. (See </w:t>
      </w:r>
      <w:r w:rsidR="00473A3E">
        <w:rPr>
          <w:i/>
          <w:sz w:val="22"/>
          <w:szCs w:val="22"/>
        </w:rPr>
        <w:t>Mitizhe v</w:t>
      </w:r>
      <w:r w:rsidRPr="00473A3E">
        <w:rPr>
          <w:i/>
          <w:sz w:val="22"/>
          <w:szCs w:val="22"/>
        </w:rPr>
        <w:t xml:space="preserve">. Ganda and Ors </w:t>
      </w:r>
      <w:r w:rsidRPr="00473A3E">
        <w:rPr>
          <w:iCs/>
          <w:sz w:val="22"/>
          <w:szCs w:val="22"/>
        </w:rPr>
        <w:t>2009 (1) 241 (S)</w:t>
      </w:r>
      <w:r w:rsidR="00473A3E">
        <w:rPr>
          <w:sz w:val="22"/>
          <w:szCs w:val="22"/>
        </w:rPr>
        <w:t xml:space="preserve"> and </w:t>
      </w:r>
      <w:r w:rsidR="00473A3E" w:rsidRPr="00473A3E">
        <w:rPr>
          <w:i/>
          <w:sz w:val="22"/>
          <w:szCs w:val="22"/>
        </w:rPr>
        <w:t>Chimoyo v</w:t>
      </w:r>
      <w:r w:rsidRPr="00473A3E">
        <w:rPr>
          <w:i/>
          <w:sz w:val="22"/>
          <w:szCs w:val="22"/>
        </w:rPr>
        <w:t xml:space="preserve"> Route Toute BV and Ors</w:t>
      </w:r>
      <w:r w:rsidRPr="0024231A">
        <w:rPr>
          <w:sz w:val="22"/>
          <w:szCs w:val="22"/>
        </w:rPr>
        <w:t xml:space="preserve"> </w:t>
      </w:r>
      <w:r w:rsidR="00473A3E">
        <w:rPr>
          <w:iCs/>
          <w:sz w:val="22"/>
          <w:szCs w:val="22"/>
        </w:rPr>
        <w:t>SC 20-</w:t>
      </w:r>
      <w:r w:rsidRPr="00473A3E">
        <w:rPr>
          <w:iCs/>
          <w:sz w:val="22"/>
          <w:szCs w:val="22"/>
        </w:rPr>
        <w:t>10</w:t>
      </w:r>
      <w:r w:rsidRPr="0024231A">
        <w:rPr>
          <w:i/>
          <w:iCs/>
          <w:sz w:val="22"/>
          <w:szCs w:val="22"/>
        </w:rPr>
        <w:t>)</w:t>
      </w:r>
      <w:r w:rsidR="002760A7" w:rsidRPr="0024231A">
        <w:rPr>
          <w:sz w:val="22"/>
          <w:szCs w:val="22"/>
        </w:rPr>
        <w:t xml:space="preserve">. </w:t>
      </w:r>
      <w:r w:rsidRPr="0024231A">
        <w:rPr>
          <w:sz w:val="22"/>
          <w:szCs w:val="22"/>
        </w:rPr>
        <w:t xml:space="preserve">A party seeking the upliftment of a bar must </w:t>
      </w:r>
      <w:r w:rsidR="002760A7" w:rsidRPr="0024231A">
        <w:rPr>
          <w:sz w:val="22"/>
          <w:szCs w:val="22"/>
        </w:rPr>
        <w:t>satisfy</w:t>
      </w:r>
      <w:r w:rsidRPr="0024231A">
        <w:rPr>
          <w:sz w:val="22"/>
          <w:szCs w:val="22"/>
        </w:rPr>
        <w:t xml:space="preserve"> the requirements for such an application. The</w:t>
      </w:r>
      <w:r w:rsidR="002760A7" w:rsidRPr="0024231A">
        <w:rPr>
          <w:sz w:val="22"/>
          <w:szCs w:val="22"/>
        </w:rPr>
        <w:t>se are:</w:t>
      </w:r>
    </w:p>
    <w:p w14:paraId="49227D5C" w14:textId="77777777" w:rsidR="00473A3E" w:rsidRPr="00473A3E" w:rsidRDefault="00473A3E" w:rsidP="0024231A">
      <w:pPr>
        <w:ind w:left="720"/>
        <w:jc w:val="both"/>
        <w:rPr>
          <w:sz w:val="10"/>
          <w:szCs w:val="10"/>
        </w:rPr>
      </w:pPr>
    </w:p>
    <w:p w14:paraId="7E6E0EC0" w14:textId="77777777" w:rsidR="002760A7" w:rsidRPr="0024231A" w:rsidRDefault="002760A7" w:rsidP="0024231A">
      <w:pPr>
        <w:pStyle w:val="ListParagraph"/>
        <w:numPr>
          <w:ilvl w:val="0"/>
          <w:numId w:val="36"/>
        </w:numPr>
        <w:ind w:left="1440"/>
        <w:jc w:val="both"/>
        <w:rPr>
          <w:sz w:val="22"/>
          <w:szCs w:val="22"/>
        </w:rPr>
      </w:pPr>
      <w:r w:rsidRPr="0024231A">
        <w:rPr>
          <w:sz w:val="22"/>
          <w:szCs w:val="22"/>
        </w:rPr>
        <w:lastRenderedPageBreak/>
        <w:t>the extent of the delay</w:t>
      </w:r>
    </w:p>
    <w:p w14:paraId="5DBA23AE" w14:textId="77777777" w:rsidR="002760A7" w:rsidRPr="0024231A" w:rsidRDefault="002760A7" w:rsidP="0024231A">
      <w:pPr>
        <w:pStyle w:val="ListParagraph"/>
        <w:numPr>
          <w:ilvl w:val="0"/>
          <w:numId w:val="36"/>
        </w:numPr>
        <w:ind w:left="1440"/>
        <w:jc w:val="both"/>
        <w:rPr>
          <w:sz w:val="22"/>
          <w:szCs w:val="22"/>
        </w:rPr>
      </w:pPr>
      <w:r w:rsidRPr="0024231A">
        <w:rPr>
          <w:sz w:val="22"/>
          <w:szCs w:val="22"/>
        </w:rPr>
        <w:t>the reasonableness of the explanation for the delay</w:t>
      </w:r>
    </w:p>
    <w:p w14:paraId="34857F79" w14:textId="77777777" w:rsidR="002760A7" w:rsidRPr="0024231A" w:rsidRDefault="002760A7" w:rsidP="0024231A">
      <w:pPr>
        <w:pStyle w:val="ListParagraph"/>
        <w:numPr>
          <w:ilvl w:val="0"/>
          <w:numId w:val="36"/>
        </w:numPr>
        <w:ind w:left="1440"/>
        <w:jc w:val="both"/>
        <w:rPr>
          <w:sz w:val="22"/>
          <w:szCs w:val="22"/>
        </w:rPr>
      </w:pPr>
      <w:r w:rsidRPr="0024231A">
        <w:rPr>
          <w:sz w:val="22"/>
          <w:szCs w:val="22"/>
        </w:rPr>
        <w:t>whether the litigant himself is responsible for the delay</w:t>
      </w:r>
    </w:p>
    <w:p w14:paraId="32D21A20" w14:textId="77777777" w:rsidR="002760A7" w:rsidRPr="0024231A" w:rsidRDefault="002760A7" w:rsidP="0024231A">
      <w:pPr>
        <w:pStyle w:val="ListParagraph"/>
        <w:numPr>
          <w:ilvl w:val="0"/>
          <w:numId w:val="36"/>
        </w:numPr>
        <w:ind w:left="1440"/>
        <w:jc w:val="both"/>
        <w:rPr>
          <w:sz w:val="22"/>
          <w:szCs w:val="22"/>
        </w:rPr>
      </w:pPr>
      <w:r w:rsidRPr="0024231A">
        <w:rPr>
          <w:sz w:val="22"/>
          <w:szCs w:val="22"/>
        </w:rPr>
        <w:t xml:space="preserve">the prospects of success should be application be granted </w:t>
      </w:r>
    </w:p>
    <w:p w14:paraId="5B8DC3EB" w14:textId="77777777" w:rsidR="002760A7" w:rsidRPr="0024231A" w:rsidRDefault="002760A7" w:rsidP="0024231A">
      <w:pPr>
        <w:pStyle w:val="ListParagraph"/>
        <w:numPr>
          <w:ilvl w:val="0"/>
          <w:numId w:val="36"/>
        </w:numPr>
        <w:ind w:left="1440"/>
        <w:jc w:val="both"/>
        <w:rPr>
          <w:sz w:val="22"/>
          <w:szCs w:val="22"/>
        </w:rPr>
      </w:pPr>
      <w:r w:rsidRPr="0024231A">
        <w:rPr>
          <w:sz w:val="22"/>
          <w:szCs w:val="22"/>
        </w:rPr>
        <w:t>the possible prejudice to the respondent should the application be granted.”</w:t>
      </w:r>
    </w:p>
    <w:p w14:paraId="7644C96B" w14:textId="77777777" w:rsidR="001360A5" w:rsidRDefault="001360A5" w:rsidP="002760A7">
      <w:pPr>
        <w:spacing w:line="360" w:lineRule="auto"/>
        <w:jc w:val="both"/>
      </w:pPr>
    </w:p>
    <w:p w14:paraId="1B8AC279" w14:textId="30F21A10" w:rsidR="004D2C1C" w:rsidRDefault="001360A5" w:rsidP="00FC176D">
      <w:pPr>
        <w:spacing w:line="360" w:lineRule="auto"/>
        <w:ind w:firstLine="720"/>
        <w:jc w:val="both"/>
      </w:pPr>
      <w:r>
        <w:t xml:space="preserve">Both </w:t>
      </w:r>
      <w:r w:rsidR="00003ADC">
        <w:t xml:space="preserve">the </w:t>
      </w:r>
      <w:r>
        <w:t>applicant and the 1</w:t>
      </w:r>
      <w:r w:rsidRPr="001360A5">
        <w:rPr>
          <w:vertAlign w:val="superscript"/>
        </w:rPr>
        <w:t>st</w:t>
      </w:r>
      <w:r w:rsidR="00003ADC">
        <w:t xml:space="preserve"> r</w:t>
      </w:r>
      <w:r>
        <w:t>espondent agree</w:t>
      </w:r>
      <w:r w:rsidR="004D2C1C">
        <w:t xml:space="preserve"> that the applicant is responsible for the delay</w:t>
      </w:r>
      <w:r w:rsidR="006924AE">
        <w:t>,</w:t>
      </w:r>
      <w:r w:rsidR="004D2C1C">
        <w:t xml:space="preserve"> and</w:t>
      </w:r>
      <w:r>
        <w:t xml:space="preserve"> that the extent of delay is thirty-three days. </w:t>
      </w:r>
      <w:r w:rsidR="006924AE">
        <w:t xml:space="preserve">I have to consider whether the delay is inordinate. </w:t>
      </w:r>
      <w:r w:rsidR="00DB69EC">
        <w:t>The law is settled that</w:t>
      </w:r>
      <w:r>
        <w:t xml:space="preserve"> condonation </w:t>
      </w:r>
      <w:r w:rsidR="00DB69EC">
        <w:t>can be granted even in cases where the delay is</w:t>
      </w:r>
      <w:r w:rsidR="00FA3E35">
        <w:t xml:space="preserve"> inordinate</w:t>
      </w:r>
      <w:r w:rsidR="004D2C1C">
        <w:t xml:space="preserve">. See </w:t>
      </w:r>
      <w:r w:rsidR="00FA3E35" w:rsidRPr="00FA3E35">
        <w:rPr>
          <w:i/>
        </w:rPr>
        <w:t xml:space="preserve">Anjin Investments (Pvt) Ltd v </w:t>
      </w:r>
      <w:r w:rsidR="004D2C1C" w:rsidRPr="00FA3E35">
        <w:rPr>
          <w:i/>
        </w:rPr>
        <w:t xml:space="preserve">The Minister of Mines and Mining Development and Others </w:t>
      </w:r>
      <w:r w:rsidR="00FA3E35">
        <w:rPr>
          <w:iCs/>
        </w:rPr>
        <w:t>SC 39-</w:t>
      </w:r>
      <w:r w:rsidR="004D2C1C" w:rsidRPr="00FA3E35">
        <w:rPr>
          <w:iCs/>
        </w:rPr>
        <w:t>20</w:t>
      </w:r>
      <w:r w:rsidR="004D2C1C">
        <w:t xml:space="preserve">. The applicant attributed the delay to the fact that it needed to make investigation on the issue of the second agreement </w:t>
      </w:r>
      <w:r w:rsidR="002221C2">
        <w:t>which the a</w:t>
      </w:r>
      <w:r w:rsidR="004D2C1C">
        <w:t xml:space="preserve">pplicant and </w:t>
      </w:r>
      <w:r w:rsidR="002221C2">
        <w:t xml:space="preserve">the </w:t>
      </w:r>
      <w:r w:rsidR="004D2C1C">
        <w:t>2</w:t>
      </w:r>
      <w:r w:rsidR="004D2C1C" w:rsidRPr="004D2C1C">
        <w:rPr>
          <w:vertAlign w:val="superscript"/>
        </w:rPr>
        <w:t>nd</w:t>
      </w:r>
      <w:r w:rsidR="002221C2">
        <w:t xml:space="preserve"> r</w:t>
      </w:r>
      <w:r w:rsidR="004D2C1C">
        <w:t>espondent executed. It was applicant’s case that none of the employees were readily available which prolonge</w:t>
      </w:r>
      <w:r w:rsidR="0007298F">
        <w:t>d the investigations to the exte</w:t>
      </w:r>
      <w:r w:rsidR="004D2C1C">
        <w:t xml:space="preserve">nt that the replication could not be filed within the time prescribed by the Rules. </w:t>
      </w:r>
      <w:r>
        <w:t xml:space="preserve"> </w:t>
      </w:r>
      <w:r w:rsidR="004D2C1C">
        <w:t>I find the explanat</w:t>
      </w:r>
      <w:r w:rsidR="0007298F">
        <w:t xml:space="preserve">ion plausible given that </w:t>
      </w:r>
      <w:r w:rsidR="004D2C1C">
        <w:t>the agreements being referred to by the parties were executed nearly two decades ago.</w:t>
      </w:r>
    </w:p>
    <w:p w14:paraId="1E2B2150" w14:textId="0D755069" w:rsidR="00AE3F27" w:rsidRDefault="00FC176D" w:rsidP="004D2C1C">
      <w:pPr>
        <w:spacing w:line="360" w:lineRule="auto"/>
        <w:ind w:firstLine="720"/>
        <w:jc w:val="both"/>
      </w:pPr>
      <w:r>
        <w:t>I note that t</w:t>
      </w:r>
      <w:r w:rsidR="00AE3F27">
        <w:t xml:space="preserve">he applicant’s claim in the main matter is for the cancellation of the agreements it entered </w:t>
      </w:r>
      <w:r w:rsidR="00362A1A">
        <w:t xml:space="preserve">into </w:t>
      </w:r>
      <w:r w:rsidR="00AE3F27">
        <w:t xml:space="preserve">with </w:t>
      </w:r>
      <w:r w:rsidR="00362A1A">
        <w:t xml:space="preserve">the </w:t>
      </w:r>
      <w:r w:rsidR="00AE3F27">
        <w:t>2</w:t>
      </w:r>
      <w:r w:rsidR="00AE3F27" w:rsidRPr="00AE3F27">
        <w:rPr>
          <w:vertAlign w:val="superscript"/>
        </w:rPr>
        <w:t>nd</w:t>
      </w:r>
      <w:r w:rsidR="00362A1A">
        <w:t xml:space="preserve"> r</w:t>
      </w:r>
      <w:r w:rsidR="00AE3F27">
        <w:t>espondent</w:t>
      </w:r>
      <w:r w:rsidR="00362A1A">
        <w:t xml:space="preserve">. Then I observe that </w:t>
      </w:r>
      <w:r w:rsidR="00AE3F27">
        <w:t>the 1</w:t>
      </w:r>
      <w:r w:rsidR="00AE3F27" w:rsidRPr="00AE3F27">
        <w:rPr>
          <w:vertAlign w:val="superscript"/>
        </w:rPr>
        <w:t>st</w:t>
      </w:r>
      <w:r w:rsidR="00FB261D">
        <w:t xml:space="preserve"> r</w:t>
      </w:r>
      <w:r w:rsidR="00AE3F27">
        <w:t>espondent is the current holder of the claims having received registration for the claims from the 2</w:t>
      </w:r>
      <w:r w:rsidR="00AE3F27" w:rsidRPr="00AE3F27">
        <w:rPr>
          <w:vertAlign w:val="superscript"/>
        </w:rPr>
        <w:t>nd</w:t>
      </w:r>
      <w:r w:rsidR="00FB261D">
        <w:t xml:space="preserve"> r</w:t>
      </w:r>
      <w:r w:rsidR="00AE3F27">
        <w:t xml:space="preserve">espondent. Furthermore, the claim also involves </w:t>
      </w:r>
      <w:r w:rsidR="008019B6">
        <w:t>vindicating mining rights. The a</w:t>
      </w:r>
      <w:r w:rsidR="00AE3F27">
        <w:t>pplicant claims that the 2</w:t>
      </w:r>
      <w:r w:rsidR="00AE3F27" w:rsidRPr="00AE3F27">
        <w:rPr>
          <w:vertAlign w:val="superscript"/>
        </w:rPr>
        <w:t>nd</w:t>
      </w:r>
      <w:r w:rsidR="008019B6">
        <w:t xml:space="preserve"> r</w:t>
      </w:r>
      <w:r w:rsidR="00AE3F27">
        <w:t>espondent had no right to sale the mining claims as it did not acquire true ownership of the claims. In ligh</w:t>
      </w:r>
      <w:r w:rsidR="008019B6">
        <w:t xml:space="preserve">t of the above I am persuaded that the interests of justice favour the grant of condonation.  Additionally, my view is that </w:t>
      </w:r>
      <w:r w:rsidR="00AE3F27">
        <w:t>the 1</w:t>
      </w:r>
      <w:r w:rsidR="00AE3F27" w:rsidRPr="00AE3F27">
        <w:rPr>
          <w:vertAlign w:val="superscript"/>
        </w:rPr>
        <w:t>st</w:t>
      </w:r>
      <w:r w:rsidR="008019B6">
        <w:t xml:space="preserve"> r</w:t>
      </w:r>
      <w:r w:rsidR="00AE3F27">
        <w:t>espondent</w:t>
      </w:r>
      <w:r w:rsidR="008019B6">
        <w:t xml:space="preserve"> would suffer</w:t>
      </w:r>
      <w:r w:rsidR="00AE3F27">
        <w:t xml:space="preserve"> no prejudice </w:t>
      </w:r>
      <w:r w:rsidR="008019B6">
        <w:t xml:space="preserve">if the bar was to be uplifted. </w:t>
      </w:r>
      <w:r w:rsidR="00AE0580">
        <w:t>Therefore, the decision I make is that it is</w:t>
      </w:r>
      <w:r w:rsidR="00AE3F27">
        <w:t xml:space="preserve"> in the interest</w:t>
      </w:r>
      <w:r w:rsidR="00AE0580">
        <w:t>s</w:t>
      </w:r>
      <w:r w:rsidR="00AE3F27">
        <w:t xml:space="preserve"> of justice that the matter be heard to finality</w:t>
      </w:r>
      <w:r w:rsidR="00AE0580">
        <w:t>.</w:t>
      </w:r>
      <w:r w:rsidR="00AE3F27">
        <w:t xml:space="preserve"> </w:t>
      </w:r>
    </w:p>
    <w:p w14:paraId="78085720" w14:textId="69EAA1A8" w:rsidR="00AE3F27" w:rsidRDefault="00AE3F27" w:rsidP="000071B8">
      <w:pPr>
        <w:spacing w:line="360" w:lineRule="auto"/>
        <w:ind w:firstLine="720"/>
        <w:jc w:val="both"/>
      </w:pPr>
      <w:r>
        <w:t>As a result, I make the following order:</w:t>
      </w:r>
    </w:p>
    <w:p w14:paraId="6948A01E" w14:textId="77777777" w:rsidR="000071B8" w:rsidRPr="000071B8" w:rsidRDefault="000071B8" w:rsidP="000071B8">
      <w:pPr>
        <w:spacing w:line="360" w:lineRule="auto"/>
        <w:ind w:firstLine="720"/>
        <w:jc w:val="both"/>
        <w:rPr>
          <w:sz w:val="10"/>
          <w:szCs w:val="10"/>
        </w:rPr>
      </w:pPr>
    </w:p>
    <w:p w14:paraId="7DE3E066" w14:textId="7F2B927E" w:rsidR="00AE3F27" w:rsidRDefault="000071B8" w:rsidP="00AE3F27">
      <w:pPr>
        <w:pStyle w:val="ListParagraph"/>
        <w:numPr>
          <w:ilvl w:val="0"/>
          <w:numId w:val="37"/>
        </w:numPr>
        <w:spacing w:line="360" w:lineRule="auto"/>
        <w:jc w:val="both"/>
      </w:pPr>
      <w:r>
        <w:t>The application</w:t>
      </w:r>
      <w:r w:rsidR="00AE3F27">
        <w:t xml:space="preserve"> for upliftment of bar be and is hereby granted.</w:t>
      </w:r>
    </w:p>
    <w:p w14:paraId="6ABE79A0" w14:textId="77777777" w:rsidR="009029C2" w:rsidRDefault="000071B8" w:rsidP="00AE3F27">
      <w:pPr>
        <w:pStyle w:val="ListParagraph"/>
        <w:numPr>
          <w:ilvl w:val="0"/>
          <w:numId w:val="37"/>
        </w:numPr>
        <w:spacing w:line="360" w:lineRule="auto"/>
        <w:jc w:val="both"/>
      </w:pPr>
      <w:r>
        <w:t>The a</w:t>
      </w:r>
      <w:r w:rsidR="00AE3F27">
        <w:t>pplic</w:t>
      </w:r>
      <w:r>
        <w:t>ant shall file</w:t>
      </w:r>
      <w:r w:rsidR="00AE3F27">
        <w:t xml:space="preserve"> its replication within 5 working days</w:t>
      </w:r>
      <w:r w:rsidR="009029C2">
        <w:t xml:space="preserve"> of service of this order.</w:t>
      </w:r>
    </w:p>
    <w:p w14:paraId="1E814EB3" w14:textId="640FF13E" w:rsidR="00AE3F27" w:rsidRDefault="009029C2" w:rsidP="00AE3F27">
      <w:pPr>
        <w:pStyle w:val="ListParagraph"/>
        <w:numPr>
          <w:ilvl w:val="0"/>
          <w:numId w:val="37"/>
        </w:numPr>
        <w:spacing w:line="360" w:lineRule="auto"/>
        <w:jc w:val="both"/>
      </w:pPr>
      <w:r>
        <w:t xml:space="preserve">This matter shall thereafter </w:t>
      </w:r>
      <w:r w:rsidR="00AE3F27">
        <w:t xml:space="preserve">proceed in terms of the </w:t>
      </w:r>
      <w:r w:rsidR="00C063F0">
        <w:t xml:space="preserve">High Court </w:t>
      </w:r>
      <w:r w:rsidR="00AE3F27">
        <w:t>Rules.</w:t>
      </w:r>
    </w:p>
    <w:p w14:paraId="21388B1F" w14:textId="77777777" w:rsidR="00166C56" w:rsidRDefault="00166C56" w:rsidP="00166C56">
      <w:pPr>
        <w:spacing w:line="360" w:lineRule="auto"/>
        <w:jc w:val="both"/>
      </w:pPr>
    </w:p>
    <w:p w14:paraId="3AB86C81" w14:textId="77777777" w:rsidR="00166C56" w:rsidRDefault="00166C56" w:rsidP="00166C56">
      <w:pPr>
        <w:spacing w:line="360" w:lineRule="auto"/>
        <w:jc w:val="both"/>
      </w:pPr>
    </w:p>
    <w:p w14:paraId="5027659B" w14:textId="77777777" w:rsidR="00166C56" w:rsidRDefault="00166C56" w:rsidP="00166C56">
      <w:pPr>
        <w:spacing w:line="360" w:lineRule="auto"/>
        <w:jc w:val="both"/>
      </w:pPr>
    </w:p>
    <w:p w14:paraId="1271D5DC" w14:textId="77777777" w:rsidR="00166C56" w:rsidRDefault="00166C56" w:rsidP="00166C56">
      <w:pPr>
        <w:spacing w:line="360" w:lineRule="auto"/>
        <w:jc w:val="both"/>
      </w:pPr>
    </w:p>
    <w:p w14:paraId="75543871" w14:textId="70D8BD29" w:rsidR="0078604C" w:rsidRDefault="00AE3F27" w:rsidP="00AE3F27">
      <w:pPr>
        <w:pStyle w:val="ListParagraph"/>
        <w:numPr>
          <w:ilvl w:val="0"/>
          <w:numId w:val="37"/>
        </w:numPr>
        <w:spacing w:line="360" w:lineRule="auto"/>
        <w:jc w:val="both"/>
      </w:pPr>
      <w:r>
        <w:lastRenderedPageBreak/>
        <w:t>The costs of this application shall be in the cause.</w:t>
      </w:r>
    </w:p>
    <w:p w14:paraId="14366B17" w14:textId="77777777" w:rsidR="00166C56" w:rsidRDefault="00166C56" w:rsidP="00C063F0">
      <w:pPr>
        <w:spacing w:line="360" w:lineRule="auto"/>
        <w:jc w:val="both"/>
      </w:pPr>
    </w:p>
    <w:p w14:paraId="06B70E6D" w14:textId="77777777" w:rsidR="00166C56" w:rsidRDefault="00166C56" w:rsidP="00C063F0">
      <w:pPr>
        <w:spacing w:line="360" w:lineRule="auto"/>
        <w:jc w:val="both"/>
      </w:pPr>
    </w:p>
    <w:p w14:paraId="23186BF4" w14:textId="7A5E7188" w:rsidR="00C063F0" w:rsidRDefault="00166C56" w:rsidP="00C063F0">
      <w:pPr>
        <w:spacing w:line="360" w:lineRule="auto"/>
        <w:jc w:val="both"/>
      </w:pPr>
      <w:r w:rsidRPr="00166C56">
        <w:rPr>
          <w:b/>
          <w:smallCaps/>
        </w:rPr>
        <w:t>Chinamora J</w:t>
      </w:r>
      <w:r>
        <w:t>: ………………………………………..</w:t>
      </w:r>
    </w:p>
    <w:p w14:paraId="37B1207F" w14:textId="77777777" w:rsidR="00166C56" w:rsidRDefault="00166C56" w:rsidP="00C063F0">
      <w:pPr>
        <w:spacing w:line="360" w:lineRule="auto"/>
        <w:jc w:val="both"/>
      </w:pPr>
    </w:p>
    <w:p w14:paraId="5B114320" w14:textId="0A1973D6" w:rsidR="00C063F0" w:rsidRDefault="00C063F0" w:rsidP="00A317EA">
      <w:pPr>
        <w:jc w:val="both"/>
      </w:pPr>
      <w:r w:rsidRPr="00A317EA">
        <w:rPr>
          <w:i/>
        </w:rPr>
        <w:t>Coghlan, Welsh &amp; Guest</w:t>
      </w:r>
      <w:r>
        <w:t>, applicant’s legal practitioners</w:t>
      </w:r>
    </w:p>
    <w:p w14:paraId="0D7D7CB6" w14:textId="04192BFB" w:rsidR="00C063F0" w:rsidRPr="007C7786" w:rsidRDefault="00A317EA" w:rsidP="00A317EA">
      <w:pPr>
        <w:jc w:val="both"/>
      </w:pPr>
      <w:r w:rsidRPr="00A317EA">
        <w:rPr>
          <w:i/>
        </w:rPr>
        <w:t>Lunga Attorneys</w:t>
      </w:r>
      <w:r>
        <w:t>, first respondent’s legal practitioners</w:t>
      </w:r>
    </w:p>
    <w:sectPr w:rsidR="00C063F0" w:rsidRPr="007C7786" w:rsidSect="00500A5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25D16" w14:textId="77777777" w:rsidR="006D79A6" w:rsidRDefault="006D79A6" w:rsidP="005A4D7A">
      <w:r>
        <w:separator/>
      </w:r>
    </w:p>
  </w:endnote>
  <w:endnote w:type="continuationSeparator" w:id="0">
    <w:p w14:paraId="6CEBA61E" w14:textId="77777777" w:rsidR="006D79A6" w:rsidRDefault="006D79A6" w:rsidP="005A4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76CA5" w14:textId="77777777" w:rsidR="006D79A6" w:rsidRDefault="006D79A6" w:rsidP="005A4D7A">
      <w:r>
        <w:separator/>
      </w:r>
    </w:p>
  </w:footnote>
  <w:footnote w:type="continuationSeparator" w:id="0">
    <w:p w14:paraId="4CFF1A4C" w14:textId="77777777" w:rsidR="006D79A6" w:rsidRDefault="006D79A6" w:rsidP="005A4D7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8404480"/>
      <w:docPartObj>
        <w:docPartGallery w:val="Page Numbers (Top of Page)"/>
        <w:docPartUnique/>
      </w:docPartObj>
    </w:sdtPr>
    <w:sdtEndPr>
      <w:rPr>
        <w:noProof/>
      </w:rPr>
    </w:sdtEndPr>
    <w:sdtContent>
      <w:p w14:paraId="11FE0EBF" w14:textId="1A910391" w:rsidR="004316E9" w:rsidRDefault="004316E9">
        <w:pPr>
          <w:pStyle w:val="Header"/>
          <w:jc w:val="right"/>
          <w:rPr>
            <w:noProof/>
          </w:rPr>
        </w:pPr>
        <w:r>
          <w:fldChar w:fldCharType="begin"/>
        </w:r>
        <w:r>
          <w:instrText xml:space="preserve"> PAGE   \* MERGEFORMAT </w:instrText>
        </w:r>
        <w:r>
          <w:fldChar w:fldCharType="separate"/>
        </w:r>
        <w:r w:rsidR="00113940">
          <w:rPr>
            <w:noProof/>
          </w:rPr>
          <w:t>1</w:t>
        </w:r>
        <w:r>
          <w:rPr>
            <w:noProof/>
          </w:rPr>
          <w:fldChar w:fldCharType="end"/>
        </w:r>
      </w:p>
      <w:p w14:paraId="6FD3AC20" w14:textId="7F7D4307" w:rsidR="00166C56" w:rsidRDefault="00166C56">
        <w:pPr>
          <w:pStyle w:val="Header"/>
          <w:jc w:val="right"/>
          <w:rPr>
            <w:noProof/>
          </w:rPr>
        </w:pPr>
        <w:r>
          <w:rPr>
            <w:noProof/>
          </w:rPr>
          <w:t>HH 524 - 24</w:t>
        </w:r>
      </w:p>
      <w:p w14:paraId="7D1132EF" w14:textId="4F48835B" w:rsidR="004316E9" w:rsidRDefault="004316E9">
        <w:pPr>
          <w:pStyle w:val="Header"/>
          <w:jc w:val="right"/>
        </w:pPr>
        <w:r>
          <w:rPr>
            <w:noProof/>
          </w:rPr>
          <w:t>HC 5734/22</w:t>
        </w:r>
      </w:p>
    </w:sdtContent>
  </w:sdt>
  <w:p w14:paraId="7A219417" w14:textId="77777777" w:rsidR="001F34A3" w:rsidRDefault="001F34A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1DFA"/>
    <w:multiLevelType w:val="hybridMultilevel"/>
    <w:tmpl w:val="1A160BE4"/>
    <w:lvl w:ilvl="0" w:tplc="AAECC55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3451B24"/>
    <w:multiLevelType w:val="hybridMultilevel"/>
    <w:tmpl w:val="C45A3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32837"/>
    <w:multiLevelType w:val="hybridMultilevel"/>
    <w:tmpl w:val="E946B29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0A1B721D"/>
    <w:multiLevelType w:val="hybridMultilevel"/>
    <w:tmpl w:val="FE0CAB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6C31DB"/>
    <w:multiLevelType w:val="hybridMultilevel"/>
    <w:tmpl w:val="42064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402EF"/>
    <w:multiLevelType w:val="hybridMultilevel"/>
    <w:tmpl w:val="9848A35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1B280812"/>
    <w:multiLevelType w:val="hybridMultilevel"/>
    <w:tmpl w:val="06122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566D01"/>
    <w:multiLevelType w:val="hybridMultilevel"/>
    <w:tmpl w:val="A9D0178A"/>
    <w:lvl w:ilvl="0" w:tplc="1194D95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22AF477C"/>
    <w:multiLevelType w:val="hybridMultilevel"/>
    <w:tmpl w:val="93188D92"/>
    <w:lvl w:ilvl="0" w:tplc="934075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45F0DA7"/>
    <w:multiLevelType w:val="hybridMultilevel"/>
    <w:tmpl w:val="027CBE7C"/>
    <w:lvl w:ilvl="0" w:tplc="C7B0226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27C575EB"/>
    <w:multiLevelType w:val="hybridMultilevel"/>
    <w:tmpl w:val="1690D5BE"/>
    <w:lvl w:ilvl="0" w:tplc="209A30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FE6911"/>
    <w:multiLevelType w:val="hybridMultilevel"/>
    <w:tmpl w:val="223E0B8C"/>
    <w:lvl w:ilvl="0" w:tplc="638A22BE">
      <w:start w:val="1"/>
      <w:numFmt w:val="decimal"/>
      <w:lvlText w:val="%1."/>
      <w:lvlJc w:val="left"/>
      <w:pPr>
        <w:ind w:left="1080" w:hanging="360"/>
      </w:pPr>
      <w:rPr>
        <w:rFonts w:hint="default"/>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373A7594"/>
    <w:multiLevelType w:val="hybridMultilevel"/>
    <w:tmpl w:val="24F40968"/>
    <w:lvl w:ilvl="0" w:tplc="ACE8E2C4">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3" w15:restartNumberingAfterBreak="0">
    <w:nsid w:val="3A3B3572"/>
    <w:multiLevelType w:val="hybridMultilevel"/>
    <w:tmpl w:val="7DFE0716"/>
    <w:lvl w:ilvl="0" w:tplc="9C9A36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9017C6"/>
    <w:multiLevelType w:val="hybridMultilevel"/>
    <w:tmpl w:val="090EB506"/>
    <w:lvl w:ilvl="0" w:tplc="EDFA10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0A66F38"/>
    <w:multiLevelType w:val="hybridMultilevel"/>
    <w:tmpl w:val="F942E326"/>
    <w:lvl w:ilvl="0" w:tplc="A4DCFF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F53390"/>
    <w:multiLevelType w:val="hybridMultilevel"/>
    <w:tmpl w:val="EEA282FA"/>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15:restartNumberingAfterBreak="0">
    <w:nsid w:val="44F94F51"/>
    <w:multiLevelType w:val="hybridMultilevel"/>
    <w:tmpl w:val="3E0E0702"/>
    <w:lvl w:ilvl="0" w:tplc="C58621CE">
      <w:start w:val="1"/>
      <w:numFmt w:val="bullet"/>
      <w:lvlText w:val=""/>
      <w:lvlJc w:val="left"/>
      <w:pPr>
        <w:ind w:left="1800" w:hanging="360"/>
      </w:pPr>
      <w:rPr>
        <w:rFonts w:ascii="Symbol" w:eastAsiaTheme="minorHAnsi" w:hAnsi="Symbol" w:cs="Times New Roman" w:hint="default"/>
      </w:rPr>
    </w:lvl>
    <w:lvl w:ilvl="1" w:tplc="30090003" w:tentative="1">
      <w:start w:val="1"/>
      <w:numFmt w:val="bullet"/>
      <w:lvlText w:val="o"/>
      <w:lvlJc w:val="left"/>
      <w:pPr>
        <w:ind w:left="2520" w:hanging="360"/>
      </w:pPr>
      <w:rPr>
        <w:rFonts w:ascii="Courier New" w:hAnsi="Courier New" w:cs="Courier New" w:hint="default"/>
      </w:rPr>
    </w:lvl>
    <w:lvl w:ilvl="2" w:tplc="30090005" w:tentative="1">
      <w:start w:val="1"/>
      <w:numFmt w:val="bullet"/>
      <w:lvlText w:val=""/>
      <w:lvlJc w:val="left"/>
      <w:pPr>
        <w:ind w:left="3240" w:hanging="360"/>
      </w:pPr>
      <w:rPr>
        <w:rFonts w:ascii="Wingdings" w:hAnsi="Wingdings" w:hint="default"/>
      </w:rPr>
    </w:lvl>
    <w:lvl w:ilvl="3" w:tplc="30090001" w:tentative="1">
      <w:start w:val="1"/>
      <w:numFmt w:val="bullet"/>
      <w:lvlText w:val=""/>
      <w:lvlJc w:val="left"/>
      <w:pPr>
        <w:ind w:left="3960" w:hanging="360"/>
      </w:pPr>
      <w:rPr>
        <w:rFonts w:ascii="Symbol" w:hAnsi="Symbol" w:hint="default"/>
      </w:rPr>
    </w:lvl>
    <w:lvl w:ilvl="4" w:tplc="30090003" w:tentative="1">
      <w:start w:val="1"/>
      <w:numFmt w:val="bullet"/>
      <w:lvlText w:val="o"/>
      <w:lvlJc w:val="left"/>
      <w:pPr>
        <w:ind w:left="4680" w:hanging="360"/>
      </w:pPr>
      <w:rPr>
        <w:rFonts w:ascii="Courier New" w:hAnsi="Courier New" w:cs="Courier New" w:hint="default"/>
      </w:rPr>
    </w:lvl>
    <w:lvl w:ilvl="5" w:tplc="30090005" w:tentative="1">
      <w:start w:val="1"/>
      <w:numFmt w:val="bullet"/>
      <w:lvlText w:val=""/>
      <w:lvlJc w:val="left"/>
      <w:pPr>
        <w:ind w:left="5400" w:hanging="360"/>
      </w:pPr>
      <w:rPr>
        <w:rFonts w:ascii="Wingdings" w:hAnsi="Wingdings" w:hint="default"/>
      </w:rPr>
    </w:lvl>
    <w:lvl w:ilvl="6" w:tplc="30090001" w:tentative="1">
      <w:start w:val="1"/>
      <w:numFmt w:val="bullet"/>
      <w:lvlText w:val=""/>
      <w:lvlJc w:val="left"/>
      <w:pPr>
        <w:ind w:left="6120" w:hanging="360"/>
      </w:pPr>
      <w:rPr>
        <w:rFonts w:ascii="Symbol" w:hAnsi="Symbol" w:hint="default"/>
      </w:rPr>
    </w:lvl>
    <w:lvl w:ilvl="7" w:tplc="30090003" w:tentative="1">
      <w:start w:val="1"/>
      <w:numFmt w:val="bullet"/>
      <w:lvlText w:val="o"/>
      <w:lvlJc w:val="left"/>
      <w:pPr>
        <w:ind w:left="6840" w:hanging="360"/>
      </w:pPr>
      <w:rPr>
        <w:rFonts w:ascii="Courier New" w:hAnsi="Courier New" w:cs="Courier New" w:hint="default"/>
      </w:rPr>
    </w:lvl>
    <w:lvl w:ilvl="8" w:tplc="30090005" w:tentative="1">
      <w:start w:val="1"/>
      <w:numFmt w:val="bullet"/>
      <w:lvlText w:val=""/>
      <w:lvlJc w:val="left"/>
      <w:pPr>
        <w:ind w:left="7560" w:hanging="360"/>
      </w:pPr>
      <w:rPr>
        <w:rFonts w:ascii="Wingdings" w:hAnsi="Wingdings" w:hint="default"/>
      </w:rPr>
    </w:lvl>
  </w:abstractNum>
  <w:abstractNum w:abstractNumId="18" w15:restartNumberingAfterBreak="0">
    <w:nsid w:val="46D10756"/>
    <w:multiLevelType w:val="hybridMultilevel"/>
    <w:tmpl w:val="39863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29608C"/>
    <w:multiLevelType w:val="hybridMultilevel"/>
    <w:tmpl w:val="E5860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E6236B"/>
    <w:multiLevelType w:val="hybridMultilevel"/>
    <w:tmpl w:val="D2603F36"/>
    <w:lvl w:ilvl="0" w:tplc="AC7461B4">
      <w:start w:val="1"/>
      <w:numFmt w:val="lowerLetter"/>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21" w15:restartNumberingAfterBreak="0">
    <w:nsid w:val="54366E14"/>
    <w:multiLevelType w:val="hybridMultilevel"/>
    <w:tmpl w:val="7390EA22"/>
    <w:lvl w:ilvl="0" w:tplc="C85AB00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15:restartNumberingAfterBreak="0">
    <w:nsid w:val="565F4204"/>
    <w:multiLevelType w:val="hybridMultilevel"/>
    <w:tmpl w:val="BB3C769E"/>
    <w:lvl w:ilvl="0" w:tplc="A99A273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15:restartNumberingAfterBreak="0">
    <w:nsid w:val="5BB45224"/>
    <w:multiLevelType w:val="hybridMultilevel"/>
    <w:tmpl w:val="E7BE2998"/>
    <w:lvl w:ilvl="0" w:tplc="C08646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C2070AE"/>
    <w:multiLevelType w:val="hybridMultilevel"/>
    <w:tmpl w:val="F266F6B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 w15:restartNumberingAfterBreak="0">
    <w:nsid w:val="5C4A3E6B"/>
    <w:multiLevelType w:val="hybridMultilevel"/>
    <w:tmpl w:val="8BCA2D24"/>
    <w:lvl w:ilvl="0" w:tplc="88DE55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A37FD3"/>
    <w:multiLevelType w:val="hybridMultilevel"/>
    <w:tmpl w:val="D5BAE4EA"/>
    <w:lvl w:ilvl="0" w:tplc="CC0091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F296A2A"/>
    <w:multiLevelType w:val="hybridMultilevel"/>
    <w:tmpl w:val="119AA7E2"/>
    <w:lvl w:ilvl="0" w:tplc="394688C2">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FB7A68"/>
    <w:multiLevelType w:val="hybridMultilevel"/>
    <w:tmpl w:val="BDF60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5754BE"/>
    <w:multiLevelType w:val="hybridMultilevel"/>
    <w:tmpl w:val="9C5876A0"/>
    <w:lvl w:ilvl="0" w:tplc="AA04DE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EAD2BB3"/>
    <w:multiLevelType w:val="hybridMultilevel"/>
    <w:tmpl w:val="B08096A4"/>
    <w:lvl w:ilvl="0" w:tplc="650CDD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C94474"/>
    <w:multiLevelType w:val="hybridMultilevel"/>
    <w:tmpl w:val="232A74FA"/>
    <w:lvl w:ilvl="0" w:tplc="1ECA92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0304263"/>
    <w:multiLevelType w:val="hybridMultilevel"/>
    <w:tmpl w:val="6964899E"/>
    <w:lvl w:ilvl="0" w:tplc="150CE5D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3" w15:restartNumberingAfterBreak="0">
    <w:nsid w:val="73A260DD"/>
    <w:multiLevelType w:val="hybridMultilevel"/>
    <w:tmpl w:val="67C44812"/>
    <w:lvl w:ilvl="0" w:tplc="615EB5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A5D0EC3"/>
    <w:multiLevelType w:val="hybridMultilevel"/>
    <w:tmpl w:val="0A7A51CA"/>
    <w:lvl w:ilvl="0" w:tplc="D834CA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BEC7317"/>
    <w:multiLevelType w:val="hybridMultilevel"/>
    <w:tmpl w:val="28F82F02"/>
    <w:lvl w:ilvl="0" w:tplc="C9F676A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E9E4F49"/>
    <w:multiLevelType w:val="hybridMultilevel"/>
    <w:tmpl w:val="75B8A838"/>
    <w:lvl w:ilvl="0" w:tplc="BD9445EA">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1"/>
  </w:num>
  <w:num w:numId="2">
    <w:abstractNumId w:val="18"/>
  </w:num>
  <w:num w:numId="3">
    <w:abstractNumId w:val="36"/>
  </w:num>
  <w:num w:numId="4">
    <w:abstractNumId w:val="20"/>
  </w:num>
  <w:num w:numId="5">
    <w:abstractNumId w:val="11"/>
  </w:num>
  <w:num w:numId="6">
    <w:abstractNumId w:val="17"/>
  </w:num>
  <w:num w:numId="7">
    <w:abstractNumId w:val="16"/>
  </w:num>
  <w:num w:numId="8">
    <w:abstractNumId w:val="12"/>
  </w:num>
  <w:num w:numId="9">
    <w:abstractNumId w:val="0"/>
  </w:num>
  <w:num w:numId="10">
    <w:abstractNumId w:val="7"/>
  </w:num>
  <w:num w:numId="11">
    <w:abstractNumId w:val="21"/>
  </w:num>
  <w:num w:numId="12">
    <w:abstractNumId w:val="5"/>
  </w:num>
  <w:num w:numId="13">
    <w:abstractNumId w:val="32"/>
  </w:num>
  <w:num w:numId="14">
    <w:abstractNumId w:val="9"/>
  </w:num>
  <w:num w:numId="15">
    <w:abstractNumId w:val="22"/>
  </w:num>
  <w:num w:numId="16">
    <w:abstractNumId w:val="24"/>
  </w:num>
  <w:num w:numId="17">
    <w:abstractNumId w:val="2"/>
  </w:num>
  <w:num w:numId="18">
    <w:abstractNumId w:val="28"/>
  </w:num>
  <w:num w:numId="19">
    <w:abstractNumId w:val="6"/>
  </w:num>
  <w:num w:numId="20">
    <w:abstractNumId w:val="31"/>
  </w:num>
  <w:num w:numId="21">
    <w:abstractNumId w:val="3"/>
  </w:num>
  <w:num w:numId="22">
    <w:abstractNumId w:val="29"/>
  </w:num>
  <w:num w:numId="23">
    <w:abstractNumId w:val="14"/>
  </w:num>
  <w:num w:numId="24">
    <w:abstractNumId w:val="10"/>
  </w:num>
  <w:num w:numId="25">
    <w:abstractNumId w:val="34"/>
  </w:num>
  <w:num w:numId="26">
    <w:abstractNumId w:val="4"/>
  </w:num>
  <w:num w:numId="27">
    <w:abstractNumId w:val="13"/>
  </w:num>
  <w:num w:numId="28">
    <w:abstractNumId w:val="8"/>
  </w:num>
  <w:num w:numId="29">
    <w:abstractNumId w:val="19"/>
  </w:num>
  <w:num w:numId="30">
    <w:abstractNumId w:val="35"/>
  </w:num>
  <w:num w:numId="31">
    <w:abstractNumId w:val="15"/>
  </w:num>
  <w:num w:numId="32">
    <w:abstractNumId w:val="23"/>
  </w:num>
  <w:num w:numId="33">
    <w:abstractNumId w:val="33"/>
  </w:num>
  <w:num w:numId="34">
    <w:abstractNumId w:val="25"/>
  </w:num>
  <w:num w:numId="35">
    <w:abstractNumId w:val="27"/>
  </w:num>
  <w:num w:numId="36">
    <w:abstractNumId w:val="30"/>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DAxMbEwtbA0MjEzNzRV0lEKTi0uzszPAykwrgUAq7ZWpSwAAAA="/>
  </w:docVars>
  <w:rsids>
    <w:rsidRoot w:val="005A4D7A"/>
    <w:rsid w:val="0000065C"/>
    <w:rsid w:val="0000187D"/>
    <w:rsid w:val="000032D1"/>
    <w:rsid w:val="00003953"/>
    <w:rsid w:val="00003ADC"/>
    <w:rsid w:val="000071B8"/>
    <w:rsid w:val="0001001B"/>
    <w:rsid w:val="00014283"/>
    <w:rsid w:val="00015011"/>
    <w:rsid w:val="00016103"/>
    <w:rsid w:val="00016290"/>
    <w:rsid w:val="000178BC"/>
    <w:rsid w:val="00020014"/>
    <w:rsid w:val="0002003E"/>
    <w:rsid w:val="00024984"/>
    <w:rsid w:val="0002538E"/>
    <w:rsid w:val="00036F12"/>
    <w:rsid w:val="0003708D"/>
    <w:rsid w:val="00037E77"/>
    <w:rsid w:val="00040C2D"/>
    <w:rsid w:val="000437A6"/>
    <w:rsid w:val="00047457"/>
    <w:rsid w:val="00051896"/>
    <w:rsid w:val="00051BCE"/>
    <w:rsid w:val="00056938"/>
    <w:rsid w:val="000571B7"/>
    <w:rsid w:val="00060409"/>
    <w:rsid w:val="000611E9"/>
    <w:rsid w:val="0006233A"/>
    <w:rsid w:val="000642DE"/>
    <w:rsid w:val="00064E21"/>
    <w:rsid w:val="00066EA2"/>
    <w:rsid w:val="000672F9"/>
    <w:rsid w:val="00067E90"/>
    <w:rsid w:val="0007298F"/>
    <w:rsid w:val="00074684"/>
    <w:rsid w:val="0007745C"/>
    <w:rsid w:val="00080A17"/>
    <w:rsid w:val="00080CB4"/>
    <w:rsid w:val="00081C16"/>
    <w:rsid w:val="00084474"/>
    <w:rsid w:val="00086001"/>
    <w:rsid w:val="000865EA"/>
    <w:rsid w:val="00090A23"/>
    <w:rsid w:val="00092CAF"/>
    <w:rsid w:val="000952B7"/>
    <w:rsid w:val="000962C6"/>
    <w:rsid w:val="000965BC"/>
    <w:rsid w:val="0009791D"/>
    <w:rsid w:val="000A59D6"/>
    <w:rsid w:val="000A5B71"/>
    <w:rsid w:val="000A6E82"/>
    <w:rsid w:val="000B67D7"/>
    <w:rsid w:val="000B7869"/>
    <w:rsid w:val="000C2DF8"/>
    <w:rsid w:val="000D04FF"/>
    <w:rsid w:val="000D059C"/>
    <w:rsid w:val="000D0B80"/>
    <w:rsid w:val="000D0D48"/>
    <w:rsid w:val="000D534A"/>
    <w:rsid w:val="000D58E2"/>
    <w:rsid w:val="000D71D6"/>
    <w:rsid w:val="000E04DE"/>
    <w:rsid w:val="000E0734"/>
    <w:rsid w:val="000E158A"/>
    <w:rsid w:val="000E203B"/>
    <w:rsid w:val="000E2799"/>
    <w:rsid w:val="000E4218"/>
    <w:rsid w:val="000F17BB"/>
    <w:rsid w:val="000F1D04"/>
    <w:rsid w:val="000F26B8"/>
    <w:rsid w:val="000F2A05"/>
    <w:rsid w:val="000F3663"/>
    <w:rsid w:val="000F4196"/>
    <w:rsid w:val="000F5D3E"/>
    <w:rsid w:val="000F5F75"/>
    <w:rsid w:val="00102516"/>
    <w:rsid w:val="0010433B"/>
    <w:rsid w:val="00104513"/>
    <w:rsid w:val="00111097"/>
    <w:rsid w:val="001136B2"/>
    <w:rsid w:val="00113940"/>
    <w:rsid w:val="00116A7B"/>
    <w:rsid w:val="001204CB"/>
    <w:rsid w:val="00122F4E"/>
    <w:rsid w:val="001230D1"/>
    <w:rsid w:val="00123848"/>
    <w:rsid w:val="001243E4"/>
    <w:rsid w:val="00126FFE"/>
    <w:rsid w:val="00127598"/>
    <w:rsid w:val="00134BA3"/>
    <w:rsid w:val="001360A5"/>
    <w:rsid w:val="00136D44"/>
    <w:rsid w:val="00141FC5"/>
    <w:rsid w:val="00146041"/>
    <w:rsid w:val="00150C62"/>
    <w:rsid w:val="00151BAF"/>
    <w:rsid w:val="001528F8"/>
    <w:rsid w:val="001532D5"/>
    <w:rsid w:val="00153963"/>
    <w:rsid w:val="001550E0"/>
    <w:rsid w:val="00155A31"/>
    <w:rsid w:val="00156C59"/>
    <w:rsid w:val="00160404"/>
    <w:rsid w:val="0016302F"/>
    <w:rsid w:val="00166C56"/>
    <w:rsid w:val="0016794A"/>
    <w:rsid w:val="00171E1D"/>
    <w:rsid w:val="001739C2"/>
    <w:rsid w:val="00193316"/>
    <w:rsid w:val="00193712"/>
    <w:rsid w:val="00194E72"/>
    <w:rsid w:val="00196891"/>
    <w:rsid w:val="00197BA6"/>
    <w:rsid w:val="001A0769"/>
    <w:rsid w:val="001A0DED"/>
    <w:rsid w:val="001A36C2"/>
    <w:rsid w:val="001A4C1C"/>
    <w:rsid w:val="001A5712"/>
    <w:rsid w:val="001B1927"/>
    <w:rsid w:val="001B19B6"/>
    <w:rsid w:val="001C1FD5"/>
    <w:rsid w:val="001C2442"/>
    <w:rsid w:val="001C5CAC"/>
    <w:rsid w:val="001D0246"/>
    <w:rsid w:val="001D681C"/>
    <w:rsid w:val="001D69CA"/>
    <w:rsid w:val="001E0FF1"/>
    <w:rsid w:val="001E2CB7"/>
    <w:rsid w:val="001E3A2E"/>
    <w:rsid w:val="001E3F92"/>
    <w:rsid w:val="001E4D55"/>
    <w:rsid w:val="001E67D3"/>
    <w:rsid w:val="001F09AE"/>
    <w:rsid w:val="001F26A1"/>
    <w:rsid w:val="001F34A3"/>
    <w:rsid w:val="001F66F3"/>
    <w:rsid w:val="0020295A"/>
    <w:rsid w:val="00207778"/>
    <w:rsid w:val="00210AA3"/>
    <w:rsid w:val="0021311B"/>
    <w:rsid w:val="002135CB"/>
    <w:rsid w:val="00214036"/>
    <w:rsid w:val="00216164"/>
    <w:rsid w:val="0021673D"/>
    <w:rsid w:val="00220E57"/>
    <w:rsid w:val="002221C2"/>
    <w:rsid w:val="00222C3C"/>
    <w:rsid w:val="0022768B"/>
    <w:rsid w:val="002320CE"/>
    <w:rsid w:val="002327DD"/>
    <w:rsid w:val="00232A80"/>
    <w:rsid w:val="00233AEE"/>
    <w:rsid w:val="00240C5D"/>
    <w:rsid w:val="00241B7C"/>
    <w:rsid w:val="0024231A"/>
    <w:rsid w:val="0024550C"/>
    <w:rsid w:val="00245C7E"/>
    <w:rsid w:val="002506EF"/>
    <w:rsid w:val="00254367"/>
    <w:rsid w:val="00256EB3"/>
    <w:rsid w:val="00260491"/>
    <w:rsid w:val="002610EF"/>
    <w:rsid w:val="0026143F"/>
    <w:rsid w:val="00261F3E"/>
    <w:rsid w:val="00264E2F"/>
    <w:rsid w:val="00272EAD"/>
    <w:rsid w:val="002760A7"/>
    <w:rsid w:val="0028493F"/>
    <w:rsid w:val="002850F5"/>
    <w:rsid w:val="00285E64"/>
    <w:rsid w:val="002862F4"/>
    <w:rsid w:val="002912A6"/>
    <w:rsid w:val="002918E2"/>
    <w:rsid w:val="00293088"/>
    <w:rsid w:val="00293B8C"/>
    <w:rsid w:val="002955E3"/>
    <w:rsid w:val="002A0A83"/>
    <w:rsid w:val="002A3CB3"/>
    <w:rsid w:val="002A6F91"/>
    <w:rsid w:val="002B4D4B"/>
    <w:rsid w:val="002D1758"/>
    <w:rsid w:val="002D2D9C"/>
    <w:rsid w:val="002D34A3"/>
    <w:rsid w:val="002E2667"/>
    <w:rsid w:val="002E6FBD"/>
    <w:rsid w:val="002F05E9"/>
    <w:rsid w:val="002F183A"/>
    <w:rsid w:val="002F286B"/>
    <w:rsid w:val="002F2B5B"/>
    <w:rsid w:val="002F60DF"/>
    <w:rsid w:val="0030244B"/>
    <w:rsid w:val="00302E9F"/>
    <w:rsid w:val="0030548C"/>
    <w:rsid w:val="00306E52"/>
    <w:rsid w:val="0031037A"/>
    <w:rsid w:val="00310778"/>
    <w:rsid w:val="0031216D"/>
    <w:rsid w:val="003126EF"/>
    <w:rsid w:val="003128D2"/>
    <w:rsid w:val="00312EB5"/>
    <w:rsid w:val="00315EF8"/>
    <w:rsid w:val="00316234"/>
    <w:rsid w:val="003269B4"/>
    <w:rsid w:val="0032732D"/>
    <w:rsid w:val="0033158A"/>
    <w:rsid w:val="00335F89"/>
    <w:rsid w:val="00337377"/>
    <w:rsid w:val="00337DAA"/>
    <w:rsid w:val="003414FF"/>
    <w:rsid w:val="003416A3"/>
    <w:rsid w:val="00345AEE"/>
    <w:rsid w:val="003463B3"/>
    <w:rsid w:val="0034645B"/>
    <w:rsid w:val="00350971"/>
    <w:rsid w:val="00350B7A"/>
    <w:rsid w:val="00350E8E"/>
    <w:rsid w:val="00355D5A"/>
    <w:rsid w:val="00356BD2"/>
    <w:rsid w:val="003612A4"/>
    <w:rsid w:val="00362A1A"/>
    <w:rsid w:val="00363C81"/>
    <w:rsid w:val="003648FB"/>
    <w:rsid w:val="003676D6"/>
    <w:rsid w:val="003713EA"/>
    <w:rsid w:val="0037364A"/>
    <w:rsid w:val="00375350"/>
    <w:rsid w:val="00376C8F"/>
    <w:rsid w:val="00384ACD"/>
    <w:rsid w:val="003919A9"/>
    <w:rsid w:val="00391D01"/>
    <w:rsid w:val="00392198"/>
    <w:rsid w:val="00393314"/>
    <w:rsid w:val="003937C0"/>
    <w:rsid w:val="0039522E"/>
    <w:rsid w:val="0039564B"/>
    <w:rsid w:val="00395ACD"/>
    <w:rsid w:val="00397C25"/>
    <w:rsid w:val="003A0463"/>
    <w:rsid w:val="003A20F2"/>
    <w:rsid w:val="003A6699"/>
    <w:rsid w:val="003A67B7"/>
    <w:rsid w:val="003A7DFB"/>
    <w:rsid w:val="003B04C6"/>
    <w:rsid w:val="003B089D"/>
    <w:rsid w:val="003B46C1"/>
    <w:rsid w:val="003B5F17"/>
    <w:rsid w:val="003B7670"/>
    <w:rsid w:val="003C00A5"/>
    <w:rsid w:val="003D16C4"/>
    <w:rsid w:val="003D2D31"/>
    <w:rsid w:val="003D3A9D"/>
    <w:rsid w:val="003E1C79"/>
    <w:rsid w:val="003E2799"/>
    <w:rsid w:val="003E2A69"/>
    <w:rsid w:val="003E3469"/>
    <w:rsid w:val="003E3FBE"/>
    <w:rsid w:val="003F16BA"/>
    <w:rsid w:val="003F1C94"/>
    <w:rsid w:val="003F1C99"/>
    <w:rsid w:val="003F2E9C"/>
    <w:rsid w:val="003F46E1"/>
    <w:rsid w:val="003F6A14"/>
    <w:rsid w:val="003F7E0D"/>
    <w:rsid w:val="004006A1"/>
    <w:rsid w:val="00400F8F"/>
    <w:rsid w:val="00401C12"/>
    <w:rsid w:val="00405423"/>
    <w:rsid w:val="00406540"/>
    <w:rsid w:val="00406705"/>
    <w:rsid w:val="0041120D"/>
    <w:rsid w:val="00411EA8"/>
    <w:rsid w:val="0041384D"/>
    <w:rsid w:val="0041406F"/>
    <w:rsid w:val="004169FF"/>
    <w:rsid w:val="004233D1"/>
    <w:rsid w:val="00426038"/>
    <w:rsid w:val="00427E63"/>
    <w:rsid w:val="00430154"/>
    <w:rsid w:val="004316E9"/>
    <w:rsid w:val="00434024"/>
    <w:rsid w:val="004348C6"/>
    <w:rsid w:val="004354B9"/>
    <w:rsid w:val="00436BCA"/>
    <w:rsid w:val="00437249"/>
    <w:rsid w:val="00440149"/>
    <w:rsid w:val="00440FE6"/>
    <w:rsid w:val="0044147E"/>
    <w:rsid w:val="00442BE2"/>
    <w:rsid w:val="00445A14"/>
    <w:rsid w:val="00446C70"/>
    <w:rsid w:val="00447503"/>
    <w:rsid w:val="0045012B"/>
    <w:rsid w:val="0045356E"/>
    <w:rsid w:val="00454A48"/>
    <w:rsid w:val="00461487"/>
    <w:rsid w:val="0046215A"/>
    <w:rsid w:val="004633DB"/>
    <w:rsid w:val="004655E0"/>
    <w:rsid w:val="0047026A"/>
    <w:rsid w:val="00471C5C"/>
    <w:rsid w:val="00472847"/>
    <w:rsid w:val="00473A3E"/>
    <w:rsid w:val="00480ADB"/>
    <w:rsid w:val="0048216B"/>
    <w:rsid w:val="00482354"/>
    <w:rsid w:val="00483E55"/>
    <w:rsid w:val="00486278"/>
    <w:rsid w:val="004906BC"/>
    <w:rsid w:val="0049394A"/>
    <w:rsid w:val="00494246"/>
    <w:rsid w:val="0049730D"/>
    <w:rsid w:val="004A3FB2"/>
    <w:rsid w:val="004A61A8"/>
    <w:rsid w:val="004B01BD"/>
    <w:rsid w:val="004B10DD"/>
    <w:rsid w:val="004B158B"/>
    <w:rsid w:val="004B317E"/>
    <w:rsid w:val="004B56B5"/>
    <w:rsid w:val="004B6342"/>
    <w:rsid w:val="004B682A"/>
    <w:rsid w:val="004B6F2C"/>
    <w:rsid w:val="004B73BD"/>
    <w:rsid w:val="004C01D6"/>
    <w:rsid w:val="004C1893"/>
    <w:rsid w:val="004C6E2F"/>
    <w:rsid w:val="004D0E53"/>
    <w:rsid w:val="004D1790"/>
    <w:rsid w:val="004D20EB"/>
    <w:rsid w:val="004D2C1C"/>
    <w:rsid w:val="004D3C5A"/>
    <w:rsid w:val="004D529D"/>
    <w:rsid w:val="004D7023"/>
    <w:rsid w:val="004E1ABB"/>
    <w:rsid w:val="004E1CA6"/>
    <w:rsid w:val="004E2DB6"/>
    <w:rsid w:val="004E3AB8"/>
    <w:rsid w:val="004E6230"/>
    <w:rsid w:val="004F10AC"/>
    <w:rsid w:val="004F3423"/>
    <w:rsid w:val="0050074A"/>
    <w:rsid w:val="00500A5F"/>
    <w:rsid w:val="005021DD"/>
    <w:rsid w:val="00503F0D"/>
    <w:rsid w:val="00510068"/>
    <w:rsid w:val="00513957"/>
    <w:rsid w:val="005179AE"/>
    <w:rsid w:val="00517EBD"/>
    <w:rsid w:val="00521D1E"/>
    <w:rsid w:val="00522AE8"/>
    <w:rsid w:val="005235E2"/>
    <w:rsid w:val="005246A8"/>
    <w:rsid w:val="00530CAF"/>
    <w:rsid w:val="00536DD0"/>
    <w:rsid w:val="00541304"/>
    <w:rsid w:val="00541615"/>
    <w:rsid w:val="0054216A"/>
    <w:rsid w:val="00545E10"/>
    <w:rsid w:val="00550006"/>
    <w:rsid w:val="00551345"/>
    <w:rsid w:val="005542E0"/>
    <w:rsid w:val="00554DDE"/>
    <w:rsid w:val="0055781E"/>
    <w:rsid w:val="00565C43"/>
    <w:rsid w:val="00570DA7"/>
    <w:rsid w:val="00572285"/>
    <w:rsid w:val="0057514A"/>
    <w:rsid w:val="00576AB1"/>
    <w:rsid w:val="00582248"/>
    <w:rsid w:val="00582299"/>
    <w:rsid w:val="0058439D"/>
    <w:rsid w:val="00585ADB"/>
    <w:rsid w:val="005907B6"/>
    <w:rsid w:val="005A4D7A"/>
    <w:rsid w:val="005A7000"/>
    <w:rsid w:val="005A7777"/>
    <w:rsid w:val="005B0A12"/>
    <w:rsid w:val="005B1138"/>
    <w:rsid w:val="005B7086"/>
    <w:rsid w:val="005C1FE9"/>
    <w:rsid w:val="005C4004"/>
    <w:rsid w:val="005C4C0C"/>
    <w:rsid w:val="005C70F6"/>
    <w:rsid w:val="005D29EF"/>
    <w:rsid w:val="005D37E8"/>
    <w:rsid w:val="005D4419"/>
    <w:rsid w:val="005D5403"/>
    <w:rsid w:val="005E3DC3"/>
    <w:rsid w:val="005E53B8"/>
    <w:rsid w:val="005E5CDB"/>
    <w:rsid w:val="005F3CDC"/>
    <w:rsid w:val="00602A43"/>
    <w:rsid w:val="00603CBA"/>
    <w:rsid w:val="0060785B"/>
    <w:rsid w:val="00607D87"/>
    <w:rsid w:val="006126E2"/>
    <w:rsid w:val="006133AF"/>
    <w:rsid w:val="0061454C"/>
    <w:rsid w:val="00617518"/>
    <w:rsid w:val="006212E7"/>
    <w:rsid w:val="00624989"/>
    <w:rsid w:val="00625475"/>
    <w:rsid w:val="006312A6"/>
    <w:rsid w:val="006334B3"/>
    <w:rsid w:val="006345EC"/>
    <w:rsid w:val="006358B4"/>
    <w:rsid w:val="00635CC0"/>
    <w:rsid w:val="00643EFC"/>
    <w:rsid w:val="00646519"/>
    <w:rsid w:val="00650456"/>
    <w:rsid w:val="00651661"/>
    <w:rsid w:val="00651C0C"/>
    <w:rsid w:val="006522CB"/>
    <w:rsid w:val="00654D61"/>
    <w:rsid w:val="00656189"/>
    <w:rsid w:val="0065777F"/>
    <w:rsid w:val="006621C8"/>
    <w:rsid w:val="0066397C"/>
    <w:rsid w:val="00664246"/>
    <w:rsid w:val="00664375"/>
    <w:rsid w:val="0066779B"/>
    <w:rsid w:val="00671F28"/>
    <w:rsid w:val="0068119E"/>
    <w:rsid w:val="0068294A"/>
    <w:rsid w:val="00682F2E"/>
    <w:rsid w:val="00684658"/>
    <w:rsid w:val="00684BCF"/>
    <w:rsid w:val="00686691"/>
    <w:rsid w:val="006871EE"/>
    <w:rsid w:val="00687741"/>
    <w:rsid w:val="00690749"/>
    <w:rsid w:val="00690812"/>
    <w:rsid w:val="00690BD4"/>
    <w:rsid w:val="006924AE"/>
    <w:rsid w:val="00692503"/>
    <w:rsid w:val="00693119"/>
    <w:rsid w:val="00693980"/>
    <w:rsid w:val="00694EE5"/>
    <w:rsid w:val="006967A1"/>
    <w:rsid w:val="006A3152"/>
    <w:rsid w:val="006A51AA"/>
    <w:rsid w:val="006B2068"/>
    <w:rsid w:val="006B30B6"/>
    <w:rsid w:val="006B5F55"/>
    <w:rsid w:val="006C2FAA"/>
    <w:rsid w:val="006C4C49"/>
    <w:rsid w:val="006C66F5"/>
    <w:rsid w:val="006D7540"/>
    <w:rsid w:val="006D79A6"/>
    <w:rsid w:val="006D7B81"/>
    <w:rsid w:val="006E3078"/>
    <w:rsid w:val="006E320A"/>
    <w:rsid w:val="006E4F06"/>
    <w:rsid w:val="006E58AE"/>
    <w:rsid w:val="006E65FF"/>
    <w:rsid w:val="006F1C05"/>
    <w:rsid w:val="006F4D38"/>
    <w:rsid w:val="006F623A"/>
    <w:rsid w:val="00701654"/>
    <w:rsid w:val="007036FF"/>
    <w:rsid w:val="00707C19"/>
    <w:rsid w:val="00710177"/>
    <w:rsid w:val="00715755"/>
    <w:rsid w:val="00717EC6"/>
    <w:rsid w:val="00725659"/>
    <w:rsid w:val="00726400"/>
    <w:rsid w:val="007356A8"/>
    <w:rsid w:val="00735D94"/>
    <w:rsid w:val="00741D2E"/>
    <w:rsid w:val="00742142"/>
    <w:rsid w:val="00743437"/>
    <w:rsid w:val="00743671"/>
    <w:rsid w:val="00744F95"/>
    <w:rsid w:val="00745A88"/>
    <w:rsid w:val="00745DDE"/>
    <w:rsid w:val="00751708"/>
    <w:rsid w:val="00751B16"/>
    <w:rsid w:val="0075667E"/>
    <w:rsid w:val="00757882"/>
    <w:rsid w:val="007604BD"/>
    <w:rsid w:val="0076159A"/>
    <w:rsid w:val="00763074"/>
    <w:rsid w:val="007645BC"/>
    <w:rsid w:val="00766A26"/>
    <w:rsid w:val="00771BAA"/>
    <w:rsid w:val="007732FE"/>
    <w:rsid w:val="00774077"/>
    <w:rsid w:val="00774454"/>
    <w:rsid w:val="00781B19"/>
    <w:rsid w:val="00781CE6"/>
    <w:rsid w:val="00782208"/>
    <w:rsid w:val="00782EBD"/>
    <w:rsid w:val="00784CC2"/>
    <w:rsid w:val="0078604C"/>
    <w:rsid w:val="0079468A"/>
    <w:rsid w:val="00794C5B"/>
    <w:rsid w:val="00797CDD"/>
    <w:rsid w:val="007A4D77"/>
    <w:rsid w:val="007A5964"/>
    <w:rsid w:val="007A7354"/>
    <w:rsid w:val="007B2FED"/>
    <w:rsid w:val="007B4C9B"/>
    <w:rsid w:val="007C312C"/>
    <w:rsid w:val="007C5075"/>
    <w:rsid w:val="007C5FC8"/>
    <w:rsid w:val="007C6ADB"/>
    <w:rsid w:val="007C7407"/>
    <w:rsid w:val="007D021B"/>
    <w:rsid w:val="007D3D7E"/>
    <w:rsid w:val="007E2071"/>
    <w:rsid w:val="007E4A9B"/>
    <w:rsid w:val="007E531D"/>
    <w:rsid w:val="007E61CA"/>
    <w:rsid w:val="007E6236"/>
    <w:rsid w:val="007F13A7"/>
    <w:rsid w:val="007F548B"/>
    <w:rsid w:val="007F6C87"/>
    <w:rsid w:val="0080043C"/>
    <w:rsid w:val="00800AA5"/>
    <w:rsid w:val="008019B6"/>
    <w:rsid w:val="00804E6A"/>
    <w:rsid w:val="008059A6"/>
    <w:rsid w:val="00806989"/>
    <w:rsid w:val="00806DA7"/>
    <w:rsid w:val="0081259F"/>
    <w:rsid w:val="0081551A"/>
    <w:rsid w:val="0082157B"/>
    <w:rsid w:val="008332ED"/>
    <w:rsid w:val="008350EF"/>
    <w:rsid w:val="008352B8"/>
    <w:rsid w:val="0083785C"/>
    <w:rsid w:val="0084029F"/>
    <w:rsid w:val="00844403"/>
    <w:rsid w:val="00861F9C"/>
    <w:rsid w:val="0086470B"/>
    <w:rsid w:val="00865937"/>
    <w:rsid w:val="00866CC9"/>
    <w:rsid w:val="00870ED5"/>
    <w:rsid w:val="0087256C"/>
    <w:rsid w:val="00880747"/>
    <w:rsid w:val="00890055"/>
    <w:rsid w:val="00890C2B"/>
    <w:rsid w:val="0089437C"/>
    <w:rsid w:val="00895640"/>
    <w:rsid w:val="008978E6"/>
    <w:rsid w:val="008A0AA3"/>
    <w:rsid w:val="008A0B77"/>
    <w:rsid w:val="008A13E0"/>
    <w:rsid w:val="008A1E93"/>
    <w:rsid w:val="008A4817"/>
    <w:rsid w:val="008B5ABF"/>
    <w:rsid w:val="008B6914"/>
    <w:rsid w:val="008C0425"/>
    <w:rsid w:val="008C362C"/>
    <w:rsid w:val="008D070F"/>
    <w:rsid w:val="008E05A8"/>
    <w:rsid w:val="008E1D64"/>
    <w:rsid w:val="008E7622"/>
    <w:rsid w:val="008F555E"/>
    <w:rsid w:val="009000AB"/>
    <w:rsid w:val="00900FA8"/>
    <w:rsid w:val="009029C2"/>
    <w:rsid w:val="00903A86"/>
    <w:rsid w:val="0090407F"/>
    <w:rsid w:val="00904216"/>
    <w:rsid w:val="00916FBE"/>
    <w:rsid w:val="0092009B"/>
    <w:rsid w:val="0092043A"/>
    <w:rsid w:val="00927BE1"/>
    <w:rsid w:val="009371D8"/>
    <w:rsid w:val="00944FD8"/>
    <w:rsid w:val="00946125"/>
    <w:rsid w:val="009468D8"/>
    <w:rsid w:val="00952A7F"/>
    <w:rsid w:val="009537B3"/>
    <w:rsid w:val="009539AD"/>
    <w:rsid w:val="00955031"/>
    <w:rsid w:val="00955404"/>
    <w:rsid w:val="0095610F"/>
    <w:rsid w:val="00956603"/>
    <w:rsid w:val="009649BC"/>
    <w:rsid w:val="009662B4"/>
    <w:rsid w:val="00970CB3"/>
    <w:rsid w:val="00971039"/>
    <w:rsid w:val="00973C82"/>
    <w:rsid w:val="0097512A"/>
    <w:rsid w:val="009771F7"/>
    <w:rsid w:val="009836AE"/>
    <w:rsid w:val="009856EF"/>
    <w:rsid w:val="00994144"/>
    <w:rsid w:val="00994226"/>
    <w:rsid w:val="009A304E"/>
    <w:rsid w:val="009A35C7"/>
    <w:rsid w:val="009A3715"/>
    <w:rsid w:val="009A3D40"/>
    <w:rsid w:val="009A5E66"/>
    <w:rsid w:val="009A7838"/>
    <w:rsid w:val="009B04BD"/>
    <w:rsid w:val="009B2188"/>
    <w:rsid w:val="009B4BAB"/>
    <w:rsid w:val="009B76FE"/>
    <w:rsid w:val="009B77C1"/>
    <w:rsid w:val="009C0AD8"/>
    <w:rsid w:val="009C18C8"/>
    <w:rsid w:val="009C5C99"/>
    <w:rsid w:val="009D4C6C"/>
    <w:rsid w:val="009D5DC1"/>
    <w:rsid w:val="009E026D"/>
    <w:rsid w:val="009E057B"/>
    <w:rsid w:val="009E0ABA"/>
    <w:rsid w:val="009E0C7B"/>
    <w:rsid w:val="009E136D"/>
    <w:rsid w:val="009E2C74"/>
    <w:rsid w:val="009E41AC"/>
    <w:rsid w:val="009F1254"/>
    <w:rsid w:val="009F1E10"/>
    <w:rsid w:val="009F1EE6"/>
    <w:rsid w:val="009F31ED"/>
    <w:rsid w:val="009F328A"/>
    <w:rsid w:val="009F5882"/>
    <w:rsid w:val="00A113D8"/>
    <w:rsid w:val="00A15259"/>
    <w:rsid w:val="00A17652"/>
    <w:rsid w:val="00A24270"/>
    <w:rsid w:val="00A264C8"/>
    <w:rsid w:val="00A317EA"/>
    <w:rsid w:val="00A33DFA"/>
    <w:rsid w:val="00A34C5A"/>
    <w:rsid w:val="00A43366"/>
    <w:rsid w:val="00A4642F"/>
    <w:rsid w:val="00A47856"/>
    <w:rsid w:val="00A51299"/>
    <w:rsid w:val="00A55111"/>
    <w:rsid w:val="00A55D96"/>
    <w:rsid w:val="00A60AB7"/>
    <w:rsid w:val="00A61D81"/>
    <w:rsid w:val="00A648DF"/>
    <w:rsid w:val="00A70D91"/>
    <w:rsid w:val="00A72B47"/>
    <w:rsid w:val="00A7475A"/>
    <w:rsid w:val="00A77D68"/>
    <w:rsid w:val="00A800BF"/>
    <w:rsid w:val="00A81FE3"/>
    <w:rsid w:val="00A831D8"/>
    <w:rsid w:val="00A83860"/>
    <w:rsid w:val="00A83ECD"/>
    <w:rsid w:val="00A87CA1"/>
    <w:rsid w:val="00A9221D"/>
    <w:rsid w:val="00AA243F"/>
    <w:rsid w:val="00AA285B"/>
    <w:rsid w:val="00AA30A6"/>
    <w:rsid w:val="00AA3FA5"/>
    <w:rsid w:val="00AB30DC"/>
    <w:rsid w:val="00AB5B60"/>
    <w:rsid w:val="00AB66E0"/>
    <w:rsid w:val="00AB6AAC"/>
    <w:rsid w:val="00AC1FE7"/>
    <w:rsid w:val="00AC5A7C"/>
    <w:rsid w:val="00AC6CF4"/>
    <w:rsid w:val="00AC719A"/>
    <w:rsid w:val="00AD233D"/>
    <w:rsid w:val="00AD2F06"/>
    <w:rsid w:val="00AD4C7B"/>
    <w:rsid w:val="00AD5601"/>
    <w:rsid w:val="00AD681C"/>
    <w:rsid w:val="00AD7CE3"/>
    <w:rsid w:val="00AE0580"/>
    <w:rsid w:val="00AE1292"/>
    <w:rsid w:val="00AE201D"/>
    <w:rsid w:val="00AE2D98"/>
    <w:rsid w:val="00AE3F27"/>
    <w:rsid w:val="00AE429D"/>
    <w:rsid w:val="00AE480F"/>
    <w:rsid w:val="00AE640F"/>
    <w:rsid w:val="00AE70E3"/>
    <w:rsid w:val="00AE7A15"/>
    <w:rsid w:val="00AF3D0A"/>
    <w:rsid w:val="00AF4DB5"/>
    <w:rsid w:val="00AF549A"/>
    <w:rsid w:val="00AF5526"/>
    <w:rsid w:val="00AF58EC"/>
    <w:rsid w:val="00B01F42"/>
    <w:rsid w:val="00B03919"/>
    <w:rsid w:val="00B1049C"/>
    <w:rsid w:val="00B107F8"/>
    <w:rsid w:val="00B11A35"/>
    <w:rsid w:val="00B11FF9"/>
    <w:rsid w:val="00B1216B"/>
    <w:rsid w:val="00B17373"/>
    <w:rsid w:val="00B22029"/>
    <w:rsid w:val="00B223FE"/>
    <w:rsid w:val="00B22F3F"/>
    <w:rsid w:val="00B2319D"/>
    <w:rsid w:val="00B23941"/>
    <w:rsid w:val="00B332CE"/>
    <w:rsid w:val="00B33738"/>
    <w:rsid w:val="00B3518D"/>
    <w:rsid w:val="00B40A62"/>
    <w:rsid w:val="00B41DB3"/>
    <w:rsid w:val="00B43B15"/>
    <w:rsid w:val="00B44BAA"/>
    <w:rsid w:val="00B45D95"/>
    <w:rsid w:val="00B45F49"/>
    <w:rsid w:val="00B52494"/>
    <w:rsid w:val="00B53884"/>
    <w:rsid w:val="00B54829"/>
    <w:rsid w:val="00B568E0"/>
    <w:rsid w:val="00B57BE2"/>
    <w:rsid w:val="00B602F2"/>
    <w:rsid w:val="00B61E1C"/>
    <w:rsid w:val="00B628A5"/>
    <w:rsid w:val="00B631EE"/>
    <w:rsid w:val="00B6330D"/>
    <w:rsid w:val="00B65351"/>
    <w:rsid w:val="00B6660B"/>
    <w:rsid w:val="00B678AE"/>
    <w:rsid w:val="00B75FCD"/>
    <w:rsid w:val="00B802E2"/>
    <w:rsid w:val="00B80E31"/>
    <w:rsid w:val="00B821E2"/>
    <w:rsid w:val="00B83F70"/>
    <w:rsid w:val="00B8536B"/>
    <w:rsid w:val="00B869D8"/>
    <w:rsid w:val="00B87B13"/>
    <w:rsid w:val="00B90284"/>
    <w:rsid w:val="00B90BAF"/>
    <w:rsid w:val="00BA55BE"/>
    <w:rsid w:val="00BB03DD"/>
    <w:rsid w:val="00BB08E7"/>
    <w:rsid w:val="00BB13BE"/>
    <w:rsid w:val="00BB3BD7"/>
    <w:rsid w:val="00BC1321"/>
    <w:rsid w:val="00BC5352"/>
    <w:rsid w:val="00BD2C84"/>
    <w:rsid w:val="00BD2FF4"/>
    <w:rsid w:val="00BD7A74"/>
    <w:rsid w:val="00BE2548"/>
    <w:rsid w:val="00BE36FF"/>
    <w:rsid w:val="00BE5E41"/>
    <w:rsid w:val="00BE7F59"/>
    <w:rsid w:val="00BF2527"/>
    <w:rsid w:val="00BF43C2"/>
    <w:rsid w:val="00BF7893"/>
    <w:rsid w:val="00BF7BFC"/>
    <w:rsid w:val="00C03FF2"/>
    <w:rsid w:val="00C063F0"/>
    <w:rsid w:val="00C06CD9"/>
    <w:rsid w:val="00C06DF5"/>
    <w:rsid w:val="00C1322C"/>
    <w:rsid w:val="00C13DF8"/>
    <w:rsid w:val="00C14F18"/>
    <w:rsid w:val="00C15C85"/>
    <w:rsid w:val="00C16E9B"/>
    <w:rsid w:val="00C20D4D"/>
    <w:rsid w:val="00C2691A"/>
    <w:rsid w:val="00C301FD"/>
    <w:rsid w:val="00C409EF"/>
    <w:rsid w:val="00C45974"/>
    <w:rsid w:val="00C45AD7"/>
    <w:rsid w:val="00C52288"/>
    <w:rsid w:val="00C56A7B"/>
    <w:rsid w:val="00C57737"/>
    <w:rsid w:val="00C62A45"/>
    <w:rsid w:val="00C63938"/>
    <w:rsid w:val="00C63D1E"/>
    <w:rsid w:val="00C659C4"/>
    <w:rsid w:val="00C65BAF"/>
    <w:rsid w:val="00C704A0"/>
    <w:rsid w:val="00C71FB5"/>
    <w:rsid w:val="00C74E5B"/>
    <w:rsid w:val="00C757B4"/>
    <w:rsid w:val="00C77795"/>
    <w:rsid w:val="00C821E4"/>
    <w:rsid w:val="00C82738"/>
    <w:rsid w:val="00C83510"/>
    <w:rsid w:val="00C835A5"/>
    <w:rsid w:val="00C87CDA"/>
    <w:rsid w:val="00C90A12"/>
    <w:rsid w:val="00C91487"/>
    <w:rsid w:val="00C9237D"/>
    <w:rsid w:val="00C94792"/>
    <w:rsid w:val="00CA0A9C"/>
    <w:rsid w:val="00CA0E43"/>
    <w:rsid w:val="00CA4A61"/>
    <w:rsid w:val="00CA6529"/>
    <w:rsid w:val="00CA68DA"/>
    <w:rsid w:val="00CC074F"/>
    <w:rsid w:val="00CC3CCE"/>
    <w:rsid w:val="00CD12E4"/>
    <w:rsid w:val="00CD1DCF"/>
    <w:rsid w:val="00CD205D"/>
    <w:rsid w:val="00CD2266"/>
    <w:rsid w:val="00CD551B"/>
    <w:rsid w:val="00CD67B2"/>
    <w:rsid w:val="00CD78E8"/>
    <w:rsid w:val="00CE37B8"/>
    <w:rsid w:val="00CE42F4"/>
    <w:rsid w:val="00CE6CD3"/>
    <w:rsid w:val="00CE71F7"/>
    <w:rsid w:val="00CF03B8"/>
    <w:rsid w:val="00CF2014"/>
    <w:rsid w:val="00CF2C19"/>
    <w:rsid w:val="00CF2F9C"/>
    <w:rsid w:val="00CF3048"/>
    <w:rsid w:val="00CF3683"/>
    <w:rsid w:val="00CF514A"/>
    <w:rsid w:val="00CF7486"/>
    <w:rsid w:val="00D0115D"/>
    <w:rsid w:val="00D03463"/>
    <w:rsid w:val="00D03DA6"/>
    <w:rsid w:val="00D0647B"/>
    <w:rsid w:val="00D11D6C"/>
    <w:rsid w:val="00D1468B"/>
    <w:rsid w:val="00D17074"/>
    <w:rsid w:val="00D229F7"/>
    <w:rsid w:val="00D22B29"/>
    <w:rsid w:val="00D233F5"/>
    <w:rsid w:val="00D256EE"/>
    <w:rsid w:val="00D27A4B"/>
    <w:rsid w:val="00D308EA"/>
    <w:rsid w:val="00D34EB7"/>
    <w:rsid w:val="00D3556F"/>
    <w:rsid w:val="00D375C6"/>
    <w:rsid w:val="00D411BC"/>
    <w:rsid w:val="00D442D8"/>
    <w:rsid w:val="00D454A3"/>
    <w:rsid w:val="00D45BC9"/>
    <w:rsid w:val="00D4619C"/>
    <w:rsid w:val="00D47D22"/>
    <w:rsid w:val="00D50D83"/>
    <w:rsid w:val="00D529EC"/>
    <w:rsid w:val="00D52F95"/>
    <w:rsid w:val="00D53AC2"/>
    <w:rsid w:val="00D546E2"/>
    <w:rsid w:val="00D54FF8"/>
    <w:rsid w:val="00D5556E"/>
    <w:rsid w:val="00D56C36"/>
    <w:rsid w:val="00D60C39"/>
    <w:rsid w:val="00D610A0"/>
    <w:rsid w:val="00D67CA0"/>
    <w:rsid w:val="00D7118C"/>
    <w:rsid w:val="00D73B56"/>
    <w:rsid w:val="00D8078C"/>
    <w:rsid w:val="00D82C29"/>
    <w:rsid w:val="00D8336B"/>
    <w:rsid w:val="00D85FA4"/>
    <w:rsid w:val="00D86A2C"/>
    <w:rsid w:val="00D87D6E"/>
    <w:rsid w:val="00D91253"/>
    <w:rsid w:val="00D94006"/>
    <w:rsid w:val="00D952FF"/>
    <w:rsid w:val="00D9603F"/>
    <w:rsid w:val="00D96C7F"/>
    <w:rsid w:val="00D978CD"/>
    <w:rsid w:val="00DA3D80"/>
    <w:rsid w:val="00DA487D"/>
    <w:rsid w:val="00DA4CCD"/>
    <w:rsid w:val="00DA67EF"/>
    <w:rsid w:val="00DA6877"/>
    <w:rsid w:val="00DA68EE"/>
    <w:rsid w:val="00DB3F3F"/>
    <w:rsid w:val="00DB69EC"/>
    <w:rsid w:val="00DC02B4"/>
    <w:rsid w:val="00DC31A1"/>
    <w:rsid w:val="00DC45EF"/>
    <w:rsid w:val="00DC67DE"/>
    <w:rsid w:val="00DD0051"/>
    <w:rsid w:val="00DD316A"/>
    <w:rsid w:val="00DD4FF9"/>
    <w:rsid w:val="00DD53F9"/>
    <w:rsid w:val="00DD5F5C"/>
    <w:rsid w:val="00DD6155"/>
    <w:rsid w:val="00DD6400"/>
    <w:rsid w:val="00DD6846"/>
    <w:rsid w:val="00DD7ABA"/>
    <w:rsid w:val="00DE07AE"/>
    <w:rsid w:val="00DE0E4F"/>
    <w:rsid w:val="00DE1A4B"/>
    <w:rsid w:val="00DE4B06"/>
    <w:rsid w:val="00DE72E7"/>
    <w:rsid w:val="00DF0BEC"/>
    <w:rsid w:val="00DF1C6B"/>
    <w:rsid w:val="00E00E80"/>
    <w:rsid w:val="00E0317A"/>
    <w:rsid w:val="00E03C76"/>
    <w:rsid w:val="00E104FA"/>
    <w:rsid w:val="00E1187C"/>
    <w:rsid w:val="00E120FB"/>
    <w:rsid w:val="00E135B6"/>
    <w:rsid w:val="00E13D2B"/>
    <w:rsid w:val="00E169E5"/>
    <w:rsid w:val="00E24E67"/>
    <w:rsid w:val="00E26252"/>
    <w:rsid w:val="00E265C2"/>
    <w:rsid w:val="00E301BC"/>
    <w:rsid w:val="00E3427A"/>
    <w:rsid w:val="00E426B2"/>
    <w:rsid w:val="00E43CF6"/>
    <w:rsid w:val="00E44C2B"/>
    <w:rsid w:val="00E468F7"/>
    <w:rsid w:val="00E529ED"/>
    <w:rsid w:val="00E56569"/>
    <w:rsid w:val="00E63094"/>
    <w:rsid w:val="00E631D6"/>
    <w:rsid w:val="00E6468D"/>
    <w:rsid w:val="00E64C4F"/>
    <w:rsid w:val="00E658BB"/>
    <w:rsid w:val="00E65C65"/>
    <w:rsid w:val="00E708FC"/>
    <w:rsid w:val="00E7504A"/>
    <w:rsid w:val="00E76A2A"/>
    <w:rsid w:val="00E7721E"/>
    <w:rsid w:val="00E809B8"/>
    <w:rsid w:val="00E8133B"/>
    <w:rsid w:val="00E813FF"/>
    <w:rsid w:val="00E8221E"/>
    <w:rsid w:val="00E82BEA"/>
    <w:rsid w:val="00E84888"/>
    <w:rsid w:val="00E85328"/>
    <w:rsid w:val="00E85449"/>
    <w:rsid w:val="00E85474"/>
    <w:rsid w:val="00E86990"/>
    <w:rsid w:val="00E86A7B"/>
    <w:rsid w:val="00E910DB"/>
    <w:rsid w:val="00E91E91"/>
    <w:rsid w:val="00E94DC2"/>
    <w:rsid w:val="00E97E42"/>
    <w:rsid w:val="00EA0B2D"/>
    <w:rsid w:val="00EA4B21"/>
    <w:rsid w:val="00EA54ED"/>
    <w:rsid w:val="00EA6B9F"/>
    <w:rsid w:val="00EA6D42"/>
    <w:rsid w:val="00EB09DB"/>
    <w:rsid w:val="00EB17A0"/>
    <w:rsid w:val="00EB1F7C"/>
    <w:rsid w:val="00EB7F34"/>
    <w:rsid w:val="00EC2011"/>
    <w:rsid w:val="00EC704D"/>
    <w:rsid w:val="00ED1097"/>
    <w:rsid w:val="00ED1587"/>
    <w:rsid w:val="00ED2BE2"/>
    <w:rsid w:val="00ED46AD"/>
    <w:rsid w:val="00ED4F11"/>
    <w:rsid w:val="00ED56AE"/>
    <w:rsid w:val="00EE11FB"/>
    <w:rsid w:val="00EE7F03"/>
    <w:rsid w:val="00EF1459"/>
    <w:rsid w:val="00EF26A1"/>
    <w:rsid w:val="00EF542B"/>
    <w:rsid w:val="00F05724"/>
    <w:rsid w:val="00F07A1F"/>
    <w:rsid w:val="00F116E5"/>
    <w:rsid w:val="00F118C4"/>
    <w:rsid w:val="00F118D2"/>
    <w:rsid w:val="00F12BF1"/>
    <w:rsid w:val="00F14307"/>
    <w:rsid w:val="00F14FD6"/>
    <w:rsid w:val="00F17ED1"/>
    <w:rsid w:val="00F218E9"/>
    <w:rsid w:val="00F32BA5"/>
    <w:rsid w:val="00F36E16"/>
    <w:rsid w:val="00F42E41"/>
    <w:rsid w:val="00F43344"/>
    <w:rsid w:val="00F44761"/>
    <w:rsid w:val="00F450C2"/>
    <w:rsid w:val="00F453BB"/>
    <w:rsid w:val="00F53443"/>
    <w:rsid w:val="00F569B2"/>
    <w:rsid w:val="00F632E0"/>
    <w:rsid w:val="00F65486"/>
    <w:rsid w:val="00F67590"/>
    <w:rsid w:val="00F707A7"/>
    <w:rsid w:val="00F71DAB"/>
    <w:rsid w:val="00F7408D"/>
    <w:rsid w:val="00F80868"/>
    <w:rsid w:val="00F926A8"/>
    <w:rsid w:val="00F933D8"/>
    <w:rsid w:val="00FA3E35"/>
    <w:rsid w:val="00FB14D5"/>
    <w:rsid w:val="00FB261D"/>
    <w:rsid w:val="00FB32AB"/>
    <w:rsid w:val="00FB4552"/>
    <w:rsid w:val="00FB762D"/>
    <w:rsid w:val="00FC1427"/>
    <w:rsid w:val="00FC176D"/>
    <w:rsid w:val="00FC2AF6"/>
    <w:rsid w:val="00FC30B9"/>
    <w:rsid w:val="00FC3D61"/>
    <w:rsid w:val="00FC70A6"/>
    <w:rsid w:val="00FD00F3"/>
    <w:rsid w:val="00FD1B1A"/>
    <w:rsid w:val="00FD1BB0"/>
    <w:rsid w:val="00FD5E8E"/>
    <w:rsid w:val="00FD5FDC"/>
    <w:rsid w:val="00FD6688"/>
    <w:rsid w:val="00FE0D64"/>
    <w:rsid w:val="00FE23F2"/>
    <w:rsid w:val="00FE2C0A"/>
    <w:rsid w:val="00FE2D6C"/>
    <w:rsid w:val="00FE37F9"/>
    <w:rsid w:val="00FE3D99"/>
    <w:rsid w:val="00FE7983"/>
    <w:rsid w:val="00FE7EAA"/>
    <w:rsid w:val="00FF17A2"/>
    <w:rsid w:val="00FF2DDE"/>
    <w:rsid w:val="00FF50D1"/>
    <w:rsid w:val="00FF657B"/>
    <w:rsid w:val="00FF72D2"/>
    <w:rsid w:val="00FF74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07B50"/>
  <w15:docId w15:val="{B19ADA75-571C-40F0-92F8-24558E2F4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D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4D7A"/>
    <w:pPr>
      <w:tabs>
        <w:tab w:val="center" w:pos="4680"/>
        <w:tab w:val="right" w:pos="9360"/>
      </w:tabs>
    </w:pPr>
  </w:style>
  <w:style w:type="character" w:customStyle="1" w:styleId="HeaderChar">
    <w:name w:val="Header Char"/>
    <w:basedOn w:val="DefaultParagraphFont"/>
    <w:link w:val="Header"/>
    <w:uiPriority w:val="99"/>
    <w:rsid w:val="005A4D7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A4D7A"/>
    <w:pPr>
      <w:tabs>
        <w:tab w:val="center" w:pos="4680"/>
        <w:tab w:val="right" w:pos="9360"/>
      </w:tabs>
    </w:pPr>
  </w:style>
  <w:style w:type="character" w:customStyle="1" w:styleId="FooterChar">
    <w:name w:val="Footer Char"/>
    <w:basedOn w:val="DefaultParagraphFont"/>
    <w:link w:val="Footer"/>
    <w:uiPriority w:val="99"/>
    <w:rsid w:val="005A4D7A"/>
    <w:rPr>
      <w:rFonts w:ascii="Times New Roman" w:eastAsia="Times New Roman" w:hAnsi="Times New Roman" w:cs="Times New Roman"/>
      <w:sz w:val="24"/>
      <w:szCs w:val="24"/>
    </w:rPr>
  </w:style>
  <w:style w:type="paragraph" w:styleId="ListParagraph">
    <w:name w:val="List Paragraph"/>
    <w:basedOn w:val="Normal"/>
    <w:uiPriority w:val="34"/>
    <w:qFormat/>
    <w:rsid w:val="004A61A8"/>
    <w:pPr>
      <w:ind w:left="720"/>
      <w:contextualSpacing/>
    </w:pPr>
  </w:style>
  <w:style w:type="paragraph" w:styleId="BalloonText">
    <w:name w:val="Balloon Text"/>
    <w:basedOn w:val="Normal"/>
    <w:link w:val="BalloonTextChar"/>
    <w:uiPriority w:val="99"/>
    <w:semiHidden/>
    <w:unhideWhenUsed/>
    <w:rsid w:val="00B121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16B"/>
    <w:rPr>
      <w:rFonts w:ascii="Segoe UI" w:eastAsia="Times New Roman" w:hAnsi="Segoe UI" w:cs="Segoe UI"/>
      <w:sz w:val="18"/>
      <w:szCs w:val="18"/>
    </w:rPr>
  </w:style>
  <w:style w:type="paragraph" w:customStyle="1" w:styleId="nl--1-">
    <w:name w:val="nl--1-"/>
    <w:basedOn w:val="Normal"/>
    <w:rsid w:val="00B678AE"/>
    <w:pPr>
      <w:spacing w:before="100" w:beforeAutospacing="1" w:after="100" w:afterAutospacing="1"/>
    </w:pPr>
    <w:rPr>
      <w:lang w:val="en-ZW" w:eastAsia="en-ZW"/>
    </w:rPr>
  </w:style>
  <w:style w:type="paragraph" w:customStyle="1" w:styleId="ll">
    <w:name w:val="ll"/>
    <w:basedOn w:val="Normal"/>
    <w:rsid w:val="00B678AE"/>
    <w:pPr>
      <w:spacing w:before="100" w:beforeAutospacing="1" w:after="100" w:afterAutospacing="1"/>
    </w:pPr>
    <w:rPr>
      <w:lang w:val="en-ZW" w:eastAsia="en-ZW"/>
    </w:rPr>
  </w:style>
  <w:style w:type="paragraph" w:customStyle="1" w:styleId="test">
    <w:name w:val="test"/>
    <w:basedOn w:val="Normal"/>
    <w:rsid w:val="00B678AE"/>
    <w:pPr>
      <w:spacing w:before="100" w:beforeAutospacing="1" w:after="100" w:afterAutospacing="1"/>
    </w:pPr>
    <w:rPr>
      <w:lang w:val="en-ZW" w:eastAsia="en-ZW"/>
    </w:rPr>
  </w:style>
  <w:style w:type="paragraph" w:customStyle="1" w:styleId="h1">
    <w:name w:val="h1"/>
    <w:basedOn w:val="Normal"/>
    <w:rsid w:val="00160404"/>
    <w:pPr>
      <w:spacing w:before="100" w:beforeAutospacing="1" w:after="100" w:afterAutospacing="1"/>
    </w:pPr>
    <w:rPr>
      <w:lang w:val="en-ZW" w:eastAsia="en-ZW"/>
    </w:rPr>
  </w:style>
  <w:style w:type="character" w:customStyle="1" w:styleId="bold">
    <w:name w:val="bold"/>
    <w:basedOn w:val="DefaultParagraphFont"/>
    <w:rsid w:val="00160404"/>
  </w:style>
  <w:style w:type="paragraph" w:customStyle="1" w:styleId="text">
    <w:name w:val="text"/>
    <w:basedOn w:val="Normal"/>
    <w:rsid w:val="00160404"/>
    <w:pPr>
      <w:spacing w:before="100" w:beforeAutospacing="1" w:after="100" w:afterAutospacing="1"/>
    </w:pPr>
    <w:rPr>
      <w:lang w:val="en-ZW" w:eastAsia="en-ZW"/>
    </w:rPr>
  </w:style>
  <w:style w:type="paragraph" w:styleId="NormalWeb">
    <w:name w:val="Normal (Web)"/>
    <w:basedOn w:val="Normal"/>
    <w:uiPriority w:val="99"/>
    <w:semiHidden/>
    <w:unhideWhenUsed/>
    <w:rsid w:val="009E026D"/>
    <w:pPr>
      <w:spacing w:before="100" w:beforeAutospacing="1" w:after="100" w:afterAutospacing="1"/>
    </w:pPr>
    <w:rPr>
      <w:lang w:val="en-ZW" w:eastAsia="en-ZW"/>
    </w:rPr>
  </w:style>
  <w:style w:type="character" w:styleId="Emphasis">
    <w:name w:val="Emphasis"/>
    <w:basedOn w:val="DefaultParagraphFont"/>
    <w:uiPriority w:val="20"/>
    <w:qFormat/>
    <w:rsid w:val="009E02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676729">
      <w:bodyDiv w:val="1"/>
      <w:marLeft w:val="0"/>
      <w:marRight w:val="0"/>
      <w:marTop w:val="0"/>
      <w:marBottom w:val="0"/>
      <w:divBdr>
        <w:top w:val="none" w:sz="0" w:space="0" w:color="auto"/>
        <w:left w:val="none" w:sz="0" w:space="0" w:color="auto"/>
        <w:bottom w:val="none" w:sz="0" w:space="0" w:color="auto"/>
        <w:right w:val="none" w:sz="0" w:space="0" w:color="auto"/>
      </w:divBdr>
    </w:div>
    <w:div w:id="1113017618">
      <w:bodyDiv w:val="1"/>
      <w:marLeft w:val="0"/>
      <w:marRight w:val="0"/>
      <w:marTop w:val="0"/>
      <w:marBottom w:val="0"/>
      <w:divBdr>
        <w:top w:val="none" w:sz="0" w:space="0" w:color="auto"/>
        <w:left w:val="none" w:sz="0" w:space="0" w:color="auto"/>
        <w:bottom w:val="none" w:sz="0" w:space="0" w:color="auto"/>
        <w:right w:val="none" w:sz="0" w:space="0" w:color="auto"/>
      </w:divBdr>
    </w:div>
    <w:div w:id="202855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1361</Words>
  <Characters>7763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jsc-Mujuru</dc:creator>
  <cp:lastModifiedBy>JSC</cp:lastModifiedBy>
  <cp:revision>2</cp:revision>
  <cp:lastPrinted>2024-11-15T08:25:00Z</cp:lastPrinted>
  <dcterms:created xsi:type="dcterms:W3CDTF">2024-11-22T10:09:00Z</dcterms:created>
  <dcterms:modified xsi:type="dcterms:W3CDTF">2024-11-22T10:09:00Z</dcterms:modified>
</cp:coreProperties>
</file>