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RINOS TERERA</w:t>
      </w:r>
    </w:p>
    <w:p w:rsidR="00060468"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60468"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GEORGE LENTAIGNE INGRAM LOCK</w:t>
      </w:r>
    </w:p>
    <w:p w:rsidR="00FA3154"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A3154"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CK HOLLAND t/a HOLLAND ESTATE AGENT</w:t>
      </w:r>
    </w:p>
    <w:p w:rsidR="004166B9"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166B9"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ZIMBABWE HOUSING COMPANY (PRIVATE) LIMITED</w:t>
      </w:r>
    </w:p>
    <w:p w:rsidR="004166B9" w:rsidRDefault="004166B9"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166B9"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166B9">
        <w:rPr>
          <w:rFonts w:ascii="Times New Roman" w:hAnsi="Times New Roman" w:cs="Times New Roman"/>
          <w:sz w:val="24"/>
          <w:szCs w:val="24"/>
        </w:rPr>
        <w:t>24 September 2020</w:t>
      </w:r>
      <w:r>
        <w:rPr>
          <w:rFonts w:ascii="Times New Roman" w:hAnsi="Times New Roman" w:cs="Times New Roman"/>
          <w:sz w:val="24"/>
          <w:szCs w:val="24"/>
        </w:rPr>
        <w:t xml:space="preserve"> </w:t>
      </w:r>
      <w:r w:rsidR="00F1405D">
        <w:rPr>
          <w:rFonts w:ascii="Times New Roman" w:hAnsi="Times New Roman" w:cs="Times New Roman"/>
          <w:sz w:val="24"/>
          <w:szCs w:val="24"/>
        </w:rPr>
        <w:t xml:space="preserve">and </w:t>
      </w:r>
      <w:r w:rsidR="00A00982">
        <w:rPr>
          <w:rFonts w:ascii="Times New Roman" w:hAnsi="Times New Roman" w:cs="Times New Roman"/>
          <w:sz w:val="24"/>
          <w:szCs w:val="24"/>
        </w:rPr>
        <w:t>29</w:t>
      </w:r>
      <w:r w:rsidR="004166B9">
        <w:rPr>
          <w:rFonts w:ascii="Times New Roman" w:hAnsi="Times New Roman" w:cs="Times New Roman"/>
          <w:sz w:val="24"/>
          <w:szCs w:val="24"/>
        </w:rPr>
        <w:t xml:space="preserve"> October 2020</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4166B9"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Special Plea</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Pr="004166B9" w:rsidRDefault="004166B9" w:rsidP="00FA3154">
      <w:pPr>
        <w:spacing w:after="0" w:line="240" w:lineRule="auto"/>
        <w:rPr>
          <w:rFonts w:ascii="Times New Roman" w:hAnsi="Times New Roman" w:cs="Times New Roman"/>
          <w:sz w:val="24"/>
          <w:szCs w:val="24"/>
        </w:rPr>
      </w:pPr>
      <w:r w:rsidRPr="004166B9">
        <w:rPr>
          <w:rFonts w:ascii="Times New Roman" w:hAnsi="Times New Roman" w:cs="Times New Roman"/>
          <w:sz w:val="24"/>
          <w:szCs w:val="24"/>
        </w:rPr>
        <w:t>Plaintiff in person</w:t>
      </w:r>
    </w:p>
    <w:p w:rsidR="00FA3154" w:rsidRDefault="004166B9" w:rsidP="00FA3154">
      <w:pPr>
        <w:spacing w:after="0" w:line="240" w:lineRule="auto"/>
        <w:ind w:left="720" w:hanging="720"/>
        <w:rPr>
          <w:rFonts w:ascii="Times New Roman" w:hAnsi="Times New Roman" w:cs="Times New Roman"/>
          <w:sz w:val="24"/>
          <w:szCs w:val="24"/>
        </w:rPr>
      </w:pPr>
      <w:r w:rsidRPr="004166B9">
        <w:rPr>
          <w:rFonts w:ascii="Times New Roman" w:hAnsi="Times New Roman" w:cs="Times New Roman"/>
          <w:i/>
          <w:sz w:val="24"/>
          <w:szCs w:val="24"/>
        </w:rPr>
        <w:t xml:space="preserve">T. </w:t>
      </w:r>
      <w:proofErr w:type="spellStart"/>
      <w:r w:rsidRPr="004166B9">
        <w:rPr>
          <w:rFonts w:ascii="Times New Roman" w:hAnsi="Times New Roman" w:cs="Times New Roman"/>
          <w:i/>
          <w:sz w:val="24"/>
          <w:szCs w:val="24"/>
        </w:rPr>
        <w:t>Maanda</w:t>
      </w:r>
      <w:proofErr w:type="spellEnd"/>
      <w:r w:rsidR="00FA3154">
        <w:rPr>
          <w:rFonts w:ascii="Times New Roman" w:hAnsi="Times New Roman" w:cs="Times New Roman"/>
          <w:sz w:val="24"/>
          <w:szCs w:val="24"/>
        </w:rPr>
        <w:t>, for the</w:t>
      </w:r>
      <w:r w:rsidR="00060468">
        <w:rPr>
          <w:rFonts w:ascii="Times New Roman" w:hAnsi="Times New Roman" w:cs="Times New Roman"/>
          <w:sz w:val="24"/>
          <w:szCs w:val="24"/>
        </w:rPr>
        <w:t xml:space="preserve"> </w:t>
      </w:r>
      <w:r w:rsidR="00567033">
        <w:rPr>
          <w:rFonts w:ascii="Times New Roman" w:hAnsi="Times New Roman" w:cs="Times New Roman"/>
          <w:sz w:val="24"/>
          <w:szCs w:val="24"/>
        </w:rPr>
        <w:t>F</w:t>
      </w:r>
      <w:r>
        <w:rPr>
          <w:rFonts w:ascii="Times New Roman" w:hAnsi="Times New Roman" w:cs="Times New Roman"/>
          <w:sz w:val="24"/>
          <w:szCs w:val="24"/>
        </w:rPr>
        <w:t xml:space="preserve">irst and </w:t>
      </w:r>
      <w:r w:rsidR="00567033">
        <w:rPr>
          <w:rFonts w:ascii="Times New Roman" w:hAnsi="Times New Roman" w:cs="Times New Roman"/>
          <w:sz w:val="24"/>
          <w:szCs w:val="24"/>
        </w:rPr>
        <w:t>S</w:t>
      </w:r>
      <w:r>
        <w:rPr>
          <w:rFonts w:ascii="Times New Roman" w:hAnsi="Times New Roman" w:cs="Times New Roman"/>
          <w:sz w:val="24"/>
          <w:szCs w:val="24"/>
        </w:rPr>
        <w:t xml:space="preserve">econd </w:t>
      </w:r>
      <w:r w:rsidR="00567033">
        <w:rPr>
          <w:rFonts w:ascii="Times New Roman" w:hAnsi="Times New Roman" w:cs="Times New Roman"/>
          <w:sz w:val="24"/>
          <w:szCs w:val="24"/>
        </w:rPr>
        <w:t>D</w:t>
      </w:r>
      <w:r>
        <w:rPr>
          <w:rFonts w:ascii="Times New Roman" w:hAnsi="Times New Roman" w:cs="Times New Roman"/>
          <w:sz w:val="24"/>
          <w:szCs w:val="24"/>
        </w:rPr>
        <w:t>efendants</w:t>
      </w:r>
    </w:p>
    <w:p w:rsidR="004166B9" w:rsidRDefault="004166B9" w:rsidP="00FA3154">
      <w:pPr>
        <w:spacing w:after="0" w:line="240" w:lineRule="auto"/>
        <w:ind w:left="720" w:hanging="720"/>
        <w:rPr>
          <w:rFonts w:ascii="Times New Roman" w:hAnsi="Times New Roman" w:cs="Times New Roman"/>
          <w:sz w:val="24"/>
          <w:szCs w:val="24"/>
        </w:rPr>
      </w:pPr>
      <w:r w:rsidRPr="004166B9">
        <w:rPr>
          <w:rFonts w:ascii="Times New Roman" w:hAnsi="Times New Roman" w:cs="Times New Roman"/>
          <w:i/>
          <w:sz w:val="24"/>
          <w:szCs w:val="24"/>
        </w:rPr>
        <w:t xml:space="preserve">B. </w:t>
      </w:r>
      <w:proofErr w:type="spellStart"/>
      <w:r w:rsidRPr="004166B9">
        <w:rPr>
          <w:rFonts w:ascii="Times New Roman" w:hAnsi="Times New Roman" w:cs="Times New Roman"/>
          <w:i/>
          <w:sz w:val="24"/>
          <w:szCs w:val="24"/>
        </w:rPr>
        <w:t>Majamanda</w:t>
      </w:r>
      <w:proofErr w:type="spellEnd"/>
      <w:r>
        <w:rPr>
          <w:rFonts w:ascii="Times New Roman" w:hAnsi="Times New Roman" w:cs="Times New Roman"/>
          <w:sz w:val="24"/>
          <w:szCs w:val="24"/>
        </w:rPr>
        <w:t xml:space="preserve">, for the </w:t>
      </w:r>
      <w:r w:rsidR="00567033">
        <w:rPr>
          <w:rFonts w:ascii="Times New Roman" w:hAnsi="Times New Roman" w:cs="Times New Roman"/>
          <w:sz w:val="24"/>
          <w:szCs w:val="24"/>
        </w:rPr>
        <w:t>T</w:t>
      </w:r>
      <w:r>
        <w:rPr>
          <w:rFonts w:ascii="Times New Roman" w:hAnsi="Times New Roman" w:cs="Times New Roman"/>
          <w:sz w:val="24"/>
          <w:szCs w:val="24"/>
        </w:rPr>
        <w:t xml:space="preserve">hird </w:t>
      </w:r>
      <w:r w:rsidR="00567033">
        <w:rPr>
          <w:rFonts w:ascii="Times New Roman" w:hAnsi="Times New Roman" w:cs="Times New Roman"/>
          <w:sz w:val="24"/>
          <w:szCs w:val="24"/>
        </w:rPr>
        <w:t>D</w:t>
      </w:r>
      <w:r>
        <w:rPr>
          <w:rFonts w:ascii="Times New Roman" w:hAnsi="Times New Roman" w:cs="Times New Roman"/>
          <w:sz w:val="24"/>
          <w:szCs w:val="24"/>
        </w:rPr>
        <w:t>efendant</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FF1970" w:rsidRDefault="00D8392F" w:rsidP="004166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567033">
        <w:rPr>
          <w:rFonts w:ascii="Times New Roman" w:hAnsi="Times New Roman" w:cs="Times New Roman"/>
          <w:sz w:val="24"/>
          <w:szCs w:val="24"/>
        </w:rPr>
        <w:t>three D</w:t>
      </w:r>
      <w:r w:rsidR="004166B9">
        <w:rPr>
          <w:rFonts w:ascii="Times New Roman" w:hAnsi="Times New Roman" w:cs="Times New Roman"/>
          <w:sz w:val="24"/>
          <w:szCs w:val="24"/>
        </w:rPr>
        <w:t xml:space="preserve">efendants </w:t>
      </w:r>
      <w:r w:rsidR="00567033">
        <w:rPr>
          <w:rFonts w:ascii="Times New Roman" w:hAnsi="Times New Roman" w:cs="Times New Roman"/>
          <w:sz w:val="24"/>
          <w:szCs w:val="24"/>
        </w:rPr>
        <w:t>filed a special plea seeking dismissal of the Plaintiff’s claim. The Plaintiff issued summons seeking the following relief from the court:</w:t>
      </w:r>
    </w:p>
    <w:p w:rsidR="00567033" w:rsidRDefault="00567033" w:rsidP="00567033">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declaring the agreement of sale between the Plaintiff and First Defendant to be valid and still operational.</w:t>
      </w:r>
    </w:p>
    <w:p w:rsidR="00567033" w:rsidRDefault="00567033" w:rsidP="00567033">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declaring the agreement of sale that was entered into between the First, Second and Third Defendants to be null and void.</w:t>
      </w:r>
    </w:p>
    <w:p w:rsidR="00567033" w:rsidRDefault="00567033" w:rsidP="00567033">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nullifying the transfer of title of land into the Third Defendant’s name.</w:t>
      </w:r>
    </w:p>
    <w:p w:rsidR="00567033" w:rsidRDefault="00567033" w:rsidP="00567033">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567033" w:rsidRDefault="00567033" w:rsidP="005670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Defendants sought dismissal of the Plaintiff’s claim on the basi</w:t>
      </w:r>
      <w:r w:rsidR="00A00982">
        <w:rPr>
          <w:rFonts w:ascii="Times New Roman" w:hAnsi="Times New Roman" w:cs="Times New Roman"/>
          <w:sz w:val="24"/>
          <w:szCs w:val="24"/>
        </w:rPr>
        <w:t xml:space="preserve">s that the claim has prescribed, </w:t>
      </w:r>
      <w:r>
        <w:rPr>
          <w:rFonts w:ascii="Times New Roman" w:hAnsi="Times New Roman" w:cs="Times New Roman"/>
          <w:sz w:val="24"/>
          <w:szCs w:val="24"/>
        </w:rPr>
        <w:t xml:space="preserve">the Defendants are wrongly cited,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matter is </w:t>
      </w:r>
      <w:r w:rsidRPr="00567033">
        <w:rPr>
          <w:rFonts w:ascii="Times New Roman" w:hAnsi="Times New Roman" w:cs="Times New Roman"/>
          <w:i/>
          <w:sz w:val="24"/>
          <w:szCs w:val="24"/>
        </w:rPr>
        <w:t>res judicata</w:t>
      </w:r>
      <w:r>
        <w:rPr>
          <w:rFonts w:ascii="Times New Roman" w:hAnsi="Times New Roman" w:cs="Times New Roman"/>
          <w:sz w:val="24"/>
          <w:szCs w:val="24"/>
        </w:rPr>
        <w:t xml:space="preserve"> and </w:t>
      </w:r>
      <w:proofErr w:type="spellStart"/>
      <w:r w:rsidRPr="00567033">
        <w:rPr>
          <w:rFonts w:ascii="Times New Roman" w:hAnsi="Times New Roman" w:cs="Times New Roman"/>
          <w:i/>
          <w:sz w:val="24"/>
          <w:szCs w:val="24"/>
        </w:rPr>
        <w:t>lis</w:t>
      </w:r>
      <w:proofErr w:type="spellEnd"/>
      <w:r w:rsidRPr="00567033">
        <w:rPr>
          <w:rFonts w:ascii="Times New Roman" w:hAnsi="Times New Roman" w:cs="Times New Roman"/>
          <w:i/>
          <w:sz w:val="24"/>
          <w:szCs w:val="24"/>
        </w:rPr>
        <w:t xml:space="preserve"> </w:t>
      </w:r>
      <w:proofErr w:type="spellStart"/>
      <w:r w:rsidRPr="00567033">
        <w:rPr>
          <w:rFonts w:ascii="Times New Roman" w:hAnsi="Times New Roman" w:cs="Times New Roman"/>
          <w:i/>
          <w:sz w:val="24"/>
          <w:szCs w:val="24"/>
        </w:rPr>
        <w:t>pendens</w:t>
      </w:r>
      <w:proofErr w:type="spellEnd"/>
      <w:r>
        <w:rPr>
          <w:rFonts w:ascii="Times New Roman" w:hAnsi="Times New Roman" w:cs="Times New Roman"/>
          <w:sz w:val="24"/>
          <w:szCs w:val="24"/>
        </w:rPr>
        <w:t>. The Third Defendant’s argument for dismissal of the Plaintiff’s claim is centred on the following grounds:</w:t>
      </w:r>
    </w:p>
    <w:p w:rsidR="00567033" w:rsidRDefault="00567033" w:rsidP="00567033">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claim has prescribed.</w:t>
      </w:r>
    </w:p>
    <w:p w:rsidR="00567033" w:rsidRDefault="00567033" w:rsidP="00567033">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matter is </w:t>
      </w:r>
      <w:r w:rsidRPr="001B0C20">
        <w:rPr>
          <w:rFonts w:ascii="Times New Roman" w:hAnsi="Times New Roman" w:cs="Times New Roman"/>
          <w:i/>
          <w:sz w:val="24"/>
          <w:szCs w:val="24"/>
        </w:rPr>
        <w:t>res judicata</w:t>
      </w:r>
      <w:r>
        <w:rPr>
          <w:rFonts w:ascii="Times New Roman" w:hAnsi="Times New Roman" w:cs="Times New Roman"/>
          <w:sz w:val="24"/>
          <w:szCs w:val="24"/>
        </w:rPr>
        <w:t xml:space="preserve"> and</w:t>
      </w:r>
    </w:p>
    <w:p w:rsidR="00567033" w:rsidRDefault="00567033" w:rsidP="00567033">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w:t>
      </w:r>
      <w:r w:rsidR="001B0C20">
        <w:rPr>
          <w:rFonts w:ascii="Times New Roman" w:hAnsi="Times New Roman" w:cs="Times New Roman"/>
          <w:sz w:val="24"/>
          <w:szCs w:val="24"/>
        </w:rPr>
        <w:t xml:space="preserve"> is estopped from claiming sett</w:t>
      </w:r>
      <w:r>
        <w:rPr>
          <w:rFonts w:ascii="Times New Roman" w:hAnsi="Times New Roman" w:cs="Times New Roman"/>
          <w:sz w:val="24"/>
          <w:szCs w:val="24"/>
        </w:rPr>
        <w:t>ing aside of t</w:t>
      </w:r>
      <w:r w:rsidR="001B0C20">
        <w:rPr>
          <w:rFonts w:ascii="Times New Roman" w:hAnsi="Times New Roman" w:cs="Times New Roman"/>
          <w:sz w:val="24"/>
          <w:szCs w:val="24"/>
        </w:rPr>
        <w:t>h</w:t>
      </w:r>
      <w:r>
        <w:rPr>
          <w:rFonts w:ascii="Times New Roman" w:hAnsi="Times New Roman" w:cs="Times New Roman"/>
          <w:sz w:val="24"/>
          <w:szCs w:val="24"/>
        </w:rPr>
        <w:t>e Third Defendant’s Deed.</w:t>
      </w:r>
    </w:p>
    <w:p w:rsidR="00567033" w:rsidRDefault="001B0C20" w:rsidP="001B0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argued </w:t>
      </w:r>
      <w:r w:rsidR="00A00982">
        <w:rPr>
          <w:rFonts w:ascii="Times New Roman" w:hAnsi="Times New Roman" w:cs="Times New Roman"/>
          <w:sz w:val="24"/>
          <w:szCs w:val="24"/>
        </w:rPr>
        <w:t xml:space="preserve">that </w:t>
      </w:r>
      <w:r w:rsidR="00F16988">
        <w:rPr>
          <w:rFonts w:ascii="Times New Roman" w:hAnsi="Times New Roman" w:cs="Times New Roman"/>
          <w:sz w:val="24"/>
          <w:szCs w:val="24"/>
        </w:rPr>
        <w:t>the claim has</w:t>
      </w:r>
      <w:r>
        <w:rPr>
          <w:rFonts w:ascii="Times New Roman" w:hAnsi="Times New Roman" w:cs="Times New Roman"/>
          <w:sz w:val="24"/>
          <w:szCs w:val="24"/>
        </w:rPr>
        <w:t xml:space="preserve"> not prescribed and that the matter is </w:t>
      </w:r>
      <w:proofErr w:type="gramStart"/>
      <w:r>
        <w:rPr>
          <w:rFonts w:ascii="Times New Roman" w:hAnsi="Times New Roman" w:cs="Times New Roman"/>
          <w:sz w:val="24"/>
          <w:szCs w:val="24"/>
        </w:rPr>
        <w:t xml:space="preserve">neither </w:t>
      </w:r>
      <w:r w:rsidRPr="001B0C20">
        <w:rPr>
          <w:rFonts w:ascii="Times New Roman" w:hAnsi="Times New Roman" w:cs="Times New Roman"/>
          <w:i/>
          <w:sz w:val="24"/>
          <w:szCs w:val="24"/>
        </w:rPr>
        <w:t>res judicata</w:t>
      </w:r>
      <w:r>
        <w:rPr>
          <w:rFonts w:ascii="Times New Roman" w:hAnsi="Times New Roman" w:cs="Times New Roman"/>
          <w:sz w:val="24"/>
          <w:szCs w:val="24"/>
        </w:rPr>
        <w:t xml:space="preserve"> </w:t>
      </w:r>
      <w:r w:rsidR="009D2C77">
        <w:rPr>
          <w:rFonts w:ascii="Times New Roman" w:hAnsi="Times New Roman" w:cs="Times New Roman"/>
          <w:sz w:val="24"/>
          <w:szCs w:val="24"/>
        </w:rPr>
        <w:t>n</w:t>
      </w:r>
      <w:r>
        <w:rPr>
          <w:rFonts w:ascii="Times New Roman" w:hAnsi="Times New Roman" w:cs="Times New Roman"/>
          <w:sz w:val="24"/>
          <w:szCs w:val="24"/>
        </w:rPr>
        <w:t xml:space="preserve">or </w:t>
      </w:r>
      <w:proofErr w:type="spellStart"/>
      <w:r w:rsidRPr="001B0C20">
        <w:rPr>
          <w:rFonts w:ascii="Times New Roman" w:hAnsi="Times New Roman" w:cs="Times New Roman"/>
          <w:i/>
          <w:sz w:val="24"/>
          <w:szCs w:val="24"/>
        </w:rPr>
        <w:t>lis</w:t>
      </w:r>
      <w:proofErr w:type="spellEnd"/>
      <w:r w:rsidRPr="001B0C20">
        <w:rPr>
          <w:rFonts w:ascii="Times New Roman" w:hAnsi="Times New Roman" w:cs="Times New Roman"/>
          <w:i/>
          <w:sz w:val="24"/>
          <w:szCs w:val="24"/>
        </w:rPr>
        <w:t xml:space="preserve"> </w:t>
      </w:r>
      <w:proofErr w:type="spellStart"/>
      <w:r w:rsidRPr="001B0C20">
        <w:rPr>
          <w:rFonts w:ascii="Times New Roman" w:hAnsi="Times New Roman" w:cs="Times New Roman"/>
          <w:i/>
          <w:sz w:val="24"/>
          <w:szCs w:val="24"/>
        </w:rPr>
        <w:t>pendens</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that the sale to the Third Defendant was not above board. It was </w:t>
      </w:r>
      <w:r>
        <w:rPr>
          <w:rFonts w:ascii="Times New Roman" w:hAnsi="Times New Roman" w:cs="Times New Roman"/>
          <w:sz w:val="24"/>
          <w:szCs w:val="24"/>
        </w:rPr>
        <w:lastRenderedPageBreak/>
        <w:t>fraudulent since the</w:t>
      </w:r>
      <w:r w:rsidR="00F16988">
        <w:rPr>
          <w:rFonts w:ascii="Times New Roman" w:hAnsi="Times New Roman" w:cs="Times New Roman"/>
          <w:sz w:val="24"/>
          <w:szCs w:val="24"/>
        </w:rPr>
        <w:t>re was no proper cancellation or</w:t>
      </w:r>
      <w:r>
        <w:rPr>
          <w:rFonts w:ascii="Times New Roman" w:hAnsi="Times New Roman" w:cs="Times New Roman"/>
          <w:sz w:val="24"/>
          <w:szCs w:val="24"/>
        </w:rPr>
        <w:t xml:space="preserve"> termination of the sale agreement between him and the seller.</w:t>
      </w:r>
    </w:p>
    <w:p w:rsidR="001B0C20" w:rsidRDefault="001B0C20" w:rsidP="001B0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that fall for determination in this case can be s</w:t>
      </w:r>
      <w:r w:rsidR="00F16988">
        <w:rPr>
          <w:rFonts w:ascii="Times New Roman" w:hAnsi="Times New Roman" w:cs="Times New Roman"/>
          <w:sz w:val="24"/>
          <w:szCs w:val="24"/>
        </w:rPr>
        <w:t>ummarised under the following head</w:t>
      </w:r>
      <w:r>
        <w:rPr>
          <w:rFonts w:ascii="Times New Roman" w:hAnsi="Times New Roman" w:cs="Times New Roman"/>
          <w:sz w:val="24"/>
          <w:szCs w:val="24"/>
        </w:rPr>
        <w:t>ings:</w:t>
      </w:r>
    </w:p>
    <w:p w:rsidR="001B0C20" w:rsidRPr="009D2C77" w:rsidRDefault="001B0C20" w:rsidP="001B0C20">
      <w:pPr>
        <w:pStyle w:val="ListParagraph"/>
        <w:numPr>
          <w:ilvl w:val="0"/>
          <w:numId w:val="39"/>
        </w:numPr>
        <w:spacing w:after="0" w:line="360" w:lineRule="auto"/>
        <w:jc w:val="both"/>
        <w:rPr>
          <w:rFonts w:ascii="Times New Roman" w:hAnsi="Times New Roman" w:cs="Times New Roman"/>
          <w:i/>
          <w:sz w:val="24"/>
          <w:szCs w:val="24"/>
        </w:rPr>
      </w:pPr>
      <w:r w:rsidRPr="009D2C77">
        <w:rPr>
          <w:rFonts w:ascii="Times New Roman" w:hAnsi="Times New Roman" w:cs="Times New Roman"/>
          <w:i/>
          <w:sz w:val="24"/>
          <w:szCs w:val="24"/>
        </w:rPr>
        <w:t>Whether or not the P</w:t>
      </w:r>
      <w:r w:rsidR="009D2C77">
        <w:rPr>
          <w:rFonts w:ascii="Times New Roman" w:hAnsi="Times New Roman" w:cs="Times New Roman"/>
          <w:i/>
          <w:sz w:val="24"/>
          <w:szCs w:val="24"/>
        </w:rPr>
        <w:t>laintiff’s claim has prescribed?</w:t>
      </w:r>
    </w:p>
    <w:p w:rsidR="001B0C20" w:rsidRPr="009D2C77" w:rsidRDefault="001B0C20" w:rsidP="001B0C20">
      <w:pPr>
        <w:pStyle w:val="ListParagraph"/>
        <w:numPr>
          <w:ilvl w:val="0"/>
          <w:numId w:val="39"/>
        </w:numPr>
        <w:spacing w:after="0" w:line="360" w:lineRule="auto"/>
        <w:jc w:val="both"/>
        <w:rPr>
          <w:rFonts w:ascii="Times New Roman" w:hAnsi="Times New Roman" w:cs="Times New Roman"/>
          <w:i/>
          <w:sz w:val="24"/>
          <w:szCs w:val="24"/>
        </w:rPr>
      </w:pPr>
      <w:r w:rsidRPr="009D2C77">
        <w:rPr>
          <w:rFonts w:ascii="Times New Roman" w:hAnsi="Times New Roman" w:cs="Times New Roman"/>
          <w:i/>
          <w:sz w:val="24"/>
          <w:szCs w:val="24"/>
        </w:rPr>
        <w:t>Whether or not the matter is res judicata</w:t>
      </w:r>
      <w:r w:rsidR="009D2C77">
        <w:rPr>
          <w:rFonts w:ascii="Times New Roman" w:hAnsi="Times New Roman" w:cs="Times New Roman"/>
          <w:i/>
          <w:sz w:val="24"/>
          <w:szCs w:val="24"/>
        </w:rPr>
        <w:t>?</w:t>
      </w:r>
    </w:p>
    <w:p w:rsidR="001B0C20" w:rsidRPr="009D2C77" w:rsidRDefault="001B0C20" w:rsidP="001B0C20">
      <w:pPr>
        <w:pStyle w:val="ListParagraph"/>
        <w:numPr>
          <w:ilvl w:val="0"/>
          <w:numId w:val="39"/>
        </w:numPr>
        <w:spacing w:after="0" w:line="360" w:lineRule="auto"/>
        <w:jc w:val="both"/>
        <w:rPr>
          <w:rFonts w:ascii="Times New Roman" w:hAnsi="Times New Roman" w:cs="Times New Roman"/>
          <w:i/>
          <w:sz w:val="24"/>
          <w:szCs w:val="24"/>
        </w:rPr>
      </w:pPr>
      <w:r w:rsidRPr="009D2C77">
        <w:rPr>
          <w:rFonts w:ascii="Times New Roman" w:hAnsi="Times New Roman" w:cs="Times New Roman"/>
          <w:i/>
          <w:sz w:val="24"/>
          <w:szCs w:val="24"/>
        </w:rPr>
        <w:t xml:space="preserve">Whether or not the matter is </w:t>
      </w:r>
      <w:proofErr w:type="spellStart"/>
      <w:r w:rsidRPr="009D2C77">
        <w:rPr>
          <w:rFonts w:ascii="Times New Roman" w:hAnsi="Times New Roman" w:cs="Times New Roman"/>
          <w:i/>
          <w:sz w:val="24"/>
          <w:szCs w:val="24"/>
        </w:rPr>
        <w:t>lis</w:t>
      </w:r>
      <w:proofErr w:type="spellEnd"/>
      <w:r w:rsidRPr="009D2C77">
        <w:rPr>
          <w:rFonts w:ascii="Times New Roman" w:hAnsi="Times New Roman" w:cs="Times New Roman"/>
          <w:i/>
          <w:sz w:val="24"/>
          <w:szCs w:val="24"/>
        </w:rPr>
        <w:t xml:space="preserve"> </w:t>
      </w:r>
      <w:proofErr w:type="spellStart"/>
      <w:r w:rsidRPr="009D2C77">
        <w:rPr>
          <w:rFonts w:ascii="Times New Roman" w:hAnsi="Times New Roman" w:cs="Times New Roman"/>
          <w:i/>
          <w:sz w:val="24"/>
          <w:szCs w:val="24"/>
        </w:rPr>
        <w:t>pendens</w:t>
      </w:r>
      <w:proofErr w:type="spellEnd"/>
      <w:r w:rsidR="009D2C77">
        <w:rPr>
          <w:rFonts w:ascii="Times New Roman" w:hAnsi="Times New Roman" w:cs="Times New Roman"/>
          <w:i/>
          <w:sz w:val="24"/>
          <w:szCs w:val="24"/>
        </w:rPr>
        <w:t>?</w:t>
      </w:r>
    </w:p>
    <w:p w:rsidR="001B0C20" w:rsidRPr="009D2C77" w:rsidRDefault="001B0C20" w:rsidP="001B0C20">
      <w:pPr>
        <w:pStyle w:val="ListParagraph"/>
        <w:numPr>
          <w:ilvl w:val="0"/>
          <w:numId w:val="39"/>
        </w:numPr>
        <w:spacing w:after="0" w:line="360" w:lineRule="auto"/>
        <w:jc w:val="both"/>
        <w:rPr>
          <w:rFonts w:ascii="Times New Roman" w:hAnsi="Times New Roman" w:cs="Times New Roman"/>
          <w:i/>
          <w:sz w:val="24"/>
          <w:szCs w:val="24"/>
        </w:rPr>
      </w:pPr>
      <w:r w:rsidRPr="009D2C77">
        <w:rPr>
          <w:rFonts w:ascii="Times New Roman" w:hAnsi="Times New Roman" w:cs="Times New Roman"/>
          <w:i/>
          <w:sz w:val="24"/>
          <w:szCs w:val="24"/>
        </w:rPr>
        <w:t xml:space="preserve">Whether </w:t>
      </w:r>
      <w:r w:rsidR="00F16988" w:rsidRPr="009D2C77">
        <w:rPr>
          <w:rFonts w:ascii="Times New Roman" w:hAnsi="Times New Roman" w:cs="Times New Roman"/>
          <w:i/>
          <w:sz w:val="24"/>
          <w:szCs w:val="24"/>
        </w:rPr>
        <w:t>or not the non-joinder of the fo</w:t>
      </w:r>
      <w:r w:rsidRPr="009D2C77">
        <w:rPr>
          <w:rFonts w:ascii="Times New Roman" w:hAnsi="Times New Roman" w:cs="Times New Roman"/>
          <w:i/>
          <w:sz w:val="24"/>
          <w:szCs w:val="24"/>
        </w:rPr>
        <w:t>rmer registered owners who sold to Third Defendant is</w:t>
      </w:r>
      <w:r w:rsidR="009D2C77">
        <w:rPr>
          <w:rFonts w:ascii="Times New Roman" w:hAnsi="Times New Roman" w:cs="Times New Roman"/>
          <w:i/>
          <w:sz w:val="24"/>
          <w:szCs w:val="24"/>
        </w:rPr>
        <w:t xml:space="preserve"> fatal to the Plaintiff’s Claim?</w:t>
      </w:r>
    </w:p>
    <w:p w:rsidR="00AD4464" w:rsidRPr="009D2C77" w:rsidRDefault="001B0C20" w:rsidP="00AD4464">
      <w:pPr>
        <w:pStyle w:val="ListParagraph"/>
        <w:numPr>
          <w:ilvl w:val="0"/>
          <w:numId w:val="39"/>
        </w:numPr>
        <w:spacing w:after="0" w:line="360" w:lineRule="auto"/>
        <w:jc w:val="both"/>
        <w:rPr>
          <w:rFonts w:ascii="Times New Roman" w:hAnsi="Times New Roman" w:cs="Times New Roman"/>
          <w:i/>
          <w:sz w:val="24"/>
          <w:szCs w:val="24"/>
        </w:rPr>
      </w:pPr>
      <w:r w:rsidRPr="009D2C77">
        <w:rPr>
          <w:rFonts w:ascii="Times New Roman" w:hAnsi="Times New Roman" w:cs="Times New Roman"/>
          <w:i/>
          <w:sz w:val="24"/>
          <w:szCs w:val="24"/>
        </w:rPr>
        <w:t xml:space="preserve">Whether or not the </w:t>
      </w:r>
      <w:r w:rsidR="009D2C77">
        <w:rPr>
          <w:rFonts w:ascii="Times New Roman" w:hAnsi="Times New Roman" w:cs="Times New Roman"/>
          <w:i/>
          <w:sz w:val="24"/>
          <w:szCs w:val="24"/>
        </w:rPr>
        <w:t>Plaintiff is estopped?</w:t>
      </w:r>
    </w:p>
    <w:p w:rsidR="001B0C20" w:rsidRDefault="00AD4464" w:rsidP="00AD4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worth noting that in his</w:t>
      </w:r>
      <w:r w:rsidR="00A00982">
        <w:rPr>
          <w:rFonts w:ascii="Times New Roman" w:hAnsi="Times New Roman" w:cs="Times New Roman"/>
          <w:sz w:val="24"/>
          <w:szCs w:val="24"/>
        </w:rPr>
        <w:t xml:space="preserve"> opposition of the special plea, </w:t>
      </w:r>
      <w:r>
        <w:rPr>
          <w:rFonts w:ascii="Times New Roman" w:hAnsi="Times New Roman" w:cs="Times New Roman"/>
          <w:sz w:val="24"/>
          <w:szCs w:val="24"/>
        </w:rPr>
        <w:t>the plaintiff did not dispute specific factual averments by the Defendants but nonetheless as a self-actor expressed he opposed the relief sought by the Defendants arguing the special plea was just raised as a delaying tactic. The Plaintiff went ahead to file heads</w:t>
      </w:r>
      <w:r w:rsidR="00F16988">
        <w:rPr>
          <w:rFonts w:ascii="Times New Roman" w:hAnsi="Times New Roman" w:cs="Times New Roman"/>
          <w:sz w:val="24"/>
          <w:szCs w:val="24"/>
        </w:rPr>
        <w:t xml:space="preserve"> of argument opposing the relief</w:t>
      </w:r>
      <w:r>
        <w:rPr>
          <w:rFonts w:ascii="Times New Roman" w:hAnsi="Times New Roman" w:cs="Times New Roman"/>
          <w:sz w:val="24"/>
          <w:szCs w:val="24"/>
        </w:rPr>
        <w:t xml:space="preserve"> and insisting his claim was properly before the court since the </w:t>
      </w:r>
      <w:r w:rsidR="00F16988">
        <w:rPr>
          <w:rFonts w:ascii="Times New Roman" w:hAnsi="Times New Roman" w:cs="Times New Roman"/>
          <w:sz w:val="24"/>
          <w:szCs w:val="24"/>
        </w:rPr>
        <w:t>initial agreement with</w:t>
      </w:r>
      <w:r>
        <w:rPr>
          <w:rFonts w:ascii="Times New Roman" w:hAnsi="Times New Roman" w:cs="Times New Roman"/>
          <w:sz w:val="24"/>
          <w:szCs w:val="24"/>
        </w:rPr>
        <w:t xml:space="preserve"> himself was not cancelled. The Plaintiff maintained this stance even in oral submissions. I must hasten to point out that it is settled that failure to put to issue averments made by Defendant would ordinarily mean that the averments are not challenged and are agreed with. See </w:t>
      </w:r>
      <w:proofErr w:type="spellStart"/>
      <w:r w:rsidRPr="002F7EFC">
        <w:rPr>
          <w:rFonts w:ascii="Times New Roman" w:hAnsi="Times New Roman" w:cs="Times New Roman"/>
          <w:i/>
          <w:sz w:val="24"/>
          <w:szCs w:val="24"/>
        </w:rPr>
        <w:t>Brooker</w:t>
      </w:r>
      <w:proofErr w:type="spellEnd"/>
      <w:r w:rsidRPr="002F7EFC">
        <w:rPr>
          <w:rFonts w:ascii="Times New Roman" w:hAnsi="Times New Roman" w:cs="Times New Roman"/>
          <w:i/>
          <w:sz w:val="24"/>
          <w:szCs w:val="24"/>
        </w:rPr>
        <w:t xml:space="preserve"> v</w:t>
      </w:r>
      <w:r w:rsidR="00793621" w:rsidRPr="002F7EFC">
        <w:rPr>
          <w:rFonts w:ascii="Times New Roman" w:hAnsi="Times New Roman" w:cs="Times New Roman"/>
          <w:i/>
          <w:sz w:val="24"/>
          <w:szCs w:val="24"/>
        </w:rPr>
        <w:t xml:space="preserve"> </w:t>
      </w:r>
      <w:proofErr w:type="spellStart"/>
      <w:r w:rsidR="00793621" w:rsidRPr="002F7EFC">
        <w:rPr>
          <w:rFonts w:ascii="Times New Roman" w:hAnsi="Times New Roman" w:cs="Times New Roman"/>
          <w:i/>
          <w:sz w:val="24"/>
          <w:szCs w:val="24"/>
        </w:rPr>
        <w:t>Mutanga</w:t>
      </w:r>
      <w:proofErr w:type="spellEnd"/>
      <w:r w:rsidR="00793621">
        <w:rPr>
          <w:rFonts w:ascii="Times New Roman" w:hAnsi="Times New Roman" w:cs="Times New Roman"/>
          <w:sz w:val="24"/>
          <w:szCs w:val="24"/>
        </w:rPr>
        <w:t xml:space="preserve"> SC 5/18 </w:t>
      </w:r>
      <w:r w:rsidR="00F16988">
        <w:rPr>
          <w:rFonts w:ascii="Times New Roman" w:hAnsi="Times New Roman" w:cs="Times New Roman"/>
          <w:sz w:val="24"/>
          <w:szCs w:val="24"/>
        </w:rPr>
        <w:t xml:space="preserve">which shows that </w:t>
      </w:r>
      <w:r w:rsidR="00793621">
        <w:rPr>
          <w:rFonts w:ascii="Times New Roman" w:hAnsi="Times New Roman" w:cs="Times New Roman"/>
          <w:sz w:val="24"/>
          <w:szCs w:val="24"/>
        </w:rPr>
        <w:t>seeking to deal with a special plea</w:t>
      </w:r>
      <w:r w:rsidR="002F7EFC">
        <w:rPr>
          <w:rFonts w:ascii="Times New Roman" w:hAnsi="Times New Roman" w:cs="Times New Roman"/>
          <w:sz w:val="24"/>
          <w:szCs w:val="24"/>
        </w:rPr>
        <w:t xml:space="preserve"> by way of heads of argument would not be proper.</w:t>
      </w:r>
    </w:p>
    <w:p w:rsidR="002F7EFC" w:rsidRDefault="002F7EFC" w:rsidP="00AD4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a close look at the Plaintiff’s reply and heads shows the lack of detail in the reply which the Plaintiff then sought to beef up in heads. Strictly speaking the Plaintiff did not introduce new evidence in the heads of argument. He as a lay person sought to beef up and expand on his replication to the special plea. As a lay person the lack of detail and unsystematic presentation of his opposition of the special plea is not viewed as that there is no opposition to the special plea. It is my considered view that the Plaintiff’s failure to give detail of opposition in replication should not detract </w:t>
      </w:r>
      <w:r w:rsidR="00F16988">
        <w:rPr>
          <w:rFonts w:ascii="Times New Roman" w:hAnsi="Times New Roman" w:cs="Times New Roman"/>
          <w:sz w:val="24"/>
          <w:szCs w:val="24"/>
        </w:rPr>
        <w:t xml:space="preserve">the </w:t>
      </w:r>
      <w:r w:rsidR="00945AAA">
        <w:rPr>
          <w:rFonts w:ascii="Times New Roman" w:hAnsi="Times New Roman" w:cs="Times New Roman"/>
          <w:sz w:val="24"/>
          <w:szCs w:val="24"/>
        </w:rPr>
        <w:t>court from accepting that the special plea is opposed. Rule 4C application in the interest of ensuring justice is don</w:t>
      </w:r>
      <w:r w:rsidR="001031DF">
        <w:rPr>
          <w:rFonts w:ascii="Times New Roman" w:hAnsi="Times New Roman" w:cs="Times New Roman"/>
          <w:sz w:val="24"/>
          <w:szCs w:val="24"/>
        </w:rPr>
        <w:t>e should appropriately be invok</w:t>
      </w:r>
      <w:r w:rsidR="00945AAA">
        <w:rPr>
          <w:rFonts w:ascii="Times New Roman" w:hAnsi="Times New Roman" w:cs="Times New Roman"/>
          <w:sz w:val="24"/>
          <w:szCs w:val="24"/>
        </w:rPr>
        <w:t>ed in this case. It states:</w:t>
      </w:r>
    </w:p>
    <w:p w:rsidR="00945AAA" w:rsidRPr="00B35A68" w:rsidRDefault="00945AAA" w:rsidP="00B35A6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35A68">
        <w:rPr>
          <w:rFonts w:ascii="Times New Roman" w:hAnsi="Times New Roman" w:cs="Times New Roman"/>
        </w:rPr>
        <w:t>The court or a Judge may, in relation to any particular case before it or him, as the case may be-</w:t>
      </w:r>
    </w:p>
    <w:p w:rsidR="00B35A68" w:rsidRPr="00B35A68" w:rsidRDefault="00945AAA" w:rsidP="00B35A68">
      <w:pPr>
        <w:pStyle w:val="ListParagraph"/>
        <w:numPr>
          <w:ilvl w:val="0"/>
          <w:numId w:val="40"/>
        </w:numPr>
        <w:spacing w:after="0" w:line="240" w:lineRule="auto"/>
        <w:jc w:val="both"/>
        <w:rPr>
          <w:rFonts w:ascii="Times New Roman" w:hAnsi="Times New Roman" w:cs="Times New Roman"/>
        </w:rPr>
      </w:pPr>
      <w:r w:rsidRPr="00B35A68">
        <w:rPr>
          <w:rFonts w:ascii="Times New Roman" w:hAnsi="Times New Roman" w:cs="Times New Roman"/>
        </w:rPr>
        <w:t xml:space="preserve">direct, authorise or </w:t>
      </w:r>
      <w:r w:rsidR="00B35A68" w:rsidRPr="00B35A68">
        <w:rPr>
          <w:rFonts w:ascii="Times New Roman" w:hAnsi="Times New Roman" w:cs="Times New Roman"/>
        </w:rPr>
        <w:t>condone</w:t>
      </w:r>
      <w:r w:rsidRPr="00B35A68">
        <w:rPr>
          <w:rFonts w:ascii="Times New Roman" w:hAnsi="Times New Roman" w:cs="Times New Roman"/>
        </w:rPr>
        <w:t xml:space="preserve"> a </w:t>
      </w:r>
      <w:r w:rsidR="00B35A68" w:rsidRPr="00B35A68">
        <w:rPr>
          <w:rFonts w:ascii="Times New Roman" w:hAnsi="Times New Roman" w:cs="Times New Roman"/>
        </w:rPr>
        <w:t>departure</w:t>
      </w:r>
      <w:r w:rsidRPr="00B35A68">
        <w:rPr>
          <w:rFonts w:ascii="Times New Roman" w:hAnsi="Times New Roman" w:cs="Times New Roman"/>
        </w:rPr>
        <w:t xml:space="preserve"> from any provision of these rules, including an extension of</w:t>
      </w:r>
      <w:r w:rsidR="00B35A68" w:rsidRPr="00B35A68">
        <w:rPr>
          <w:rFonts w:ascii="Times New Roman" w:hAnsi="Times New Roman" w:cs="Times New Roman"/>
        </w:rPr>
        <w:t xml:space="preserve"> </w:t>
      </w:r>
      <w:r w:rsidRPr="00B35A68">
        <w:rPr>
          <w:rFonts w:ascii="Times New Roman" w:hAnsi="Times New Roman" w:cs="Times New Roman"/>
        </w:rPr>
        <w:t>any period specified therein, where it or he as the case may be</w:t>
      </w:r>
      <w:r w:rsidR="00B35A68" w:rsidRPr="00B35A68">
        <w:rPr>
          <w:rFonts w:ascii="Times New Roman" w:hAnsi="Times New Roman" w:cs="Times New Roman"/>
        </w:rPr>
        <w:t>, is satisfied that the departure is required in the interests of justice.</w:t>
      </w:r>
    </w:p>
    <w:p w:rsidR="00B35A68" w:rsidRDefault="00B35A68" w:rsidP="00B35A68">
      <w:pPr>
        <w:pStyle w:val="ListParagraph"/>
        <w:numPr>
          <w:ilvl w:val="0"/>
          <w:numId w:val="40"/>
        </w:numPr>
        <w:spacing w:after="0" w:line="240" w:lineRule="auto"/>
        <w:jc w:val="both"/>
        <w:rPr>
          <w:rFonts w:ascii="Times New Roman" w:hAnsi="Times New Roman" w:cs="Times New Roman"/>
          <w:sz w:val="24"/>
          <w:szCs w:val="24"/>
        </w:rPr>
      </w:pPr>
      <w:proofErr w:type="gramStart"/>
      <w:r w:rsidRPr="00B35A68">
        <w:rPr>
          <w:rFonts w:ascii="Times New Roman" w:hAnsi="Times New Roman" w:cs="Times New Roman"/>
        </w:rPr>
        <w:lastRenderedPageBreak/>
        <w:t>give</w:t>
      </w:r>
      <w:proofErr w:type="gramEnd"/>
      <w:r w:rsidRPr="00B35A68">
        <w:rPr>
          <w:rFonts w:ascii="Times New Roman" w:hAnsi="Times New Roman" w:cs="Times New Roman"/>
        </w:rPr>
        <w:t xml:space="preserve"> such directions as to procedure in respect of any matter not expressly provided for in these rules as appear to it or him, as the case may be, to be just and expedient</w:t>
      </w:r>
      <w:r>
        <w:rPr>
          <w:rFonts w:ascii="Times New Roman" w:hAnsi="Times New Roman" w:cs="Times New Roman"/>
          <w:sz w:val="24"/>
          <w:szCs w:val="24"/>
        </w:rPr>
        <w:t>.</w:t>
      </w:r>
      <w:r w:rsidR="00945AAA" w:rsidRPr="00945AAA">
        <w:rPr>
          <w:rFonts w:ascii="Times New Roman" w:hAnsi="Times New Roman" w:cs="Times New Roman"/>
          <w:sz w:val="24"/>
          <w:szCs w:val="24"/>
        </w:rPr>
        <w:t>”</w:t>
      </w:r>
    </w:p>
    <w:p w:rsidR="00296019" w:rsidRDefault="00296019" w:rsidP="00296019">
      <w:pPr>
        <w:pStyle w:val="ListParagraph"/>
        <w:spacing w:after="0" w:line="240" w:lineRule="auto"/>
        <w:ind w:left="1800"/>
        <w:jc w:val="both"/>
        <w:rPr>
          <w:rFonts w:ascii="Times New Roman" w:hAnsi="Times New Roman" w:cs="Times New Roman"/>
          <w:sz w:val="24"/>
          <w:szCs w:val="24"/>
        </w:rPr>
      </w:pPr>
    </w:p>
    <w:p w:rsidR="00B35A68" w:rsidRDefault="00B35A68" w:rsidP="00B35A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from the papers filed of record and oral submissions, the Plaintiff is opposing the special plea to dismiss his claim. </w:t>
      </w:r>
      <w:r w:rsidR="00F16988">
        <w:rPr>
          <w:rFonts w:ascii="Times New Roman" w:hAnsi="Times New Roman" w:cs="Times New Roman"/>
          <w:sz w:val="24"/>
          <w:szCs w:val="24"/>
        </w:rPr>
        <w:t xml:space="preserve">The lack of detail and flesh to substantiate the clear opposition should not be misconstrued to mean agreement in the circumstances. </w:t>
      </w:r>
      <w:r>
        <w:rPr>
          <w:rFonts w:ascii="Times New Roman" w:hAnsi="Times New Roman" w:cs="Times New Roman"/>
          <w:sz w:val="24"/>
          <w:szCs w:val="24"/>
        </w:rPr>
        <w:t>I will proceed to deal with the matter on merits.</w:t>
      </w:r>
    </w:p>
    <w:p w:rsidR="00B35A68" w:rsidRDefault="00B35A68" w:rsidP="00B35A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B35A68">
        <w:rPr>
          <w:rFonts w:ascii="Times New Roman" w:hAnsi="Times New Roman" w:cs="Times New Roman"/>
          <w:i/>
          <w:sz w:val="24"/>
          <w:szCs w:val="24"/>
        </w:rPr>
        <w:t>Maanda</w:t>
      </w:r>
      <w:proofErr w:type="spellEnd"/>
      <w:r>
        <w:rPr>
          <w:rFonts w:ascii="Times New Roman" w:hAnsi="Times New Roman" w:cs="Times New Roman"/>
          <w:sz w:val="24"/>
          <w:szCs w:val="24"/>
        </w:rPr>
        <w:t xml:space="preserve"> clearly </w:t>
      </w:r>
      <w:r w:rsidR="00493ABE">
        <w:rPr>
          <w:rFonts w:ascii="Times New Roman" w:hAnsi="Times New Roman" w:cs="Times New Roman"/>
          <w:sz w:val="24"/>
          <w:szCs w:val="24"/>
        </w:rPr>
        <w:t>spelt out the First and Second D</w:t>
      </w:r>
      <w:r>
        <w:rPr>
          <w:rFonts w:ascii="Times New Roman" w:hAnsi="Times New Roman" w:cs="Times New Roman"/>
          <w:sz w:val="24"/>
          <w:szCs w:val="24"/>
        </w:rPr>
        <w:t xml:space="preserve">efendant’s position.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the First and Second Defendants acted as agents for the former registered owners of the property that fell for sale. The First and Second Defendant</w:t>
      </w:r>
      <w:r w:rsidR="00493ABE">
        <w:rPr>
          <w:rFonts w:ascii="Times New Roman" w:hAnsi="Times New Roman" w:cs="Times New Roman"/>
          <w:sz w:val="24"/>
          <w:szCs w:val="24"/>
        </w:rPr>
        <w:t>s</w:t>
      </w:r>
      <w:r>
        <w:rPr>
          <w:rFonts w:ascii="Times New Roman" w:hAnsi="Times New Roman" w:cs="Times New Roman"/>
          <w:sz w:val="24"/>
          <w:szCs w:val="24"/>
        </w:rPr>
        <w:t xml:space="preserve"> therefore are not the owners of the property but as agents only facilitated the sale and subsequent transfer of property to the Third Defendant for and on behalf of their pr</w:t>
      </w:r>
      <w:r w:rsidR="00F16988">
        <w:rPr>
          <w:rFonts w:ascii="Times New Roman" w:hAnsi="Times New Roman" w:cs="Times New Roman"/>
          <w:sz w:val="24"/>
          <w:szCs w:val="24"/>
        </w:rPr>
        <w:t>incipal. The sellers and transfero</w:t>
      </w:r>
      <w:r>
        <w:rPr>
          <w:rFonts w:ascii="Times New Roman" w:hAnsi="Times New Roman" w:cs="Times New Roman"/>
          <w:sz w:val="24"/>
          <w:szCs w:val="24"/>
        </w:rPr>
        <w:t>rs are known but the summons issued by the Plaintiff does not include them. Considering that transfer was effected to the Third Defendant by the original owner</w:t>
      </w:r>
      <w:r w:rsidR="00A00982">
        <w:rPr>
          <w:rFonts w:ascii="Times New Roman" w:hAnsi="Times New Roman" w:cs="Times New Roman"/>
          <w:sz w:val="24"/>
          <w:szCs w:val="24"/>
        </w:rPr>
        <w:t>,</w:t>
      </w:r>
      <w:r>
        <w:rPr>
          <w:rFonts w:ascii="Times New Roman" w:hAnsi="Times New Roman" w:cs="Times New Roman"/>
          <w:sz w:val="24"/>
          <w:szCs w:val="24"/>
        </w:rPr>
        <w:t xml:space="preserve"> the </w:t>
      </w:r>
      <w:r w:rsidR="008B7578">
        <w:rPr>
          <w:rFonts w:ascii="Times New Roman" w:hAnsi="Times New Roman" w:cs="Times New Roman"/>
          <w:sz w:val="24"/>
          <w:szCs w:val="24"/>
        </w:rPr>
        <w:t>non-joinder</w:t>
      </w:r>
      <w:r>
        <w:rPr>
          <w:rFonts w:ascii="Times New Roman" w:hAnsi="Times New Roman" w:cs="Times New Roman"/>
          <w:sz w:val="24"/>
          <w:szCs w:val="24"/>
        </w:rPr>
        <w:t xml:space="preserve"> in this case is </w:t>
      </w:r>
      <w:r w:rsidR="008B7578">
        <w:rPr>
          <w:rFonts w:ascii="Times New Roman" w:hAnsi="Times New Roman" w:cs="Times New Roman"/>
          <w:sz w:val="24"/>
          <w:szCs w:val="24"/>
        </w:rPr>
        <w:t>fatal. The non-joinder is coupled with misjoinder of First and Se</w:t>
      </w:r>
      <w:r w:rsidR="00F16988">
        <w:rPr>
          <w:rFonts w:ascii="Times New Roman" w:hAnsi="Times New Roman" w:cs="Times New Roman"/>
          <w:sz w:val="24"/>
          <w:szCs w:val="24"/>
        </w:rPr>
        <w:t>cond Defendant who were discharg</w:t>
      </w:r>
      <w:r w:rsidR="008B7578">
        <w:rPr>
          <w:rFonts w:ascii="Times New Roman" w:hAnsi="Times New Roman" w:cs="Times New Roman"/>
          <w:sz w:val="24"/>
          <w:szCs w:val="24"/>
        </w:rPr>
        <w:t>ing legal functions for and on behalf of their principals.</w:t>
      </w:r>
    </w:p>
    <w:p w:rsidR="006D7AC0" w:rsidRDefault="008B7578" w:rsidP="00B35A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action against the First and Second Defendant is hazy. There is really no valid claim against the First and Second Defendants. They acted as agents in circumstances </w:t>
      </w:r>
      <w:r w:rsidR="00F16988">
        <w:rPr>
          <w:rFonts w:ascii="Times New Roman" w:hAnsi="Times New Roman" w:cs="Times New Roman"/>
          <w:sz w:val="24"/>
          <w:szCs w:val="24"/>
        </w:rPr>
        <w:t>w</w:t>
      </w:r>
      <w:r w:rsidR="009D2C77">
        <w:rPr>
          <w:rFonts w:ascii="Times New Roman" w:hAnsi="Times New Roman" w:cs="Times New Roman"/>
          <w:sz w:val="24"/>
          <w:szCs w:val="24"/>
        </w:rPr>
        <w:t>h</w:t>
      </w:r>
      <w:r w:rsidR="00F16988">
        <w:rPr>
          <w:rFonts w:ascii="Times New Roman" w:hAnsi="Times New Roman" w:cs="Times New Roman"/>
          <w:sz w:val="24"/>
          <w:szCs w:val="24"/>
        </w:rPr>
        <w:t>ere the principals were known. I</w:t>
      </w:r>
      <w:r>
        <w:rPr>
          <w:rFonts w:ascii="Times New Roman" w:hAnsi="Times New Roman" w:cs="Times New Roman"/>
          <w:sz w:val="24"/>
          <w:szCs w:val="24"/>
        </w:rPr>
        <w:t xml:space="preserve">n the case of </w:t>
      </w:r>
      <w:proofErr w:type="spellStart"/>
      <w:r w:rsidRPr="008B7578">
        <w:rPr>
          <w:rFonts w:ascii="Times New Roman" w:hAnsi="Times New Roman" w:cs="Times New Roman"/>
          <w:i/>
          <w:sz w:val="24"/>
          <w:szCs w:val="24"/>
        </w:rPr>
        <w:t>Musema</w:t>
      </w:r>
      <w:proofErr w:type="spellEnd"/>
      <w:r w:rsidRPr="008B7578">
        <w:rPr>
          <w:rFonts w:ascii="Times New Roman" w:hAnsi="Times New Roman" w:cs="Times New Roman"/>
          <w:i/>
          <w:sz w:val="24"/>
          <w:szCs w:val="24"/>
        </w:rPr>
        <w:t xml:space="preserve"> and Others v Estate </w:t>
      </w:r>
      <w:proofErr w:type="spellStart"/>
      <w:r w:rsidRPr="008B7578">
        <w:rPr>
          <w:rFonts w:ascii="Times New Roman" w:hAnsi="Times New Roman" w:cs="Times New Roman"/>
          <w:i/>
          <w:sz w:val="24"/>
          <w:szCs w:val="24"/>
        </w:rPr>
        <w:t>Misheck</w:t>
      </w:r>
      <w:proofErr w:type="spellEnd"/>
      <w:r w:rsidRPr="008B7578">
        <w:rPr>
          <w:rFonts w:ascii="Times New Roman" w:hAnsi="Times New Roman" w:cs="Times New Roman"/>
          <w:i/>
          <w:sz w:val="24"/>
          <w:szCs w:val="24"/>
        </w:rPr>
        <w:t xml:space="preserve"> </w:t>
      </w:r>
      <w:proofErr w:type="spellStart"/>
      <w:r w:rsidRPr="008B7578">
        <w:rPr>
          <w:rFonts w:ascii="Times New Roman" w:hAnsi="Times New Roman" w:cs="Times New Roman"/>
          <w:i/>
          <w:sz w:val="24"/>
          <w:szCs w:val="24"/>
        </w:rPr>
        <w:t>Tapomwa</w:t>
      </w:r>
      <w:proofErr w:type="spellEnd"/>
      <w:r w:rsidRPr="008B7578">
        <w:rPr>
          <w:rFonts w:ascii="Times New Roman" w:hAnsi="Times New Roman" w:cs="Times New Roman"/>
          <w:i/>
          <w:sz w:val="24"/>
          <w:szCs w:val="24"/>
        </w:rPr>
        <w:t xml:space="preserve"> and Others</w:t>
      </w:r>
      <w:r>
        <w:rPr>
          <w:rFonts w:ascii="Times New Roman" w:hAnsi="Times New Roman" w:cs="Times New Roman"/>
          <w:sz w:val="24"/>
          <w:szCs w:val="24"/>
        </w:rPr>
        <w:t xml:space="preserve"> HH 136/16</w:t>
      </w:r>
      <w:r w:rsidR="006D7AC0">
        <w:rPr>
          <w:rFonts w:ascii="Times New Roman" w:hAnsi="Times New Roman" w:cs="Times New Roman"/>
          <w:sz w:val="24"/>
          <w:szCs w:val="24"/>
        </w:rPr>
        <w:t xml:space="preserve">, </w:t>
      </w:r>
      <w:proofErr w:type="spellStart"/>
      <w:r w:rsidR="006D7AC0" w:rsidRPr="006D7AC0">
        <w:rPr>
          <w:rFonts w:ascii="Times New Roman" w:hAnsi="Times New Roman" w:cs="Times New Roman"/>
          <w:smallCaps/>
          <w:sz w:val="24"/>
          <w:szCs w:val="24"/>
        </w:rPr>
        <w:t>dube</w:t>
      </w:r>
      <w:proofErr w:type="spellEnd"/>
      <w:r w:rsidR="006D7AC0" w:rsidRPr="006D7AC0">
        <w:rPr>
          <w:rFonts w:ascii="Times New Roman" w:hAnsi="Times New Roman" w:cs="Times New Roman"/>
          <w:smallCaps/>
          <w:sz w:val="24"/>
          <w:szCs w:val="24"/>
        </w:rPr>
        <w:t xml:space="preserve"> j</w:t>
      </w:r>
      <w:r w:rsidR="006D7AC0">
        <w:rPr>
          <w:rFonts w:ascii="Times New Roman" w:hAnsi="Times New Roman" w:cs="Times New Roman"/>
          <w:sz w:val="24"/>
          <w:szCs w:val="24"/>
        </w:rPr>
        <w:t xml:space="preserve"> remarked as follows:</w:t>
      </w:r>
    </w:p>
    <w:p w:rsidR="008B7578" w:rsidRDefault="006D7AC0" w:rsidP="00D246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91F8C" w:rsidRPr="00D246F7">
        <w:rPr>
          <w:rFonts w:ascii="Times New Roman" w:hAnsi="Times New Roman" w:cs="Times New Roman"/>
        </w:rPr>
        <w:t>The law is clear where an agent executes a mandate on behalf of a known principal, he carries out the mandate on behalf of the principal and binds his principal. An agent who has actual or apparent authority is not liable for acts committed during the course of his employment. The principal remains accountable to the third party. The agent becomes liable only in instances where he has no authority to act or has not disclosed his principal or the principal is unidentified</w:t>
      </w:r>
      <w:r w:rsidR="00D246F7">
        <w:rPr>
          <w:rFonts w:ascii="Times New Roman" w:hAnsi="Times New Roman" w:cs="Times New Roman"/>
          <w:sz w:val="24"/>
          <w:szCs w:val="24"/>
        </w:rPr>
        <w:t>.</w:t>
      </w:r>
      <w:r>
        <w:rPr>
          <w:rFonts w:ascii="Times New Roman" w:hAnsi="Times New Roman" w:cs="Times New Roman"/>
          <w:sz w:val="24"/>
          <w:szCs w:val="24"/>
        </w:rPr>
        <w:t xml:space="preserve">” </w:t>
      </w:r>
    </w:p>
    <w:p w:rsidR="00D246F7" w:rsidRDefault="00D246F7" w:rsidP="00D246F7">
      <w:pPr>
        <w:spacing w:after="0" w:line="240" w:lineRule="auto"/>
        <w:ind w:left="720"/>
        <w:jc w:val="both"/>
        <w:rPr>
          <w:rFonts w:ascii="Times New Roman" w:hAnsi="Times New Roman" w:cs="Times New Roman"/>
          <w:sz w:val="24"/>
          <w:szCs w:val="24"/>
        </w:rPr>
      </w:pPr>
    </w:p>
    <w:p w:rsidR="00D246F7" w:rsidRDefault="00D246F7" w:rsidP="00D2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se</w:t>
      </w:r>
      <w:r w:rsidR="00F16988">
        <w:rPr>
          <w:rFonts w:ascii="Times New Roman" w:hAnsi="Times New Roman" w:cs="Times New Roman"/>
          <w:sz w:val="24"/>
          <w:szCs w:val="24"/>
        </w:rPr>
        <w:t>ller of the property entrusted a</w:t>
      </w:r>
      <w:r>
        <w:rPr>
          <w:rFonts w:ascii="Times New Roman" w:hAnsi="Times New Roman" w:cs="Times New Roman"/>
          <w:sz w:val="24"/>
          <w:szCs w:val="24"/>
        </w:rPr>
        <w:t>n estat</w:t>
      </w:r>
      <w:r w:rsidR="001031DF">
        <w:rPr>
          <w:rFonts w:ascii="Times New Roman" w:hAnsi="Times New Roman" w:cs="Times New Roman"/>
          <w:sz w:val="24"/>
          <w:szCs w:val="24"/>
        </w:rPr>
        <w:t>e agent and a conveyancer (Second and First</w:t>
      </w:r>
      <w:r>
        <w:rPr>
          <w:rFonts w:ascii="Times New Roman" w:hAnsi="Times New Roman" w:cs="Times New Roman"/>
          <w:sz w:val="24"/>
          <w:szCs w:val="24"/>
        </w:rPr>
        <w:t xml:space="preserve"> Defendant) with the responsibility to sell property and transfer title to</w:t>
      </w:r>
      <w:r w:rsidR="00F16988">
        <w:rPr>
          <w:rFonts w:ascii="Times New Roman" w:hAnsi="Times New Roman" w:cs="Times New Roman"/>
          <w:sz w:val="24"/>
          <w:szCs w:val="24"/>
        </w:rPr>
        <w:t xml:space="preserve"> the</w:t>
      </w:r>
      <w:r>
        <w:rPr>
          <w:rFonts w:ascii="Times New Roman" w:hAnsi="Times New Roman" w:cs="Times New Roman"/>
          <w:sz w:val="24"/>
          <w:szCs w:val="24"/>
        </w:rPr>
        <w:t xml:space="preserve"> purchase</w:t>
      </w:r>
      <w:r w:rsidR="00F16988">
        <w:rPr>
          <w:rFonts w:ascii="Times New Roman" w:hAnsi="Times New Roman" w:cs="Times New Roman"/>
          <w:sz w:val="24"/>
          <w:szCs w:val="24"/>
        </w:rPr>
        <w:t>r</w:t>
      </w:r>
      <w:r>
        <w:rPr>
          <w:rFonts w:ascii="Times New Roman" w:hAnsi="Times New Roman" w:cs="Times New Roman"/>
          <w:sz w:val="24"/>
          <w:szCs w:val="24"/>
        </w:rPr>
        <w:t xml:space="preserve"> respectively. The mandate was accomplished on behalf of the principal who is accountable to third party. The Plaintiff was aware of the principal and that First and Second Defendant</w:t>
      </w:r>
      <w:r w:rsidR="00493ABE">
        <w:rPr>
          <w:rFonts w:ascii="Times New Roman" w:hAnsi="Times New Roman" w:cs="Times New Roman"/>
          <w:sz w:val="24"/>
          <w:szCs w:val="24"/>
        </w:rPr>
        <w:t>s</w:t>
      </w:r>
      <w:r>
        <w:rPr>
          <w:rFonts w:ascii="Times New Roman" w:hAnsi="Times New Roman" w:cs="Times New Roman"/>
          <w:sz w:val="24"/>
          <w:szCs w:val="24"/>
        </w:rPr>
        <w:t xml:space="preserve"> were authorised a</w:t>
      </w:r>
      <w:r w:rsidR="00A00982">
        <w:rPr>
          <w:rFonts w:ascii="Times New Roman" w:hAnsi="Times New Roman" w:cs="Times New Roman"/>
          <w:sz w:val="24"/>
          <w:szCs w:val="24"/>
        </w:rPr>
        <w:t>gents but he proceeded to issue</w:t>
      </w:r>
      <w:r>
        <w:rPr>
          <w:rFonts w:ascii="Times New Roman" w:hAnsi="Times New Roman" w:cs="Times New Roman"/>
          <w:sz w:val="24"/>
          <w:szCs w:val="24"/>
        </w:rPr>
        <w:t xml:space="preserve"> summons against parties not privy to the contract of sal</w:t>
      </w:r>
      <w:r w:rsidR="009D2C77">
        <w:rPr>
          <w:rFonts w:ascii="Times New Roman" w:hAnsi="Times New Roman" w:cs="Times New Roman"/>
          <w:sz w:val="24"/>
          <w:szCs w:val="24"/>
        </w:rPr>
        <w:t>e. The seller and transferor were</w:t>
      </w:r>
      <w:r>
        <w:rPr>
          <w:rFonts w:ascii="Times New Roman" w:hAnsi="Times New Roman" w:cs="Times New Roman"/>
          <w:sz w:val="24"/>
          <w:szCs w:val="24"/>
        </w:rPr>
        <w:t xml:space="preserve"> excluded from the proceedings. The fact that the First and Second Defendant</w:t>
      </w:r>
      <w:r w:rsidR="00493ABE">
        <w:rPr>
          <w:rFonts w:ascii="Times New Roman" w:hAnsi="Times New Roman" w:cs="Times New Roman"/>
          <w:sz w:val="24"/>
          <w:szCs w:val="24"/>
        </w:rPr>
        <w:t>s</w:t>
      </w:r>
      <w:r>
        <w:rPr>
          <w:rFonts w:ascii="Times New Roman" w:hAnsi="Times New Roman" w:cs="Times New Roman"/>
          <w:sz w:val="24"/>
          <w:szCs w:val="24"/>
        </w:rPr>
        <w:t xml:space="preserve"> were authorised agents and disclosed principal supports the assertion by the Defendant that both the misjoinder and </w:t>
      </w:r>
      <w:r w:rsidR="005216ED">
        <w:rPr>
          <w:rFonts w:ascii="Times New Roman" w:hAnsi="Times New Roman" w:cs="Times New Roman"/>
          <w:sz w:val="24"/>
          <w:szCs w:val="24"/>
        </w:rPr>
        <w:t>non-joinder</w:t>
      </w:r>
      <w:r w:rsidR="002A3484">
        <w:rPr>
          <w:rFonts w:ascii="Times New Roman" w:hAnsi="Times New Roman" w:cs="Times New Roman"/>
          <w:sz w:val="24"/>
          <w:szCs w:val="24"/>
        </w:rPr>
        <w:t xml:space="preserve"> renders</w:t>
      </w:r>
      <w:r w:rsidR="00F16988">
        <w:rPr>
          <w:rFonts w:ascii="Times New Roman" w:hAnsi="Times New Roman" w:cs="Times New Roman"/>
          <w:sz w:val="24"/>
          <w:szCs w:val="24"/>
        </w:rPr>
        <w:t xml:space="preserve"> the Plaintiff’s claim </w:t>
      </w:r>
      <w:r w:rsidR="00D225DA">
        <w:rPr>
          <w:rFonts w:ascii="Times New Roman" w:hAnsi="Times New Roman" w:cs="Times New Roman"/>
          <w:sz w:val="24"/>
          <w:szCs w:val="24"/>
        </w:rPr>
        <w:t>fatal.</w:t>
      </w:r>
    </w:p>
    <w:p w:rsidR="00D225DA" w:rsidRDefault="00D225DA" w:rsidP="00D2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argument propagated by both Mr </w:t>
      </w:r>
      <w:proofErr w:type="spellStart"/>
      <w:r w:rsidRPr="00D225DA">
        <w:rPr>
          <w:rFonts w:ascii="Times New Roman" w:hAnsi="Times New Roman" w:cs="Times New Roman"/>
          <w:i/>
          <w:sz w:val="24"/>
          <w:szCs w:val="24"/>
        </w:rPr>
        <w:t>Maanda</w:t>
      </w:r>
      <w:proofErr w:type="spellEnd"/>
      <w:r>
        <w:rPr>
          <w:rFonts w:ascii="Times New Roman" w:hAnsi="Times New Roman" w:cs="Times New Roman"/>
          <w:sz w:val="24"/>
          <w:szCs w:val="24"/>
        </w:rPr>
        <w:t xml:space="preserve"> for the First and Second Defendant</w:t>
      </w:r>
      <w:r w:rsidR="00493ABE">
        <w:rPr>
          <w:rFonts w:ascii="Times New Roman" w:hAnsi="Times New Roman" w:cs="Times New Roman"/>
          <w:sz w:val="24"/>
          <w:szCs w:val="24"/>
        </w:rPr>
        <w:t>s</w:t>
      </w:r>
      <w:r w:rsidR="005216ED">
        <w:rPr>
          <w:rFonts w:ascii="Times New Roman" w:hAnsi="Times New Roman" w:cs="Times New Roman"/>
          <w:sz w:val="24"/>
          <w:szCs w:val="24"/>
        </w:rPr>
        <w:t xml:space="preserve"> and Mr </w:t>
      </w:r>
      <w:proofErr w:type="spellStart"/>
      <w:r w:rsidR="005216ED" w:rsidRPr="005216ED">
        <w:rPr>
          <w:rFonts w:ascii="Times New Roman" w:hAnsi="Times New Roman" w:cs="Times New Roman"/>
          <w:i/>
          <w:sz w:val="24"/>
          <w:szCs w:val="24"/>
        </w:rPr>
        <w:t>Majamanda</w:t>
      </w:r>
      <w:proofErr w:type="spellEnd"/>
      <w:r w:rsidR="005216ED">
        <w:rPr>
          <w:rFonts w:ascii="Times New Roman" w:hAnsi="Times New Roman" w:cs="Times New Roman"/>
          <w:sz w:val="24"/>
          <w:szCs w:val="24"/>
        </w:rPr>
        <w:t xml:space="preserve"> is that the claim by the Plaintiff has prescribed. According to the Defendants the cause of action that is the entire set of factors which enabled Plaintiff to bring a claim constituted the cancellation of his sale agreement</w:t>
      </w:r>
      <w:r w:rsidR="00F16988">
        <w:rPr>
          <w:rFonts w:ascii="Times New Roman" w:hAnsi="Times New Roman" w:cs="Times New Roman"/>
          <w:sz w:val="24"/>
          <w:szCs w:val="24"/>
        </w:rPr>
        <w:t>,</w:t>
      </w:r>
      <w:r w:rsidR="005216ED">
        <w:rPr>
          <w:rFonts w:ascii="Times New Roman" w:hAnsi="Times New Roman" w:cs="Times New Roman"/>
          <w:sz w:val="24"/>
          <w:szCs w:val="24"/>
        </w:rPr>
        <w:t xml:space="preserve"> </w:t>
      </w:r>
      <w:r w:rsidR="00F16988">
        <w:rPr>
          <w:rFonts w:ascii="Times New Roman" w:hAnsi="Times New Roman" w:cs="Times New Roman"/>
          <w:sz w:val="24"/>
          <w:szCs w:val="24"/>
        </w:rPr>
        <w:t>the communication</w:t>
      </w:r>
      <w:r w:rsidR="005216ED">
        <w:rPr>
          <w:rFonts w:ascii="Times New Roman" w:hAnsi="Times New Roman" w:cs="Times New Roman"/>
          <w:sz w:val="24"/>
          <w:szCs w:val="24"/>
        </w:rPr>
        <w:t xml:space="preserve"> of such cancellation</w:t>
      </w:r>
      <w:r w:rsidR="00F16988">
        <w:rPr>
          <w:rFonts w:ascii="Times New Roman" w:hAnsi="Times New Roman" w:cs="Times New Roman"/>
          <w:sz w:val="24"/>
          <w:szCs w:val="24"/>
        </w:rPr>
        <w:t>,</w:t>
      </w:r>
      <w:r w:rsidR="005216ED">
        <w:rPr>
          <w:rFonts w:ascii="Times New Roman" w:hAnsi="Times New Roman" w:cs="Times New Roman"/>
          <w:sz w:val="24"/>
          <w:szCs w:val="24"/>
        </w:rPr>
        <w:t xml:space="preserve"> and the subsequent sale to the Third Defendant. Cause of action has been simply defined in several case law</w:t>
      </w:r>
      <w:r w:rsidR="005D1371">
        <w:rPr>
          <w:rFonts w:ascii="Times New Roman" w:hAnsi="Times New Roman" w:cs="Times New Roman"/>
          <w:sz w:val="24"/>
          <w:szCs w:val="24"/>
        </w:rPr>
        <w:t>. In</w:t>
      </w:r>
      <w:r w:rsidR="005216ED">
        <w:rPr>
          <w:rFonts w:ascii="Times New Roman" w:hAnsi="Times New Roman" w:cs="Times New Roman"/>
          <w:sz w:val="24"/>
          <w:szCs w:val="24"/>
        </w:rPr>
        <w:t xml:space="preserve"> </w:t>
      </w:r>
      <w:proofErr w:type="spellStart"/>
      <w:r w:rsidR="005216ED" w:rsidRPr="005216ED">
        <w:rPr>
          <w:rFonts w:ascii="Times New Roman" w:hAnsi="Times New Roman" w:cs="Times New Roman"/>
          <w:i/>
          <w:sz w:val="24"/>
          <w:szCs w:val="24"/>
        </w:rPr>
        <w:t>Mukahlera</w:t>
      </w:r>
      <w:proofErr w:type="spellEnd"/>
      <w:r w:rsidR="005216ED" w:rsidRPr="005216ED">
        <w:rPr>
          <w:rFonts w:ascii="Times New Roman" w:hAnsi="Times New Roman" w:cs="Times New Roman"/>
          <w:i/>
          <w:sz w:val="24"/>
          <w:szCs w:val="24"/>
        </w:rPr>
        <w:t xml:space="preserve"> v Clerk of Parliament and Others</w:t>
      </w:r>
      <w:r w:rsidR="005216ED">
        <w:rPr>
          <w:rFonts w:ascii="Times New Roman" w:hAnsi="Times New Roman" w:cs="Times New Roman"/>
          <w:sz w:val="24"/>
          <w:szCs w:val="24"/>
        </w:rPr>
        <w:t xml:space="preserve"> HH 107/07 it was defined as:</w:t>
      </w:r>
    </w:p>
    <w:p w:rsidR="005216ED" w:rsidRDefault="005216ED" w:rsidP="005216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216ED">
        <w:rPr>
          <w:rFonts w:ascii="Times New Roman" w:hAnsi="Times New Roman" w:cs="Times New Roman"/>
        </w:rPr>
        <w:t>The entire set of facts which gives rise to an enforceable claim and includes every ac</w:t>
      </w:r>
      <w:r w:rsidR="009D2C77">
        <w:rPr>
          <w:rFonts w:ascii="Times New Roman" w:hAnsi="Times New Roman" w:cs="Times New Roman"/>
        </w:rPr>
        <w:t>t which is material to be prove</w:t>
      </w:r>
      <w:r w:rsidRPr="005216ED">
        <w:rPr>
          <w:rFonts w:ascii="Times New Roman" w:hAnsi="Times New Roman" w:cs="Times New Roman"/>
        </w:rPr>
        <w:t>d to entitle a Plaintiff to succeed in his claim</w:t>
      </w:r>
      <w:r>
        <w:rPr>
          <w:rFonts w:ascii="Times New Roman" w:hAnsi="Times New Roman" w:cs="Times New Roman"/>
          <w:sz w:val="24"/>
          <w:szCs w:val="24"/>
        </w:rPr>
        <w:t>.”</w:t>
      </w:r>
    </w:p>
    <w:p w:rsidR="005216ED" w:rsidRDefault="005216ED" w:rsidP="005216ED">
      <w:pPr>
        <w:spacing w:after="0" w:line="360" w:lineRule="auto"/>
        <w:jc w:val="both"/>
        <w:rPr>
          <w:rFonts w:ascii="Times New Roman" w:hAnsi="Times New Roman" w:cs="Times New Roman"/>
          <w:sz w:val="24"/>
          <w:szCs w:val="24"/>
        </w:rPr>
      </w:pPr>
    </w:p>
    <w:p w:rsidR="005216ED" w:rsidRDefault="005216ED" w:rsidP="00521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5216ED">
        <w:rPr>
          <w:rFonts w:ascii="Times New Roman" w:hAnsi="Times New Roman" w:cs="Times New Roman"/>
          <w:i/>
          <w:sz w:val="24"/>
          <w:szCs w:val="24"/>
        </w:rPr>
        <w:t>Dube</w:t>
      </w:r>
      <w:proofErr w:type="spellEnd"/>
      <w:r w:rsidRPr="005216ED">
        <w:rPr>
          <w:rFonts w:ascii="Times New Roman" w:hAnsi="Times New Roman" w:cs="Times New Roman"/>
          <w:i/>
          <w:sz w:val="24"/>
          <w:szCs w:val="24"/>
        </w:rPr>
        <w:t xml:space="preserve"> v Banana</w:t>
      </w:r>
      <w:r>
        <w:rPr>
          <w:rFonts w:ascii="Times New Roman" w:hAnsi="Times New Roman" w:cs="Times New Roman"/>
          <w:sz w:val="24"/>
          <w:szCs w:val="24"/>
        </w:rPr>
        <w:t xml:space="preserve"> 1998 (2) ZLR 92 and </w:t>
      </w:r>
      <w:r w:rsidRPr="005216ED">
        <w:rPr>
          <w:rFonts w:ascii="Times New Roman" w:hAnsi="Times New Roman" w:cs="Times New Roman"/>
          <w:i/>
          <w:sz w:val="24"/>
          <w:szCs w:val="24"/>
        </w:rPr>
        <w:t xml:space="preserve">Abrahams and Sons v A Railways and Harbours </w:t>
      </w:r>
      <w:r>
        <w:rPr>
          <w:rFonts w:ascii="Times New Roman" w:hAnsi="Times New Roman" w:cs="Times New Roman"/>
          <w:sz w:val="24"/>
          <w:szCs w:val="24"/>
        </w:rPr>
        <w:t>1933 CPD 626. In the present case the entire set of facts which would enable the Plaintiff to bring his claim</w:t>
      </w:r>
      <w:r w:rsidR="00FC41DA">
        <w:rPr>
          <w:rFonts w:ascii="Times New Roman" w:hAnsi="Times New Roman" w:cs="Times New Roman"/>
          <w:sz w:val="24"/>
          <w:szCs w:val="24"/>
        </w:rPr>
        <w:t xml:space="preserve"> constituted the cancellation, communication and sale to the Third Defendant. The Plaintiff was advised of cancellation of agreement between him and the Second Defendant’s principals on 14 September 2015, further notifications </w:t>
      </w:r>
      <w:r w:rsidR="005D1371">
        <w:rPr>
          <w:rFonts w:ascii="Times New Roman" w:hAnsi="Times New Roman" w:cs="Times New Roman"/>
          <w:sz w:val="24"/>
          <w:szCs w:val="24"/>
        </w:rPr>
        <w:t xml:space="preserve">were </w:t>
      </w:r>
      <w:r w:rsidR="00FC41DA">
        <w:rPr>
          <w:rFonts w:ascii="Times New Roman" w:hAnsi="Times New Roman" w:cs="Times New Roman"/>
          <w:sz w:val="24"/>
          <w:szCs w:val="24"/>
        </w:rPr>
        <w:t>effect</w:t>
      </w:r>
      <w:r w:rsidR="005D1371">
        <w:rPr>
          <w:rFonts w:ascii="Times New Roman" w:hAnsi="Times New Roman" w:cs="Times New Roman"/>
          <w:sz w:val="24"/>
          <w:szCs w:val="24"/>
        </w:rPr>
        <w:t>ed</w:t>
      </w:r>
      <w:r w:rsidR="00FC41DA">
        <w:rPr>
          <w:rFonts w:ascii="Times New Roman" w:hAnsi="Times New Roman" w:cs="Times New Roman"/>
          <w:sz w:val="24"/>
          <w:szCs w:val="24"/>
        </w:rPr>
        <w:t xml:space="preserve"> on 12 January 2016 and the subsequent sale and transfer of property on 30 December 2016 respectively. The Plaintiff was further notified of registration of transfer on 20 January 2017. From the sequence of events from the time of default</w:t>
      </w:r>
      <w:r w:rsidR="005D1371">
        <w:rPr>
          <w:rFonts w:ascii="Times New Roman" w:hAnsi="Times New Roman" w:cs="Times New Roman"/>
          <w:sz w:val="24"/>
          <w:szCs w:val="24"/>
        </w:rPr>
        <w:t xml:space="preserve"> of payment of purchase price</w:t>
      </w:r>
      <w:r w:rsidR="00FC41DA">
        <w:rPr>
          <w:rFonts w:ascii="Times New Roman" w:hAnsi="Times New Roman" w:cs="Times New Roman"/>
          <w:sz w:val="24"/>
          <w:szCs w:val="24"/>
        </w:rPr>
        <w:t xml:space="preserve"> on the Plaintiff’s party effective communication was done on cancellation from 14 September 2015 culminating in last communication of transfer on 20 January 2017.</w:t>
      </w:r>
    </w:p>
    <w:p w:rsidR="00FC41DA" w:rsidRDefault="00FC41DA" w:rsidP="00521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fact that the cause of action arose back then the Plaintiff did not bring any claim up until on 9 June 2020 after sale and transfer has long been concluded. Whichever way one were to calculate </w:t>
      </w:r>
      <w:r w:rsidR="005D1981">
        <w:rPr>
          <w:rFonts w:ascii="Times New Roman" w:hAnsi="Times New Roman" w:cs="Times New Roman"/>
          <w:sz w:val="24"/>
          <w:szCs w:val="24"/>
        </w:rPr>
        <w:t>the time lapse from 2015 or 2017 the claim is stale. In terms of the Prescription Act [</w:t>
      </w:r>
      <w:r w:rsidR="005D1981" w:rsidRPr="00A378E6">
        <w:rPr>
          <w:rFonts w:ascii="Times New Roman" w:hAnsi="Times New Roman" w:cs="Times New Roman"/>
          <w:i/>
          <w:sz w:val="24"/>
          <w:szCs w:val="24"/>
        </w:rPr>
        <w:t>Chapter 8:11</w:t>
      </w:r>
      <w:r w:rsidR="005D1981">
        <w:rPr>
          <w:rFonts w:ascii="Times New Roman" w:hAnsi="Times New Roman" w:cs="Times New Roman"/>
          <w:sz w:val="24"/>
          <w:szCs w:val="24"/>
        </w:rPr>
        <w:t>] s 5 (d) the claim should be brought to surface with</w:t>
      </w:r>
      <w:r w:rsidR="005D1371">
        <w:rPr>
          <w:rFonts w:ascii="Times New Roman" w:hAnsi="Times New Roman" w:cs="Times New Roman"/>
          <w:sz w:val="24"/>
          <w:szCs w:val="24"/>
        </w:rPr>
        <w:t>in</w:t>
      </w:r>
      <w:r w:rsidR="005D1981">
        <w:rPr>
          <w:rFonts w:ascii="Times New Roman" w:hAnsi="Times New Roman" w:cs="Times New Roman"/>
          <w:sz w:val="24"/>
          <w:szCs w:val="24"/>
        </w:rPr>
        <w:t xml:space="preserve"> 3 years of cause </w:t>
      </w:r>
      <w:r w:rsidR="00A378E6">
        <w:rPr>
          <w:rFonts w:ascii="Times New Roman" w:hAnsi="Times New Roman" w:cs="Times New Roman"/>
          <w:sz w:val="24"/>
          <w:szCs w:val="24"/>
        </w:rPr>
        <w:t xml:space="preserve">of action. The legislature’s intention among others </w:t>
      </w:r>
      <w:r w:rsidR="005D1371">
        <w:rPr>
          <w:rFonts w:ascii="Times New Roman" w:hAnsi="Times New Roman" w:cs="Times New Roman"/>
          <w:sz w:val="24"/>
          <w:szCs w:val="24"/>
        </w:rPr>
        <w:t xml:space="preserve">is </w:t>
      </w:r>
      <w:r w:rsidR="00A378E6">
        <w:rPr>
          <w:rFonts w:ascii="Times New Roman" w:hAnsi="Times New Roman" w:cs="Times New Roman"/>
          <w:sz w:val="24"/>
          <w:szCs w:val="24"/>
        </w:rPr>
        <w:t xml:space="preserve">to ensure certainty and finality of matters. The remarks by </w:t>
      </w:r>
      <w:proofErr w:type="spellStart"/>
      <w:r w:rsidR="00A378E6" w:rsidRPr="00A378E6">
        <w:rPr>
          <w:rFonts w:ascii="Times New Roman" w:hAnsi="Times New Roman" w:cs="Times New Roman"/>
          <w:smallCaps/>
          <w:sz w:val="24"/>
          <w:szCs w:val="24"/>
        </w:rPr>
        <w:t>mathonsi</w:t>
      </w:r>
      <w:proofErr w:type="spellEnd"/>
      <w:r w:rsidR="00A378E6" w:rsidRPr="00A378E6">
        <w:rPr>
          <w:rFonts w:ascii="Times New Roman" w:hAnsi="Times New Roman" w:cs="Times New Roman"/>
          <w:smallCaps/>
          <w:sz w:val="24"/>
          <w:szCs w:val="24"/>
        </w:rPr>
        <w:t xml:space="preserve"> j</w:t>
      </w:r>
      <w:r w:rsidR="00A378E6">
        <w:rPr>
          <w:rFonts w:ascii="Times New Roman" w:hAnsi="Times New Roman" w:cs="Times New Roman"/>
          <w:sz w:val="24"/>
          <w:szCs w:val="24"/>
        </w:rPr>
        <w:t xml:space="preserve">, as he then was, in </w:t>
      </w:r>
      <w:r w:rsidR="00A378E6" w:rsidRPr="00A378E6">
        <w:rPr>
          <w:rFonts w:ascii="Times New Roman" w:hAnsi="Times New Roman" w:cs="Times New Roman"/>
          <w:i/>
          <w:sz w:val="24"/>
          <w:szCs w:val="24"/>
        </w:rPr>
        <w:t>John Conrad Trust v The Federation</w:t>
      </w:r>
      <w:r w:rsidR="00A378E6">
        <w:rPr>
          <w:rFonts w:ascii="Times New Roman" w:hAnsi="Times New Roman" w:cs="Times New Roman"/>
          <w:sz w:val="24"/>
          <w:szCs w:val="24"/>
        </w:rPr>
        <w:t xml:space="preserve"> </w:t>
      </w:r>
      <w:r w:rsidR="00A378E6" w:rsidRPr="00A378E6">
        <w:rPr>
          <w:rFonts w:ascii="Times New Roman" w:hAnsi="Times New Roman" w:cs="Times New Roman"/>
          <w:i/>
          <w:sz w:val="24"/>
          <w:szCs w:val="24"/>
        </w:rPr>
        <w:t xml:space="preserve">of </w:t>
      </w:r>
      <w:proofErr w:type="spellStart"/>
      <w:r w:rsidR="00A378E6" w:rsidRPr="00A378E6">
        <w:rPr>
          <w:rFonts w:ascii="Times New Roman" w:hAnsi="Times New Roman" w:cs="Times New Roman"/>
          <w:i/>
          <w:sz w:val="24"/>
          <w:szCs w:val="24"/>
        </w:rPr>
        <w:t>Kushanda</w:t>
      </w:r>
      <w:proofErr w:type="spellEnd"/>
      <w:r w:rsidR="00A378E6" w:rsidRPr="00A378E6">
        <w:rPr>
          <w:rFonts w:ascii="Times New Roman" w:hAnsi="Times New Roman" w:cs="Times New Roman"/>
          <w:i/>
          <w:sz w:val="24"/>
          <w:szCs w:val="24"/>
        </w:rPr>
        <w:t xml:space="preserve"> Pre-School Trust</w:t>
      </w:r>
      <w:r w:rsidR="00A378E6">
        <w:rPr>
          <w:rFonts w:ascii="Times New Roman" w:hAnsi="Times New Roman" w:cs="Times New Roman"/>
          <w:sz w:val="24"/>
          <w:szCs w:val="24"/>
        </w:rPr>
        <w:t xml:space="preserve"> HH 503/15 are opposite. The court s</w:t>
      </w:r>
      <w:r w:rsidR="005D1371">
        <w:rPr>
          <w:rFonts w:ascii="Times New Roman" w:hAnsi="Times New Roman" w:cs="Times New Roman"/>
          <w:sz w:val="24"/>
          <w:szCs w:val="24"/>
        </w:rPr>
        <w:t>tated</w:t>
      </w:r>
      <w:r w:rsidR="00A378E6">
        <w:rPr>
          <w:rFonts w:ascii="Times New Roman" w:hAnsi="Times New Roman" w:cs="Times New Roman"/>
          <w:sz w:val="24"/>
          <w:szCs w:val="24"/>
        </w:rPr>
        <w:t>:</w:t>
      </w:r>
    </w:p>
    <w:p w:rsidR="00A378E6" w:rsidRDefault="00A378E6" w:rsidP="00A378E6">
      <w:pPr>
        <w:spacing w:after="0" w:line="240" w:lineRule="auto"/>
        <w:ind w:left="720"/>
        <w:jc w:val="both"/>
        <w:rPr>
          <w:rFonts w:ascii="Times New Roman" w:hAnsi="Times New Roman" w:cs="Times New Roman"/>
          <w:sz w:val="24"/>
          <w:szCs w:val="24"/>
        </w:rPr>
      </w:pPr>
      <w:r w:rsidRPr="00A378E6">
        <w:rPr>
          <w:rFonts w:ascii="Times New Roman" w:hAnsi="Times New Roman" w:cs="Times New Roman"/>
        </w:rPr>
        <w:t xml:space="preserve">“……..in fact there should be legal certainty and finality in the relationship of parties after the lapse of a certain period of time. It would be against public policy for one who had a complete cause of action to sit on it and not litigate upon it </w:t>
      </w:r>
      <w:r w:rsidRPr="00A378E6">
        <w:rPr>
          <w:rFonts w:ascii="Times New Roman" w:hAnsi="Times New Roman" w:cs="Times New Roman"/>
          <w:i/>
        </w:rPr>
        <w:t>ad infinitum</w:t>
      </w:r>
      <w:r>
        <w:rPr>
          <w:rFonts w:ascii="Times New Roman" w:hAnsi="Times New Roman" w:cs="Times New Roman"/>
          <w:sz w:val="24"/>
          <w:szCs w:val="24"/>
        </w:rPr>
        <w:t>.”</w:t>
      </w:r>
    </w:p>
    <w:p w:rsidR="00A378E6" w:rsidRDefault="00A378E6" w:rsidP="00A378E6">
      <w:pPr>
        <w:spacing w:after="0" w:line="240" w:lineRule="auto"/>
        <w:ind w:left="720"/>
        <w:jc w:val="both"/>
        <w:rPr>
          <w:rFonts w:ascii="Times New Roman" w:hAnsi="Times New Roman" w:cs="Times New Roman"/>
          <w:sz w:val="24"/>
          <w:szCs w:val="24"/>
        </w:rPr>
      </w:pPr>
    </w:p>
    <w:p w:rsidR="00A378E6" w:rsidRDefault="00A378E6"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378E6">
        <w:rPr>
          <w:rFonts w:ascii="Times New Roman" w:hAnsi="Times New Roman" w:cs="Times New Roman"/>
          <w:i/>
          <w:sz w:val="24"/>
          <w:szCs w:val="24"/>
        </w:rPr>
        <w:t>Cape Town Municipality v Allie N.O</w:t>
      </w:r>
      <w:r>
        <w:rPr>
          <w:rFonts w:ascii="Times New Roman" w:hAnsi="Times New Roman" w:cs="Times New Roman"/>
          <w:sz w:val="24"/>
          <w:szCs w:val="24"/>
        </w:rPr>
        <w:t xml:space="preserve"> 1981 (2) SA 1. The court commenting on prescription stated:</w:t>
      </w:r>
    </w:p>
    <w:p w:rsidR="00A378E6" w:rsidRPr="005D1371" w:rsidRDefault="00A378E6" w:rsidP="005D137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378E6">
        <w:rPr>
          <w:rFonts w:ascii="Times New Roman" w:hAnsi="Times New Roman" w:cs="Times New Roman"/>
        </w:rPr>
        <w:t>It cannot be denied</w:t>
      </w:r>
      <w:r w:rsidR="001031DF">
        <w:rPr>
          <w:rFonts w:ascii="Times New Roman" w:hAnsi="Times New Roman" w:cs="Times New Roman"/>
        </w:rPr>
        <w:t xml:space="preserve"> that society is intolerant to stal</w:t>
      </w:r>
      <w:r w:rsidRPr="00A378E6">
        <w:rPr>
          <w:rFonts w:ascii="Times New Roman" w:hAnsi="Times New Roman" w:cs="Times New Roman"/>
        </w:rPr>
        <w:t>e claims. The consequence is that a creditor is required to be vigilant in enforcing his rights. If he fails to enforce them timeously he may not enforce them at all</w:t>
      </w:r>
      <w:r>
        <w:rPr>
          <w:rFonts w:ascii="Times New Roman" w:hAnsi="Times New Roman" w:cs="Times New Roman"/>
          <w:sz w:val="24"/>
          <w:szCs w:val="24"/>
        </w:rPr>
        <w:t>.”</w:t>
      </w:r>
    </w:p>
    <w:p w:rsidR="00A378E6" w:rsidRDefault="00A378E6" w:rsidP="00A378E6">
      <w:pPr>
        <w:spacing w:after="0" w:line="240" w:lineRule="auto"/>
        <w:ind w:left="720"/>
        <w:jc w:val="both"/>
        <w:rPr>
          <w:rFonts w:ascii="Times New Roman" w:hAnsi="Times New Roman" w:cs="Times New Roman"/>
          <w:sz w:val="24"/>
          <w:szCs w:val="24"/>
        </w:rPr>
      </w:pPr>
    </w:p>
    <w:p w:rsidR="00A378E6" w:rsidRDefault="00A378E6"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Prescription extinguishes a claim. In this case the Plaintiff despite having </w:t>
      </w:r>
      <w:r w:rsidR="005D1371">
        <w:rPr>
          <w:rFonts w:ascii="Times New Roman" w:hAnsi="Times New Roman" w:cs="Times New Roman"/>
          <w:sz w:val="24"/>
          <w:szCs w:val="24"/>
        </w:rPr>
        <w:t xml:space="preserve">the </w:t>
      </w:r>
      <w:r>
        <w:rPr>
          <w:rFonts w:ascii="Times New Roman" w:hAnsi="Times New Roman" w:cs="Times New Roman"/>
          <w:sz w:val="24"/>
          <w:szCs w:val="24"/>
        </w:rPr>
        <w:t xml:space="preserve">entire set of facts to institute a claim did not bring his claim on time neither </w:t>
      </w:r>
      <w:r w:rsidR="008724CF">
        <w:rPr>
          <w:rFonts w:ascii="Times New Roman" w:hAnsi="Times New Roman" w:cs="Times New Roman"/>
          <w:sz w:val="24"/>
          <w:szCs w:val="24"/>
        </w:rPr>
        <w:t>did he do anything to interrupt the running of prescription. The Plaintiff’s claim was only filed on 9 June 2020 more than 3 years after cancellation of agreement</w:t>
      </w:r>
      <w:r w:rsidR="005D1371">
        <w:rPr>
          <w:rFonts w:ascii="Times New Roman" w:hAnsi="Times New Roman" w:cs="Times New Roman"/>
          <w:sz w:val="24"/>
          <w:szCs w:val="24"/>
        </w:rPr>
        <w:t>,</w:t>
      </w:r>
      <w:r w:rsidR="008724CF">
        <w:rPr>
          <w:rFonts w:ascii="Times New Roman" w:hAnsi="Times New Roman" w:cs="Times New Roman"/>
          <w:sz w:val="24"/>
          <w:szCs w:val="24"/>
        </w:rPr>
        <w:t xml:space="preserve"> subsequent sale and transfer to Third Defendant</w:t>
      </w:r>
      <w:r w:rsidR="003C1D92">
        <w:rPr>
          <w:rFonts w:ascii="Times New Roman" w:hAnsi="Times New Roman" w:cs="Times New Roman"/>
          <w:sz w:val="24"/>
          <w:szCs w:val="24"/>
        </w:rPr>
        <w:t>. The claim was prescribed and thus extinguished.</w:t>
      </w:r>
    </w:p>
    <w:p w:rsidR="003C1D92" w:rsidRDefault="003C1D92"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further sought to rely on the claims being </w:t>
      </w:r>
      <w:r w:rsidRPr="003C1D92">
        <w:rPr>
          <w:rFonts w:ascii="Times New Roman" w:hAnsi="Times New Roman" w:cs="Times New Roman"/>
          <w:i/>
          <w:sz w:val="24"/>
          <w:szCs w:val="24"/>
        </w:rPr>
        <w:t>res judicata</w:t>
      </w:r>
      <w:r>
        <w:rPr>
          <w:rFonts w:ascii="Times New Roman" w:hAnsi="Times New Roman" w:cs="Times New Roman"/>
          <w:sz w:val="24"/>
          <w:szCs w:val="24"/>
        </w:rPr>
        <w:t xml:space="preserve">. The main thrust of argument being that the Plaintiff and Third Defendant </w:t>
      </w:r>
      <w:r w:rsidR="002B4FD7">
        <w:rPr>
          <w:rFonts w:ascii="Times New Roman" w:hAnsi="Times New Roman" w:cs="Times New Roman"/>
          <w:sz w:val="24"/>
          <w:szCs w:val="24"/>
        </w:rPr>
        <w:t>(</w:t>
      </w:r>
      <w:r>
        <w:rPr>
          <w:rFonts w:ascii="Times New Roman" w:hAnsi="Times New Roman" w:cs="Times New Roman"/>
          <w:sz w:val="24"/>
          <w:szCs w:val="24"/>
        </w:rPr>
        <w:t>at time of hearing</w:t>
      </w:r>
      <w:r w:rsidR="002B4FD7">
        <w:rPr>
          <w:rFonts w:ascii="Times New Roman" w:hAnsi="Times New Roman" w:cs="Times New Roman"/>
          <w:sz w:val="24"/>
          <w:szCs w:val="24"/>
        </w:rPr>
        <w:t>,</w:t>
      </w:r>
      <w:r>
        <w:rPr>
          <w:rFonts w:ascii="Times New Roman" w:hAnsi="Times New Roman" w:cs="Times New Roman"/>
          <w:sz w:val="24"/>
          <w:szCs w:val="24"/>
        </w:rPr>
        <w:t xml:space="preserve"> the registered owner of the property in question</w:t>
      </w:r>
      <w:r w:rsidR="002B4FD7">
        <w:rPr>
          <w:rFonts w:ascii="Times New Roman" w:hAnsi="Times New Roman" w:cs="Times New Roman"/>
          <w:sz w:val="24"/>
          <w:szCs w:val="24"/>
        </w:rPr>
        <w:t>)</w:t>
      </w:r>
      <w:r>
        <w:rPr>
          <w:rFonts w:ascii="Times New Roman" w:hAnsi="Times New Roman" w:cs="Times New Roman"/>
          <w:sz w:val="24"/>
          <w:szCs w:val="24"/>
        </w:rPr>
        <w:t xml:space="preserve"> had been to court and ownership </w:t>
      </w:r>
      <w:r w:rsidR="00493ABE">
        <w:rPr>
          <w:rFonts w:ascii="Times New Roman" w:hAnsi="Times New Roman" w:cs="Times New Roman"/>
          <w:sz w:val="24"/>
          <w:szCs w:val="24"/>
        </w:rPr>
        <w:t xml:space="preserve">determined. </w:t>
      </w:r>
      <w:r>
        <w:rPr>
          <w:rFonts w:ascii="Times New Roman" w:hAnsi="Times New Roman" w:cs="Times New Roman"/>
          <w:sz w:val="24"/>
          <w:szCs w:val="24"/>
        </w:rPr>
        <w:t>The Third Defendant was declared the owner by this court and the Plaintiff was ordered to be evicted. The court order is still extant. In fact Plaintiff has since been evicted from the property in question on 26 March 2019.</w:t>
      </w:r>
    </w:p>
    <w:p w:rsidR="003C1D92" w:rsidRDefault="003C1D92"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 for </w:t>
      </w:r>
      <w:r w:rsidR="00E60B86">
        <w:rPr>
          <w:rFonts w:ascii="Times New Roman" w:hAnsi="Times New Roman" w:cs="Times New Roman"/>
          <w:sz w:val="24"/>
          <w:szCs w:val="24"/>
        </w:rPr>
        <w:t xml:space="preserve">successful invocation of </w:t>
      </w:r>
      <w:r w:rsidR="00E60B86" w:rsidRPr="00E60B86">
        <w:rPr>
          <w:rFonts w:ascii="Times New Roman" w:hAnsi="Times New Roman" w:cs="Times New Roman"/>
          <w:i/>
          <w:sz w:val="24"/>
          <w:szCs w:val="24"/>
        </w:rPr>
        <w:t>res judicata</w:t>
      </w:r>
      <w:r w:rsidR="00CE4A69">
        <w:rPr>
          <w:rFonts w:ascii="Times New Roman" w:hAnsi="Times New Roman" w:cs="Times New Roman"/>
          <w:sz w:val="24"/>
          <w:szCs w:val="24"/>
        </w:rPr>
        <w:t xml:space="preserve"> is</w:t>
      </w:r>
      <w:r w:rsidR="00E60B86">
        <w:rPr>
          <w:rFonts w:ascii="Times New Roman" w:hAnsi="Times New Roman" w:cs="Times New Roman"/>
          <w:sz w:val="24"/>
          <w:szCs w:val="24"/>
        </w:rPr>
        <w:t xml:space="preserve"> that the proceeding</w:t>
      </w:r>
      <w:r w:rsidR="00CE4A69">
        <w:rPr>
          <w:rFonts w:ascii="Times New Roman" w:hAnsi="Times New Roman" w:cs="Times New Roman"/>
          <w:sz w:val="24"/>
          <w:szCs w:val="24"/>
        </w:rPr>
        <w:t>s</w:t>
      </w:r>
      <w:r w:rsidR="00E60B86">
        <w:rPr>
          <w:rFonts w:ascii="Times New Roman" w:hAnsi="Times New Roman" w:cs="Times New Roman"/>
          <w:sz w:val="24"/>
          <w:szCs w:val="24"/>
        </w:rPr>
        <w:t xml:space="preserve"> relied upon </w:t>
      </w:r>
      <w:r w:rsidR="00CE4A69">
        <w:rPr>
          <w:rFonts w:ascii="Times New Roman" w:hAnsi="Times New Roman" w:cs="Times New Roman"/>
          <w:sz w:val="24"/>
          <w:szCs w:val="24"/>
        </w:rPr>
        <w:t xml:space="preserve">are </w:t>
      </w:r>
      <w:r w:rsidR="00E60B86">
        <w:rPr>
          <w:rFonts w:ascii="Times New Roman" w:hAnsi="Times New Roman" w:cs="Times New Roman"/>
          <w:sz w:val="24"/>
          <w:szCs w:val="24"/>
        </w:rPr>
        <w:t xml:space="preserve">involving the same parties or their privies and that the cause of action is the same. See </w:t>
      </w:r>
      <w:proofErr w:type="spellStart"/>
      <w:r w:rsidR="00E60B86" w:rsidRPr="00E60B86">
        <w:rPr>
          <w:rFonts w:ascii="Times New Roman" w:hAnsi="Times New Roman" w:cs="Times New Roman"/>
          <w:i/>
          <w:sz w:val="24"/>
          <w:szCs w:val="24"/>
        </w:rPr>
        <w:t>Wolfenden</w:t>
      </w:r>
      <w:proofErr w:type="spellEnd"/>
      <w:r w:rsidR="00E60B86" w:rsidRPr="00E60B86">
        <w:rPr>
          <w:rFonts w:ascii="Times New Roman" w:hAnsi="Times New Roman" w:cs="Times New Roman"/>
          <w:i/>
          <w:sz w:val="24"/>
          <w:szCs w:val="24"/>
        </w:rPr>
        <w:t xml:space="preserve"> v Jackson</w:t>
      </w:r>
      <w:r w:rsidR="00E60B86">
        <w:rPr>
          <w:rFonts w:ascii="Times New Roman" w:hAnsi="Times New Roman" w:cs="Times New Roman"/>
          <w:sz w:val="24"/>
          <w:szCs w:val="24"/>
        </w:rPr>
        <w:t xml:space="preserve"> 1985 (2) ZLR 313. The Plaintiff is seeking to assert his rights in order to challenge the ownership which is vested in the Third Defendant. This </w:t>
      </w:r>
      <w:r w:rsidR="002367C1">
        <w:rPr>
          <w:rFonts w:ascii="Times New Roman" w:hAnsi="Times New Roman" w:cs="Times New Roman"/>
          <w:sz w:val="24"/>
          <w:szCs w:val="24"/>
        </w:rPr>
        <w:t>was determined in HC 1377/19 an unchallenged default judgment and also HC 2042/19 which gave effect to the execution and eviction of the Plaintiff. This court is empowered to have recourse to its own court records and decisions for administration of justice. It is therefore a fact that ownership was determined i</w:t>
      </w:r>
      <w:r w:rsidR="00CE4A69">
        <w:rPr>
          <w:rFonts w:ascii="Times New Roman" w:hAnsi="Times New Roman" w:cs="Times New Roman"/>
          <w:sz w:val="24"/>
          <w:szCs w:val="24"/>
        </w:rPr>
        <w:t>n favour of Third Defendant thus</w:t>
      </w:r>
      <w:r w:rsidR="002367C1">
        <w:rPr>
          <w:rFonts w:ascii="Times New Roman" w:hAnsi="Times New Roman" w:cs="Times New Roman"/>
          <w:sz w:val="24"/>
          <w:szCs w:val="24"/>
        </w:rPr>
        <w:t xml:space="preserve"> rendering the matter </w:t>
      </w:r>
      <w:r w:rsidR="002367C1" w:rsidRPr="002367C1">
        <w:rPr>
          <w:rFonts w:ascii="Times New Roman" w:hAnsi="Times New Roman" w:cs="Times New Roman"/>
          <w:i/>
          <w:sz w:val="24"/>
          <w:szCs w:val="24"/>
        </w:rPr>
        <w:t>res judicata</w:t>
      </w:r>
      <w:r w:rsidR="002367C1">
        <w:rPr>
          <w:rFonts w:ascii="Times New Roman" w:hAnsi="Times New Roman" w:cs="Times New Roman"/>
          <w:sz w:val="24"/>
          <w:szCs w:val="24"/>
        </w:rPr>
        <w:t>.</w:t>
      </w:r>
    </w:p>
    <w:p w:rsidR="00CE4A69" w:rsidRDefault="002367C1"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w:t>
      </w:r>
      <w:r w:rsidR="00CE4A69">
        <w:rPr>
          <w:rFonts w:ascii="Times New Roman" w:hAnsi="Times New Roman" w:cs="Times New Roman"/>
          <w:sz w:val="24"/>
          <w:szCs w:val="24"/>
        </w:rPr>
        <w:t>dants</w:t>
      </w:r>
      <w:r w:rsidR="00A00982">
        <w:rPr>
          <w:rFonts w:ascii="Times New Roman" w:hAnsi="Times New Roman" w:cs="Times New Roman"/>
          <w:sz w:val="24"/>
          <w:szCs w:val="24"/>
        </w:rPr>
        <w:t xml:space="preserve"> also sought to rely on</w:t>
      </w:r>
      <w:r>
        <w:rPr>
          <w:rFonts w:ascii="Times New Roman" w:hAnsi="Times New Roman" w:cs="Times New Roman"/>
          <w:sz w:val="24"/>
          <w:szCs w:val="24"/>
        </w:rPr>
        <w:t xml:space="preserve"> </w:t>
      </w:r>
      <w:proofErr w:type="spellStart"/>
      <w:r w:rsidRPr="002367C1">
        <w:rPr>
          <w:rFonts w:ascii="Times New Roman" w:hAnsi="Times New Roman" w:cs="Times New Roman"/>
          <w:i/>
          <w:sz w:val="24"/>
          <w:szCs w:val="24"/>
        </w:rPr>
        <w:t>lis</w:t>
      </w:r>
      <w:proofErr w:type="spellEnd"/>
      <w:r w:rsidRPr="002367C1">
        <w:rPr>
          <w:rFonts w:ascii="Times New Roman" w:hAnsi="Times New Roman" w:cs="Times New Roman"/>
          <w:i/>
          <w:sz w:val="24"/>
          <w:szCs w:val="24"/>
        </w:rPr>
        <w:t xml:space="preserve"> </w:t>
      </w:r>
      <w:proofErr w:type="spellStart"/>
      <w:r w:rsidRPr="002367C1">
        <w:rPr>
          <w:rFonts w:ascii="Times New Roman" w:hAnsi="Times New Roman" w:cs="Times New Roman"/>
          <w:i/>
          <w:sz w:val="24"/>
          <w:szCs w:val="24"/>
        </w:rPr>
        <w:t>pendens</w:t>
      </w:r>
      <w:proofErr w:type="spellEnd"/>
      <w:r>
        <w:rPr>
          <w:rFonts w:ascii="Times New Roman" w:hAnsi="Times New Roman" w:cs="Times New Roman"/>
          <w:sz w:val="24"/>
          <w:szCs w:val="24"/>
        </w:rPr>
        <w:t xml:space="preserve"> considering that the Applicant had filed proceedings and HC 67/2020 this time citing the First a</w:t>
      </w:r>
      <w:r w:rsidR="00CE4A69">
        <w:rPr>
          <w:rFonts w:ascii="Times New Roman" w:hAnsi="Times New Roman" w:cs="Times New Roman"/>
          <w:sz w:val="24"/>
          <w:szCs w:val="24"/>
        </w:rPr>
        <w:t>nd Second Defendant’s principals</w:t>
      </w:r>
      <w:r>
        <w:rPr>
          <w:rFonts w:ascii="Times New Roman" w:hAnsi="Times New Roman" w:cs="Times New Roman"/>
          <w:sz w:val="24"/>
          <w:szCs w:val="24"/>
        </w:rPr>
        <w:t xml:space="preserve">. The Plaintiff at the time of hearing had withdrawn the case and as such the matter was not pending before the court. The Defendants did not pursue </w:t>
      </w:r>
      <w:proofErr w:type="spellStart"/>
      <w:r w:rsidRPr="002367C1">
        <w:rPr>
          <w:rFonts w:ascii="Times New Roman" w:hAnsi="Times New Roman" w:cs="Times New Roman"/>
          <w:i/>
          <w:sz w:val="24"/>
          <w:szCs w:val="24"/>
        </w:rPr>
        <w:t>lis</w:t>
      </w:r>
      <w:proofErr w:type="spellEnd"/>
      <w:r w:rsidRPr="002367C1">
        <w:rPr>
          <w:rFonts w:ascii="Times New Roman" w:hAnsi="Times New Roman" w:cs="Times New Roman"/>
          <w:i/>
          <w:sz w:val="24"/>
          <w:szCs w:val="24"/>
        </w:rPr>
        <w:t xml:space="preserve"> </w:t>
      </w:r>
      <w:proofErr w:type="spellStart"/>
      <w:r w:rsidRPr="002367C1">
        <w:rPr>
          <w:rFonts w:ascii="Times New Roman" w:hAnsi="Times New Roman" w:cs="Times New Roman"/>
          <w:i/>
          <w:sz w:val="24"/>
          <w:szCs w:val="24"/>
        </w:rPr>
        <w:t>pendens</w:t>
      </w:r>
      <w:proofErr w:type="spellEnd"/>
      <w:r>
        <w:rPr>
          <w:rFonts w:ascii="Times New Roman" w:hAnsi="Times New Roman" w:cs="Times New Roman"/>
          <w:sz w:val="24"/>
          <w:szCs w:val="24"/>
        </w:rPr>
        <w:t xml:space="preserve"> as a ground for the special plea as </w:t>
      </w:r>
      <w:r w:rsidR="00CE4A69">
        <w:rPr>
          <w:rFonts w:ascii="Times New Roman" w:hAnsi="Times New Roman" w:cs="Times New Roman"/>
          <w:sz w:val="24"/>
          <w:szCs w:val="24"/>
        </w:rPr>
        <w:t xml:space="preserve">it </w:t>
      </w:r>
      <w:r>
        <w:rPr>
          <w:rFonts w:ascii="Times New Roman" w:hAnsi="Times New Roman" w:cs="Times New Roman"/>
          <w:sz w:val="24"/>
          <w:szCs w:val="24"/>
        </w:rPr>
        <w:t xml:space="preserve">naturally fell off by withdrawal. </w:t>
      </w:r>
    </w:p>
    <w:p w:rsidR="00F766C4" w:rsidRDefault="002367C1" w:rsidP="00CE4A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Defendant also argued estoppel in support of dismissal of the Plaintiff’s claim.</w:t>
      </w:r>
      <w:r w:rsidR="00CE4A69">
        <w:rPr>
          <w:rFonts w:ascii="Times New Roman" w:hAnsi="Times New Roman" w:cs="Times New Roman"/>
          <w:sz w:val="24"/>
          <w:szCs w:val="24"/>
        </w:rPr>
        <w:t xml:space="preserve"> </w:t>
      </w:r>
      <w:r>
        <w:rPr>
          <w:rFonts w:ascii="Times New Roman" w:hAnsi="Times New Roman" w:cs="Times New Roman"/>
          <w:sz w:val="24"/>
          <w:szCs w:val="24"/>
        </w:rPr>
        <w:t>It is apparent the sale of property to the Plaintiff was in 2014. That sale agreement was cancelled due to non-payment of purchase price and communication of that cancellation was given to the Plaintiff. The latter ignored and neglected his obligation to pay purchase price culminating in the subsequent sale to the Third Defendant.</w:t>
      </w:r>
      <w:r w:rsidR="0044565A">
        <w:rPr>
          <w:rFonts w:ascii="Times New Roman" w:hAnsi="Times New Roman" w:cs="Times New Roman"/>
          <w:sz w:val="24"/>
          <w:szCs w:val="24"/>
        </w:rPr>
        <w:t xml:space="preserve"> The Thir</w:t>
      </w:r>
      <w:r w:rsidR="001031DF">
        <w:rPr>
          <w:rFonts w:ascii="Times New Roman" w:hAnsi="Times New Roman" w:cs="Times New Roman"/>
          <w:sz w:val="24"/>
          <w:szCs w:val="24"/>
        </w:rPr>
        <w:t>d Defendant paid and had propert</w:t>
      </w:r>
      <w:r w:rsidR="0044565A">
        <w:rPr>
          <w:rFonts w:ascii="Times New Roman" w:hAnsi="Times New Roman" w:cs="Times New Roman"/>
          <w:sz w:val="24"/>
          <w:szCs w:val="24"/>
        </w:rPr>
        <w:t>y transferred to him by the Deeds Registries Office. Cancellation of the sale agreement was communicated to the Plaintiff in 2014 and 2015 a</w:t>
      </w:r>
      <w:r w:rsidR="00CE4A69">
        <w:rPr>
          <w:rFonts w:ascii="Times New Roman" w:hAnsi="Times New Roman" w:cs="Times New Roman"/>
          <w:sz w:val="24"/>
          <w:szCs w:val="24"/>
        </w:rPr>
        <w:t>nd remained inactive until June</w:t>
      </w:r>
      <w:r w:rsidR="0044565A">
        <w:rPr>
          <w:rFonts w:ascii="Times New Roman" w:hAnsi="Times New Roman" w:cs="Times New Roman"/>
          <w:sz w:val="24"/>
          <w:szCs w:val="24"/>
        </w:rPr>
        <w:t xml:space="preserve"> 2020. This was way after the sale to the Third Defendant and subsequent transfer to the Third Defendant.</w:t>
      </w:r>
      <w:r w:rsidR="00F766C4">
        <w:rPr>
          <w:rFonts w:ascii="Times New Roman" w:hAnsi="Times New Roman" w:cs="Times New Roman"/>
          <w:sz w:val="24"/>
          <w:szCs w:val="24"/>
        </w:rPr>
        <w:t xml:space="preserve"> </w:t>
      </w:r>
    </w:p>
    <w:p w:rsidR="002367C1" w:rsidRDefault="00F766C4"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the</w:t>
      </w:r>
      <w:r w:rsidR="00493ABE">
        <w:rPr>
          <w:rFonts w:ascii="Times New Roman" w:hAnsi="Times New Roman" w:cs="Times New Roman"/>
          <w:sz w:val="24"/>
          <w:szCs w:val="24"/>
        </w:rPr>
        <w:t xml:space="preserve"> inaction </w:t>
      </w:r>
      <w:r>
        <w:rPr>
          <w:rFonts w:ascii="Times New Roman" w:hAnsi="Times New Roman" w:cs="Times New Roman"/>
          <w:sz w:val="24"/>
          <w:szCs w:val="24"/>
        </w:rPr>
        <w:t>and delay for an unreasonable length of time the Plaintiff would have to contest with the defence of esto</w:t>
      </w:r>
      <w:r w:rsidR="00125358">
        <w:rPr>
          <w:rFonts w:ascii="Times New Roman" w:hAnsi="Times New Roman" w:cs="Times New Roman"/>
          <w:sz w:val="24"/>
          <w:szCs w:val="24"/>
        </w:rPr>
        <w:t>p</w:t>
      </w:r>
      <w:r>
        <w:rPr>
          <w:rFonts w:ascii="Times New Roman" w:hAnsi="Times New Roman" w:cs="Times New Roman"/>
          <w:sz w:val="24"/>
          <w:szCs w:val="24"/>
        </w:rPr>
        <w:t xml:space="preserve">pel. See </w:t>
      </w:r>
      <w:r w:rsidRPr="00F766C4">
        <w:rPr>
          <w:rFonts w:ascii="Times New Roman" w:hAnsi="Times New Roman" w:cs="Times New Roman"/>
          <w:i/>
          <w:sz w:val="24"/>
          <w:szCs w:val="24"/>
        </w:rPr>
        <w:t xml:space="preserve">North Vaal Mineral Co. Ltd v </w:t>
      </w:r>
      <w:proofErr w:type="spellStart"/>
      <w:r w:rsidRPr="00F766C4">
        <w:rPr>
          <w:rFonts w:ascii="Times New Roman" w:hAnsi="Times New Roman" w:cs="Times New Roman"/>
          <w:i/>
          <w:sz w:val="24"/>
          <w:szCs w:val="24"/>
        </w:rPr>
        <w:t>Lavasz</w:t>
      </w:r>
      <w:proofErr w:type="spellEnd"/>
      <w:r>
        <w:rPr>
          <w:rFonts w:ascii="Times New Roman" w:hAnsi="Times New Roman" w:cs="Times New Roman"/>
          <w:sz w:val="24"/>
          <w:szCs w:val="24"/>
        </w:rPr>
        <w:t xml:space="preserve"> 1961 (3) SA 604 and also </w:t>
      </w:r>
      <w:proofErr w:type="spellStart"/>
      <w:r w:rsidRPr="00F766C4">
        <w:rPr>
          <w:rFonts w:ascii="Times New Roman" w:hAnsi="Times New Roman" w:cs="Times New Roman"/>
          <w:i/>
          <w:sz w:val="24"/>
          <w:szCs w:val="24"/>
        </w:rPr>
        <w:t>Resisto</w:t>
      </w:r>
      <w:proofErr w:type="spellEnd"/>
      <w:r w:rsidRPr="00F766C4">
        <w:rPr>
          <w:rFonts w:ascii="Times New Roman" w:hAnsi="Times New Roman" w:cs="Times New Roman"/>
          <w:i/>
          <w:sz w:val="24"/>
          <w:szCs w:val="24"/>
        </w:rPr>
        <w:t xml:space="preserve"> Dairy (Pvt) Ltd v A</w:t>
      </w:r>
      <w:r>
        <w:rPr>
          <w:rFonts w:ascii="Times New Roman" w:hAnsi="Times New Roman" w:cs="Times New Roman"/>
          <w:i/>
          <w:sz w:val="24"/>
          <w:szCs w:val="24"/>
        </w:rPr>
        <w:t xml:space="preserve">uto </w:t>
      </w:r>
      <w:r w:rsidRPr="00F766C4">
        <w:rPr>
          <w:rFonts w:ascii="Times New Roman" w:hAnsi="Times New Roman" w:cs="Times New Roman"/>
          <w:i/>
          <w:sz w:val="24"/>
          <w:szCs w:val="24"/>
        </w:rPr>
        <w:t>Protection Insurance Co. Ltd</w:t>
      </w:r>
      <w:r w:rsidR="00CE4A69">
        <w:rPr>
          <w:rFonts w:ascii="Times New Roman" w:hAnsi="Times New Roman" w:cs="Times New Roman"/>
          <w:sz w:val="24"/>
          <w:szCs w:val="24"/>
        </w:rPr>
        <w:t xml:space="preserve"> 1963 (1) SA 632 A. A</w:t>
      </w:r>
      <w:r>
        <w:rPr>
          <w:rFonts w:ascii="Times New Roman" w:hAnsi="Times New Roman" w:cs="Times New Roman"/>
          <w:sz w:val="24"/>
          <w:szCs w:val="24"/>
        </w:rPr>
        <w:t>t the time the Plaintiff chose</w:t>
      </w:r>
      <w:r w:rsidR="00CE4A69">
        <w:rPr>
          <w:rFonts w:ascii="Times New Roman" w:hAnsi="Times New Roman" w:cs="Times New Roman"/>
          <w:sz w:val="24"/>
          <w:szCs w:val="24"/>
        </w:rPr>
        <w:t xml:space="preserve"> to act as the Third Defendant was already</w:t>
      </w:r>
      <w:r>
        <w:rPr>
          <w:rFonts w:ascii="Times New Roman" w:hAnsi="Times New Roman" w:cs="Times New Roman"/>
          <w:sz w:val="24"/>
          <w:szCs w:val="24"/>
        </w:rPr>
        <w:t xml:space="preserve"> legal owner of the immovable property in question. As a registered owner by law the Defendant’s rights are vindicated. It is trite that once a deed of transfer is obtained it is public information and the whole world is assumed by operations of law to be aware. It follows therefore that from 30 December 2016 </w:t>
      </w:r>
      <w:r w:rsidR="00125358">
        <w:rPr>
          <w:rFonts w:ascii="Times New Roman" w:hAnsi="Times New Roman" w:cs="Times New Roman"/>
          <w:sz w:val="24"/>
          <w:szCs w:val="24"/>
        </w:rPr>
        <w:t>when transfer was effected the Plaintiff was aware of the Third Defenda</w:t>
      </w:r>
      <w:r w:rsidR="009D2C77">
        <w:rPr>
          <w:rFonts w:ascii="Times New Roman" w:hAnsi="Times New Roman" w:cs="Times New Roman"/>
          <w:sz w:val="24"/>
          <w:szCs w:val="24"/>
        </w:rPr>
        <w:t>nt’s ownership but he only react</w:t>
      </w:r>
      <w:r w:rsidR="00125358">
        <w:rPr>
          <w:rFonts w:ascii="Times New Roman" w:hAnsi="Times New Roman" w:cs="Times New Roman"/>
          <w:sz w:val="24"/>
          <w:szCs w:val="24"/>
        </w:rPr>
        <w:t>ed in June 2020 hence both estoppel and prescriptions a</w:t>
      </w:r>
      <w:r w:rsidR="00A00982">
        <w:rPr>
          <w:rFonts w:ascii="Times New Roman" w:hAnsi="Times New Roman" w:cs="Times New Roman"/>
          <w:sz w:val="24"/>
          <w:szCs w:val="24"/>
        </w:rPr>
        <w:t>re</w:t>
      </w:r>
      <w:r w:rsidR="00125358">
        <w:rPr>
          <w:rFonts w:ascii="Times New Roman" w:hAnsi="Times New Roman" w:cs="Times New Roman"/>
          <w:sz w:val="24"/>
          <w:szCs w:val="24"/>
        </w:rPr>
        <w:t xml:space="preserve"> validly laid as basis of the special plea. See </w:t>
      </w:r>
      <w:proofErr w:type="spellStart"/>
      <w:r w:rsidR="00125358" w:rsidRPr="00125358">
        <w:rPr>
          <w:rFonts w:ascii="Times New Roman" w:hAnsi="Times New Roman" w:cs="Times New Roman"/>
          <w:i/>
          <w:sz w:val="24"/>
          <w:szCs w:val="24"/>
        </w:rPr>
        <w:t>Eftromou</w:t>
      </w:r>
      <w:proofErr w:type="spellEnd"/>
      <w:r w:rsidR="00125358" w:rsidRPr="00125358">
        <w:rPr>
          <w:rFonts w:ascii="Times New Roman" w:hAnsi="Times New Roman" w:cs="Times New Roman"/>
          <w:i/>
          <w:sz w:val="24"/>
          <w:szCs w:val="24"/>
        </w:rPr>
        <w:t xml:space="preserve"> Pvt Ltd</w:t>
      </w:r>
      <w:r w:rsidR="00125358">
        <w:rPr>
          <w:rFonts w:ascii="Times New Roman" w:hAnsi="Times New Roman" w:cs="Times New Roman"/>
          <w:sz w:val="24"/>
          <w:szCs w:val="24"/>
        </w:rPr>
        <w:t xml:space="preserve"> HH 112/13.</w:t>
      </w:r>
    </w:p>
    <w:p w:rsidR="001031DF" w:rsidRDefault="00125358" w:rsidP="001031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totality of submissions it is clear that the cancellation of the sale agreement between the Plaintiff and the First and Second Defendants’ principals </w:t>
      </w:r>
      <w:r w:rsidR="00CE4A69">
        <w:rPr>
          <w:rFonts w:ascii="Times New Roman" w:hAnsi="Times New Roman" w:cs="Times New Roman"/>
          <w:sz w:val="24"/>
          <w:szCs w:val="24"/>
        </w:rPr>
        <w:t>was communicated as early as</w:t>
      </w:r>
      <w:r>
        <w:rPr>
          <w:rFonts w:ascii="Times New Roman" w:hAnsi="Times New Roman" w:cs="Times New Roman"/>
          <w:sz w:val="24"/>
          <w:szCs w:val="24"/>
        </w:rPr>
        <w:t xml:space="preserve"> 2015. Further communication in 2016 and subsequent sale of th</w:t>
      </w:r>
      <w:r w:rsidR="00CE4A69">
        <w:rPr>
          <w:rFonts w:ascii="Times New Roman" w:hAnsi="Times New Roman" w:cs="Times New Roman"/>
          <w:sz w:val="24"/>
          <w:szCs w:val="24"/>
        </w:rPr>
        <w:t>e property to Third Defendant, c</w:t>
      </w:r>
      <w:r>
        <w:rPr>
          <w:rFonts w:ascii="Times New Roman" w:hAnsi="Times New Roman" w:cs="Times New Roman"/>
          <w:sz w:val="24"/>
          <w:szCs w:val="24"/>
        </w:rPr>
        <w:t>ulminating in transfer in 2016 was to the knowledge of the Plaintiff. The Plaintiff despite the knowledge did not take action until June 2020 when he issued summons. The Defendant’s special pleas that the Plaintiff’s claim must be dismissed on basis of prescription</w:t>
      </w:r>
      <w:r w:rsidR="009D2C77">
        <w:rPr>
          <w:rFonts w:ascii="Times New Roman" w:hAnsi="Times New Roman" w:cs="Times New Roman"/>
          <w:sz w:val="24"/>
          <w:szCs w:val="24"/>
        </w:rPr>
        <w:t>,</w:t>
      </w:r>
      <w:r>
        <w:rPr>
          <w:rFonts w:ascii="Times New Roman" w:hAnsi="Times New Roman" w:cs="Times New Roman"/>
          <w:sz w:val="24"/>
          <w:szCs w:val="24"/>
        </w:rPr>
        <w:t xml:space="preserve"> estoppel, non-joinder and misjoinder is well supported by the facts of this matter.</w:t>
      </w:r>
      <w:r w:rsidR="001031DF" w:rsidRPr="001031DF">
        <w:rPr>
          <w:rFonts w:ascii="Times New Roman" w:hAnsi="Times New Roman" w:cs="Times New Roman"/>
          <w:sz w:val="24"/>
          <w:szCs w:val="24"/>
        </w:rPr>
        <w:t xml:space="preserve"> </w:t>
      </w:r>
      <w:r w:rsidR="001031DF">
        <w:rPr>
          <w:rFonts w:ascii="Times New Roman" w:hAnsi="Times New Roman" w:cs="Times New Roman"/>
          <w:sz w:val="24"/>
          <w:szCs w:val="24"/>
        </w:rPr>
        <w:t xml:space="preserve">The special plea must succeed. </w:t>
      </w:r>
    </w:p>
    <w:p w:rsidR="00125358" w:rsidRDefault="00125358"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have applied fo</w:t>
      </w:r>
      <w:r w:rsidR="00CE4A69">
        <w:rPr>
          <w:rFonts w:ascii="Times New Roman" w:hAnsi="Times New Roman" w:cs="Times New Roman"/>
          <w:sz w:val="24"/>
          <w:szCs w:val="24"/>
        </w:rPr>
        <w:t>r costs on a punitive scale to c</w:t>
      </w:r>
      <w:r>
        <w:rPr>
          <w:rFonts w:ascii="Times New Roman" w:hAnsi="Times New Roman" w:cs="Times New Roman"/>
          <w:sz w:val="24"/>
          <w:szCs w:val="24"/>
        </w:rPr>
        <w:t>ensor the Plaintiff from using intemperate and derogatory language. Indeed the heads o</w:t>
      </w:r>
      <w:r w:rsidR="001031DF">
        <w:rPr>
          <w:rFonts w:ascii="Times New Roman" w:hAnsi="Times New Roman" w:cs="Times New Roman"/>
          <w:sz w:val="24"/>
          <w:szCs w:val="24"/>
        </w:rPr>
        <w:t>f arguments</w:t>
      </w:r>
      <w:r w:rsidR="00CE4A69">
        <w:rPr>
          <w:rFonts w:ascii="Times New Roman" w:hAnsi="Times New Roman" w:cs="Times New Roman"/>
          <w:sz w:val="24"/>
          <w:szCs w:val="24"/>
        </w:rPr>
        <w:t xml:space="preserve"> to a marked</w:t>
      </w:r>
      <w:r>
        <w:rPr>
          <w:rFonts w:ascii="Times New Roman" w:hAnsi="Times New Roman" w:cs="Times New Roman"/>
          <w:sz w:val="24"/>
          <w:szCs w:val="24"/>
        </w:rPr>
        <w:t xml:space="preserve"> extent appeared accusatorial and </w:t>
      </w:r>
      <w:proofErr w:type="spellStart"/>
      <w:r>
        <w:rPr>
          <w:rFonts w:ascii="Times New Roman" w:hAnsi="Times New Roman" w:cs="Times New Roman"/>
          <w:sz w:val="24"/>
          <w:szCs w:val="24"/>
        </w:rPr>
        <w:t>insultive</w:t>
      </w:r>
      <w:proofErr w:type="spellEnd"/>
      <w:r>
        <w:rPr>
          <w:rFonts w:ascii="Times New Roman" w:hAnsi="Times New Roman" w:cs="Times New Roman"/>
          <w:sz w:val="24"/>
          <w:szCs w:val="24"/>
        </w:rPr>
        <w:t xml:space="preserve"> of the justice delivery system, the Judicial Service Commission, the Secretary Ministry of Justice, the Judges and the Judge President. The Plaintiff referred to the official</w:t>
      </w:r>
      <w:r w:rsidR="00A00982">
        <w:rPr>
          <w:rFonts w:ascii="Times New Roman" w:hAnsi="Times New Roman" w:cs="Times New Roman"/>
          <w:sz w:val="24"/>
          <w:szCs w:val="24"/>
        </w:rPr>
        <w:t>s</w:t>
      </w:r>
      <w:r>
        <w:rPr>
          <w:rFonts w:ascii="Times New Roman" w:hAnsi="Times New Roman" w:cs="Times New Roman"/>
          <w:sz w:val="24"/>
          <w:szCs w:val="24"/>
        </w:rPr>
        <w:t xml:space="preserve"> as puppets and </w:t>
      </w:r>
      <w:r w:rsidR="007D5272">
        <w:rPr>
          <w:rFonts w:ascii="Times New Roman" w:hAnsi="Times New Roman" w:cs="Times New Roman"/>
          <w:sz w:val="24"/>
          <w:szCs w:val="24"/>
        </w:rPr>
        <w:t>economic</w:t>
      </w:r>
      <w:r>
        <w:rPr>
          <w:rFonts w:ascii="Times New Roman" w:hAnsi="Times New Roman" w:cs="Times New Roman"/>
          <w:sz w:val="24"/>
          <w:szCs w:val="24"/>
        </w:rPr>
        <w:t xml:space="preserve"> </w:t>
      </w:r>
      <w:r w:rsidR="007D5272">
        <w:rPr>
          <w:rFonts w:ascii="Times New Roman" w:hAnsi="Times New Roman" w:cs="Times New Roman"/>
          <w:sz w:val="24"/>
          <w:szCs w:val="24"/>
        </w:rPr>
        <w:t>saboteurs</w:t>
      </w:r>
      <w:r>
        <w:rPr>
          <w:rFonts w:ascii="Times New Roman" w:hAnsi="Times New Roman" w:cs="Times New Roman"/>
          <w:sz w:val="24"/>
          <w:szCs w:val="24"/>
        </w:rPr>
        <w:t xml:space="preserve"> as examples without necessary </w:t>
      </w:r>
      <w:r w:rsidR="007D5272">
        <w:rPr>
          <w:rFonts w:ascii="Times New Roman" w:hAnsi="Times New Roman" w:cs="Times New Roman"/>
          <w:sz w:val="24"/>
          <w:szCs w:val="24"/>
        </w:rPr>
        <w:t>regurgitating all the other insults. Going</w:t>
      </w:r>
      <w:r w:rsidR="001031DF">
        <w:rPr>
          <w:rFonts w:ascii="Times New Roman" w:hAnsi="Times New Roman" w:cs="Times New Roman"/>
          <w:sz w:val="24"/>
          <w:szCs w:val="24"/>
        </w:rPr>
        <w:t xml:space="preserve"> by the number of cases and</w:t>
      </w:r>
      <w:bookmarkStart w:id="0" w:name="_GoBack"/>
      <w:bookmarkEnd w:id="0"/>
      <w:r w:rsidR="007D5272">
        <w:rPr>
          <w:rFonts w:ascii="Times New Roman" w:hAnsi="Times New Roman" w:cs="Times New Roman"/>
          <w:sz w:val="24"/>
          <w:szCs w:val="24"/>
        </w:rPr>
        <w:t xml:space="preserve"> instance on m</w:t>
      </w:r>
      <w:r w:rsidR="00CE4A69">
        <w:rPr>
          <w:rFonts w:ascii="Times New Roman" w:hAnsi="Times New Roman" w:cs="Times New Roman"/>
          <w:sz w:val="24"/>
          <w:szCs w:val="24"/>
        </w:rPr>
        <w:t>atters being transferred creates</w:t>
      </w:r>
      <w:r w:rsidR="007D5272">
        <w:rPr>
          <w:rFonts w:ascii="Times New Roman" w:hAnsi="Times New Roman" w:cs="Times New Roman"/>
          <w:sz w:val="24"/>
          <w:szCs w:val="24"/>
        </w:rPr>
        <w:t xml:space="preserve"> the impr</w:t>
      </w:r>
      <w:r w:rsidR="00CE4A69">
        <w:rPr>
          <w:rFonts w:ascii="Times New Roman" w:hAnsi="Times New Roman" w:cs="Times New Roman"/>
          <w:sz w:val="24"/>
          <w:szCs w:val="24"/>
        </w:rPr>
        <w:t>ession of being highly litigious</w:t>
      </w:r>
      <w:r w:rsidR="007D5272">
        <w:rPr>
          <w:rFonts w:ascii="Times New Roman" w:hAnsi="Times New Roman" w:cs="Times New Roman"/>
          <w:sz w:val="24"/>
          <w:szCs w:val="24"/>
        </w:rPr>
        <w:t xml:space="preserve"> and that if given chance would </w:t>
      </w:r>
      <w:r w:rsidR="00CE4A69">
        <w:rPr>
          <w:rFonts w:ascii="Times New Roman" w:hAnsi="Times New Roman" w:cs="Times New Roman"/>
          <w:sz w:val="24"/>
          <w:szCs w:val="24"/>
        </w:rPr>
        <w:t>forum shop</w:t>
      </w:r>
      <w:r w:rsidR="007D5272">
        <w:rPr>
          <w:rFonts w:ascii="Times New Roman" w:hAnsi="Times New Roman" w:cs="Times New Roman"/>
          <w:sz w:val="24"/>
          <w:szCs w:val="24"/>
        </w:rPr>
        <w:t xml:space="preserve"> for a Judge of his own choice. The Plaintiff apologised for his intemperate language.</w:t>
      </w:r>
    </w:p>
    <w:p w:rsidR="007D5272" w:rsidRDefault="007D5272" w:rsidP="00A378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costs is at the discretion of the court. Whereas we condemn the Plaintiff’s use of intemperate language we condone his conduct on the basis that little knowledge might have been proven to be dangerous in this case. The bitterness of failing to buy property might have caused bitterness to the laymen</w:t>
      </w:r>
      <w:r w:rsidR="00CE4A69">
        <w:rPr>
          <w:rFonts w:ascii="Times New Roman" w:hAnsi="Times New Roman" w:cs="Times New Roman"/>
          <w:sz w:val="24"/>
          <w:szCs w:val="24"/>
        </w:rPr>
        <w:t>, causing him to view the justice delivery system with suspicion</w:t>
      </w:r>
      <w:r>
        <w:rPr>
          <w:rFonts w:ascii="Times New Roman" w:hAnsi="Times New Roman" w:cs="Times New Roman"/>
          <w:sz w:val="24"/>
          <w:szCs w:val="24"/>
        </w:rPr>
        <w:t xml:space="preserve">. The Applicant being a </w:t>
      </w:r>
      <w:proofErr w:type="spellStart"/>
      <w:r>
        <w:rPr>
          <w:rFonts w:ascii="Times New Roman" w:hAnsi="Times New Roman" w:cs="Times New Roman"/>
          <w:sz w:val="24"/>
          <w:szCs w:val="24"/>
        </w:rPr>
        <w:t>self actor</w:t>
      </w:r>
      <w:proofErr w:type="spellEnd"/>
      <w:r>
        <w:rPr>
          <w:rFonts w:ascii="Times New Roman" w:hAnsi="Times New Roman" w:cs="Times New Roman"/>
          <w:sz w:val="24"/>
          <w:szCs w:val="24"/>
        </w:rPr>
        <w:t xml:space="preserve"> will not be visited with punitive costs but costs on an ordinary scale.</w:t>
      </w:r>
    </w:p>
    <w:p w:rsidR="007D5272" w:rsidRPr="007D5272" w:rsidRDefault="007D5272" w:rsidP="007D5272">
      <w:pPr>
        <w:spacing w:after="0" w:line="360" w:lineRule="auto"/>
        <w:jc w:val="both"/>
        <w:rPr>
          <w:rFonts w:ascii="Times New Roman" w:hAnsi="Times New Roman" w:cs="Times New Roman"/>
          <w:b/>
          <w:sz w:val="24"/>
          <w:szCs w:val="24"/>
        </w:rPr>
      </w:pPr>
      <w:r w:rsidRPr="007D5272">
        <w:rPr>
          <w:rFonts w:ascii="Times New Roman" w:hAnsi="Times New Roman" w:cs="Times New Roman"/>
          <w:b/>
          <w:sz w:val="24"/>
          <w:szCs w:val="24"/>
        </w:rPr>
        <w:lastRenderedPageBreak/>
        <w:t>Disposition</w:t>
      </w:r>
    </w:p>
    <w:p w:rsidR="007D5272" w:rsidRDefault="007D5272" w:rsidP="007D5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7D5272" w:rsidRDefault="007D5272" w:rsidP="007D5272">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special plea succeeds.</w:t>
      </w:r>
    </w:p>
    <w:p w:rsidR="007D5272" w:rsidRPr="007D5272" w:rsidRDefault="007D5272" w:rsidP="007D5272">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 with costs.</w:t>
      </w:r>
    </w:p>
    <w:p w:rsidR="004166B9" w:rsidRDefault="004166B9" w:rsidP="004166B9">
      <w:pPr>
        <w:spacing w:after="0" w:line="360" w:lineRule="auto"/>
        <w:ind w:firstLine="720"/>
        <w:jc w:val="both"/>
        <w:rPr>
          <w:rFonts w:ascii="Times New Roman" w:hAnsi="Times New Roman" w:cs="Times New Roman"/>
          <w:sz w:val="24"/>
          <w:szCs w:val="24"/>
        </w:rPr>
      </w:pPr>
    </w:p>
    <w:p w:rsidR="004166B9" w:rsidRDefault="004166B9" w:rsidP="004166B9">
      <w:pPr>
        <w:spacing w:after="0" w:line="360" w:lineRule="auto"/>
        <w:ind w:firstLine="720"/>
        <w:jc w:val="both"/>
        <w:rPr>
          <w:rFonts w:ascii="Times New Roman" w:hAnsi="Times New Roman" w:cs="Times New Roman"/>
          <w:sz w:val="24"/>
          <w:szCs w:val="24"/>
        </w:rPr>
      </w:pPr>
    </w:p>
    <w:p w:rsidR="004166B9" w:rsidRPr="00A5412C" w:rsidRDefault="004166B9" w:rsidP="00DD1475">
      <w:pPr>
        <w:spacing w:after="0" w:line="360" w:lineRule="auto"/>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4166B9"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Henning Lock</w:t>
      </w:r>
      <w:r w:rsidR="00DF62B3">
        <w:rPr>
          <w:rFonts w:ascii="Times New Roman" w:hAnsi="Times New Roman" w:cs="Times New Roman"/>
          <w:i/>
          <w:sz w:val="24"/>
          <w:szCs w:val="24"/>
        </w:rPr>
        <w:t>,</w:t>
      </w:r>
      <w:r w:rsidR="00DF62B3">
        <w:rPr>
          <w:rFonts w:ascii="Times New Roman" w:hAnsi="Times New Roman" w:cs="Times New Roman"/>
          <w:sz w:val="24"/>
          <w:szCs w:val="24"/>
        </w:rPr>
        <w:t xml:space="preserve"> </w:t>
      </w:r>
      <w:r w:rsidR="00D20C5F">
        <w:rPr>
          <w:rFonts w:ascii="Times New Roman" w:hAnsi="Times New Roman" w:cs="Times New Roman"/>
          <w:sz w:val="24"/>
          <w:szCs w:val="24"/>
        </w:rPr>
        <w:t>First and Second D</w:t>
      </w:r>
      <w:r>
        <w:rPr>
          <w:rFonts w:ascii="Times New Roman" w:hAnsi="Times New Roman" w:cs="Times New Roman"/>
          <w:sz w:val="24"/>
          <w:szCs w:val="24"/>
        </w:rPr>
        <w:t xml:space="preserve">efendant’s </w:t>
      </w:r>
      <w:r w:rsidR="00DF62B3">
        <w:rPr>
          <w:rFonts w:ascii="Times New Roman" w:hAnsi="Times New Roman" w:cs="Times New Roman"/>
          <w:sz w:val="24"/>
          <w:szCs w:val="24"/>
        </w:rPr>
        <w:t xml:space="preserve">legal practitioners </w:t>
      </w:r>
    </w:p>
    <w:p w:rsidR="00DF62B3" w:rsidRDefault="004166B9" w:rsidP="00DF62B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Khupe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Chijara</w:t>
      </w:r>
      <w:proofErr w:type="spellEnd"/>
      <w:r>
        <w:rPr>
          <w:rFonts w:ascii="Times New Roman" w:hAnsi="Times New Roman" w:cs="Times New Roman"/>
          <w:i/>
          <w:sz w:val="24"/>
          <w:szCs w:val="24"/>
        </w:rPr>
        <w:t xml:space="preserve"> Law Chambers</w:t>
      </w:r>
      <w:r w:rsidR="00DF62B3">
        <w:rPr>
          <w:rFonts w:ascii="Times New Roman" w:hAnsi="Times New Roman" w:cs="Times New Roman"/>
          <w:sz w:val="24"/>
          <w:szCs w:val="24"/>
        </w:rPr>
        <w:t xml:space="preserve">, </w:t>
      </w:r>
      <w:r w:rsidR="00D20C5F">
        <w:rPr>
          <w:rFonts w:ascii="Times New Roman" w:hAnsi="Times New Roman" w:cs="Times New Roman"/>
          <w:sz w:val="24"/>
          <w:szCs w:val="24"/>
        </w:rPr>
        <w:t>Third D</w:t>
      </w:r>
      <w:r>
        <w:rPr>
          <w:rFonts w:ascii="Times New Roman" w:hAnsi="Times New Roman" w:cs="Times New Roman"/>
          <w:sz w:val="24"/>
          <w:szCs w:val="24"/>
        </w:rPr>
        <w:t>efendant’s</w:t>
      </w:r>
      <w:r w:rsidR="00DF62B3">
        <w:rPr>
          <w:rFonts w:ascii="Times New Roman" w:hAnsi="Times New Roman" w:cs="Times New Roman"/>
          <w:sz w:val="24"/>
          <w:szCs w:val="24"/>
        </w:rPr>
        <w:t xml:space="preserve"> legal practitioners </w:t>
      </w:r>
    </w:p>
    <w:p w:rsidR="00865480" w:rsidRDefault="00865480" w:rsidP="00F404AE">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C52" w:rsidRDefault="00325C52" w:rsidP="00086343">
      <w:pPr>
        <w:spacing w:after="0" w:line="240" w:lineRule="auto"/>
      </w:pPr>
      <w:r>
        <w:separator/>
      </w:r>
    </w:p>
  </w:endnote>
  <w:endnote w:type="continuationSeparator" w:id="0">
    <w:p w:rsidR="00325C52" w:rsidRDefault="00325C5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C52" w:rsidRDefault="00325C52" w:rsidP="00086343">
      <w:pPr>
        <w:spacing w:after="0" w:line="240" w:lineRule="auto"/>
      </w:pPr>
      <w:r>
        <w:separator/>
      </w:r>
    </w:p>
  </w:footnote>
  <w:footnote w:type="continuationSeparator" w:id="0">
    <w:p w:rsidR="00325C52" w:rsidRDefault="00325C5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125358" w:rsidRDefault="00125358">
        <w:pPr>
          <w:pStyle w:val="Header"/>
          <w:jc w:val="right"/>
          <w:rPr>
            <w:noProof/>
          </w:rPr>
        </w:pPr>
        <w:r>
          <w:fldChar w:fldCharType="begin"/>
        </w:r>
        <w:r>
          <w:instrText xml:space="preserve"> PAGE   \* MERGEFORMAT </w:instrText>
        </w:r>
        <w:r>
          <w:fldChar w:fldCharType="separate"/>
        </w:r>
        <w:r w:rsidR="001031DF">
          <w:rPr>
            <w:noProof/>
          </w:rPr>
          <w:t>7</w:t>
        </w:r>
        <w:r>
          <w:rPr>
            <w:noProof/>
          </w:rPr>
          <w:fldChar w:fldCharType="end"/>
        </w:r>
      </w:p>
      <w:p w:rsidR="00125358" w:rsidRDefault="00125358" w:rsidP="00294943">
        <w:pPr>
          <w:pStyle w:val="Header"/>
          <w:jc w:val="center"/>
          <w:rPr>
            <w:noProof/>
          </w:rPr>
        </w:pPr>
        <w:r>
          <w:rPr>
            <w:noProof/>
          </w:rPr>
          <w:t xml:space="preserve">                                                          </w:t>
        </w:r>
        <w:r>
          <w:rPr>
            <w:noProof/>
          </w:rPr>
          <w:tab/>
          <w:t xml:space="preserve">                                                                            </w:t>
        </w:r>
        <w:r w:rsidR="009D2C77">
          <w:rPr>
            <w:noProof/>
          </w:rPr>
          <w:t xml:space="preserve">                          HMT 72</w:t>
        </w:r>
        <w:r>
          <w:rPr>
            <w:noProof/>
          </w:rPr>
          <w:t>-20</w:t>
        </w:r>
      </w:p>
      <w:p w:rsidR="00125358" w:rsidRDefault="00125358" w:rsidP="00493B51">
        <w:pPr>
          <w:pStyle w:val="Header"/>
          <w:jc w:val="center"/>
        </w:pPr>
        <w:r>
          <w:rPr>
            <w:noProof/>
          </w:rPr>
          <w:t xml:space="preserve">                                                                                                                                                                  HC 107/20</w:t>
        </w:r>
      </w:p>
    </w:sdtContent>
  </w:sdt>
  <w:p w:rsidR="00125358" w:rsidRDefault="00125358"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546658A"/>
    <w:multiLevelType w:val="hybridMultilevel"/>
    <w:tmpl w:val="9D1CB982"/>
    <w:lvl w:ilvl="0" w:tplc="3A1CC3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5E171D0"/>
    <w:multiLevelType w:val="hybridMultilevel"/>
    <w:tmpl w:val="AD48347C"/>
    <w:lvl w:ilvl="0" w:tplc="5E4ABF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64F5749"/>
    <w:multiLevelType w:val="hybridMultilevel"/>
    <w:tmpl w:val="AF246482"/>
    <w:lvl w:ilvl="0" w:tplc="83247A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FB936E1"/>
    <w:multiLevelType w:val="hybridMultilevel"/>
    <w:tmpl w:val="7F067D2E"/>
    <w:lvl w:ilvl="0" w:tplc="4156EC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A055EAC"/>
    <w:multiLevelType w:val="hybridMultilevel"/>
    <w:tmpl w:val="F60841D6"/>
    <w:lvl w:ilvl="0" w:tplc="8AD6C34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35"/>
  </w:num>
  <w:num w:numId="3">
    <w:abstractNumId w:val="1"/>
  </w:num>
  <w:num w:numId="4">
    <w:abstractNumId w:val="32"/>
  </w:num>
  <w:num w:numId="5">
    <w:abstractNumId w:val="17"/>
  </w:num>
  <w:num w:numId="6">
    <w:abstractNumId w:val="9"/>
  </w:num>
  <w:num w:numId="7">
    <w:abstractNumId w:val="31"/>
  </w:num>
  <w:num w:numId="8">
    <w:abstractNumId w:val="8"/>
  </w:num>
  <w:num w:numId="9">
    <w:abstractNumId w:val="33"/>
  </w:num>
  <w:num w:numId="10">
    <w:abstractNumId w:val="24"/>
  </w:num>
  <w:num w:numId="11">
    <w:abstractNumId w:val="18"/>
  </w:num>
  <w:num w:numId="12">
    <w:abstractNumId w:val="10"/>
  </w:num>
  <w:num w:numId="13">
    <w:abstractNumId w:val="36"/>
  </w:num>
  <w:num w:numId="14">
    <w:abstractNumId w:val="16"/>
  </w:num>
  <w:num w:numId="15">
    <w:abstractNumId w:val="5"/>
  </w:num>
  <w:num w:numId="16">
    <w:abstractNumId w:val="27"/>
  </w:num>
  <w:num w:numId="17">
    <w:abstractNumId w:val="7"/>
  </w:num>
  <w:num w:numId="18">
    <w:abstractNumId w:val="19"/>
  </w:num>
  <w:num w:numId="19">
    <w:abstractNumId w:val="29"/>
  </w:num>
  <w:num w:numId="20">
    <w:abstractNumId w:val="38"/>
  </w:num>
  <w:num w:numId="21">
    <w:abstractNumId w:val="14"/>
  </w:num>
  <w:num w:numId="22">
    <w:abstractNumId w:val="25"/>
  </w:num>
  <w:num w:numId="23">
    <w:abstractNumId w:val="26"/>
  </w:num>
  <w:num w:numId="24">
    <w:abstractNumId w:val="0"/>
  </w:num>
  <w:num w:numId="25">
    <w:abstractNumId w:val="40"/>
  </w:num>
  <w:num w:numId="26">
    <w:abstractNumId w:val="28"/>
  </w:num>
  <w:num w:numId="27">
    <w:abstractNumId w:val="23"/>
  </w:num>
  <w:num w:numId="28">
    <w:abstractNumId w:val="30"/>
  </w:num>
  <w:num w:numId="29">
    <w:abstractNumId w:val="15"/>
  </w:num>
  <w:num w:numId="30">
    <w:abstractNumId w:val="13"/>
  </w:num>
  <w:num w:numId="31">
    <w:abstractNumId w:val="34"/>
  </w:num>
  <w:num w:numId="32">
    <w:abstractNumId w:val="2"/>
  </w:num>
  <w:num w:numId="33">
    <w:abstractNumId w:val="22"/>
  </w:num>
  <w:num w:numId="34">
    <w:abstractNumId w:val="21"/>
  </w:num>
  <w:num w:numId="35">
    <w:abstractNumId w:val="4"/>
  </w:num>
  <w:num w:numId="36">
    <w:abstractNumId w:val="37"/>
  </w:num>
  <w:num w:numId="37">
    <w:abstractNumId w:val="6"/>
  </w:num>
  <w:num w:numId="38">
    <w:abstractNumId w:val="11"/>
  </w:num>
  <w:num w:numId="39">
    <w:abstractNumId w:val="20"/>
  </w:num>
  <w:num w:numId="40">
    <w:abstractNumId w:val="3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2FCD"/>
    <w:rsid w:val="000C34B0"/>
    <w:rsid w:val="000C5022"/>
    <w:rsid w:val="000C5788"/>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1DF"/>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5358"/>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611B0"/>
    <w:rsid w:val="001628FF"/>
    <w:rsid w:val="00162E25"/>
    <w:rsid w:val="001630D7"/>
    <w:rsid w:val="00163224"/>
    <w:rsid w:val="00165B02"/>
    <w:rsid w:val="001667DF"/>
    <w:rsid w:val="0017139B"/>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CAC"/>
    <w:rsid w:val="001B07D0"/>
    <w:rsid w:val="001B0C20"/>
    <w:rsid w:val="001B0C42"/>
    <w:rsid w:val="001B156D"/>
    <w:rsid w:val="001B3A7F"/>
    <w:rsid w:val="001B4FFD"/>
    <w:rsid w:val="001B66CC"/>
    <w:rsid w:val="001C0EDE"/>
    <w:rsid w:val="001C1579"/>
    <w:rsid w:val="001C1A02"/>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67C1"/>
    <w:rsid w:val="0023739A"/>
    <w:rsid w:val="0024017F"/>
    <w:rsid w:val="002402A0"/>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31CF"/>
    <w:rsid w:val="00293B84"/>
    <w:rsid w:val="00294943"/>
    <w:rsid w:val="00296019"/>
    <w:rsid w:val="00296113"/>
    <w:rsid w:val="002A11A5"/>
    <w:rsid w:val="002A12F6"/>
    <w:rsid w:val="002A1838"/>
    <w:rsid w:val="002A1D51"/>
    <w:rsid w:val="002A3484"/>
    <w:rsid w:val="002A410D"/>
    <w:rsid w:val="002A4344"/>
    <w:rsid w:val="002A659B"/>
    <w:rsid w:val="002A6BD7"/>
    <w:rsid w:val="002B1C91"/>
    <w:rsid w:val="002B2A86"/>
    <w:rsid w:val="002B2D74"/>
    <w:rsid w:val="002B3A84"/>
    <w:rsid w:val="002B4205"/>
    <w:rsid w:val="002B4FD7"/>
    <w:rsid w:val="002C32B0"/>
    <w:rsid w:val="002C446A"/>
    <w:rsid w:val="002C464A"/>
    <w:rsid w:val="002C65EA"/>
    <w:rsid w:val="002C751C"/>
    <w:rsid w:val="002D006B"/>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2F7EFC"/>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5C52"/>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5C"/>
    <w:rsid w:val="0037123D"/>
    <w:rsid w:val="00371711"/>
    <w:rsid w:val="00371BAC"/>
    <w:rsid w:val="003726F0"/>
    <w:rsid w:val="003745CD"/>
    <w:rsid w:val="003759CF"/>
    <w:rsid w:val="00375E22"/>
    <w:rsid w:val="0037736D"/>
    <w:rsid w:val="003823EA"/>
    <w:rsid w:val="003839C0"/>
    <w:rsid w:val="0038426C"/>
    <w:rsid w:val="003847CB"/>
    <w:rsid w:val="00386415"/>
    <w:rsid w:val="003905D8"/>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1D92"/>
    <w:rsid w:val="003C283B"/>
    <w:rsid w:val="003C3688"/>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5C42"/>
    <w:rsid w:val="003F5EB3"/>
    <w:rsid w:val="004002A6"/>
    <w:rsid w:val="00400AAB"/>
    <w:rsid w:val="0040324D"/>
    <w:rsid w:val="00403588"/>
    <w:rsid w:val="004043B9"/>
    <w:rsid w:val="00404DB0"/>
    <w:rsid w:val="004058D6"/>
    <w:rsid w:val="004059F4"/>
    <w:rsid w:val="00406C38"/>
    <w:rsid w:val="00407542"/>
    <w:rsid w:val="00412749"/>
    <w:rsid w:val="004137C6"/>
    <w:rsid w:val="00414293"/>
    <w:rsid w:val="00415442"/>
    <w:rsid w:val="00415462"/>
    <w:rsid w:val="004166B9"/>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22BA"/>
    <w:rsid w:val="00442BC7"/>
    <w:rsid w:val="0044352C"/>
    <w:rsid w:val="0044565A"/>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ABE"/>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16ED"/>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33"/>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C0E79"/>
    <w:rsid w:val="005C1010"/>
    <w:rsid w:val="005C2906"/>
    <w:rsid w:val="005C4311"/>
    <w:rsid w:val="005C4AD4"/>
    <w:rsid w:val="005C4FEC"/>
    <w:rsid w:val="005C60BD"/>
    <w:rsid w:val="005C6219"/>
    <w:rsid w:val="005C66D0"/>
    <w:rsid w:val="005D0409"/>
    <w:rsid w:val="005D0FB6"/>
    <w:rsid w:val="005D11BB"/>
    <w:rsid w:val="005D1371"/>
    <w:rsid w:val="005D1981"/>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915"/>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9E3"/>
    <w:rsid w:val="006D5528"/>
    <w:rsid w:val="006D65DA"/>
    <w:rsid w:val="006D6E7F"/>
    <w:rsid w:val="006D7AC0"/>
    <w:rsid w:val="006E059C"/>
    <w:rsid w:val="006E0CF6"/>
    <w:rsid w:val="006E257C"/>
    <w:rsid w:val="006E2A68"/>
    <w:rsid w:val="006E4934"/>
    <w:rsid w:val="006E5CB4"/>
    <w:rsid w:val="006E6F11"/>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63A5"/>
    <w:rsid w:val="00727ADA"/>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56C5"/>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77319"/>
    <w:rsid w:val="00781D02"/>
    <w:rsid w:val="00782597"/>
    <w:rsid w:val="00782B8F"/>
    <w:rsid w:val="00791309"/>
    <w:rsid w:val="0079189E"/>
    <w:rsid w:val="00791D22"/>
    <w:rsid w:val="007931A5"/>
    <w:rsid w:val="00793621"/>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5272"/>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C28"/>
    <w:rsid w:val="00810775"/>
    <w:rsid w:val="008117E2"/>
    <w:rsid w:val="00813315"/>
    <w:rsid w:val="0081389C"/>
    <w:rsid w:val="00813932"/>
    <w:rsid w:val="0081425D"/>
    <w:rsid w:val="008147C2"/>
    <w:rsid w:val="00814FA1"/>
    <w:rsid w:val="00815230"/>
    <w:rsid w:val="00816C6A"/>
    <w:rsid w:val="00817365"/>
    <w:rsid w:val="00822748"/>
    <w:rsid w:val="00824E01"/>
    <w:rsid w:val="0082516F"/>
    <w:rsid w:val="00826245"/>
    <w:rsid w:val="008301F4"/>
    <w:rsid w:val="008312B5"/>
    <w:rsid w:val="008316EF"/>
    <w:rsid w:val="0083175F"/>
    <w:rsid w:val="008319B6"/>
    <w:rsid w:val="00832BFF"/>
    <w:rsid w:val="00832C2A"/>
    <w:rsid w:val="0083472F"/>
    <w:rsid w:val="008353C2"/>
    <w:rsid w:val="00836C52"/>
    <w:rsid w:val="00837041"/>
    <w:rsid w:val="008374F2"/>
    <w:rsid w:val="008402BE"/>
    <w:rsid w:val="008417D8"/>
    <w:rsid w:val="00841BF0"/>
    <w:rsid w:val="008426A3"/>
    <w:rsid w:val="0084301B"/>
    <w:rsid w:val="00844D41"/>
    <w:rsid w:val="00846EAB"/>
    <w:rsid w:val="008515E7"/>
    <w:rsid w:val="00852657"/>
    <w:rsid w:val="00853A1A"/>
    <w:rsid w:val="00860068"/>
    <w:rsid w:val="008601B3"/>
    <w:rsid w:val="00860498"/>
    <w:rsid w:val="00860FFE"/>
    <w:rsid w:val="00861076"/>
    <w:rsid w:val="00864D21"/>
    <w:rsid w:val="00864DDF"/>
    <w:rsid w:val="00865480"/>
    <w:rsid w:val="0086690C"/>
    <w:rsid w:val="0087102F"/>
    <w:rsid w:val="008711B3"/>
    <w:rsid w:val="008724CF"/>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B7578"/>
    <w:rsid w:val="008C1F3F"/>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AAA"/>
    <w:rsid w:val="00945B82"/>
    <w:rsid w:val="00946888"/>
    <w:rsid w:val="00950C00"/>
    <w:rsid w:val="00953158"/>
    <w:rsid w:val="00953CC2"/>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2C77"/>
    <w:rsid w:val="009D3EA4"/>
    <w:rsid w:val="009D3F4D"/>
    <w:rsid w:val="009D44A6"/>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982"/>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378E6"/>
    <w:rsid w:val="00A40AE7"/>
    <w:rsid w:val="00A41CB9"/>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0C78"/>
    <w:rsid w:val="00AD1F1C"/>
    <w:rsid w:val="00AD1F1D"/>
    <w:rsid w:val="00AD1FD7"/>
    <w:rsid w:val="00AD249D"/>
    <w:rsid w:val="00AD2694"/>
    <w:rsid w:val="00AD275D"/>
    <w:rsid w:val="00AD387D"/>
    <w:rsid w:val="00AD4464"/>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5A68"/>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B013F"/>
    <w:rsid w:val="00BB03A7"/>
    <w:rsid w:val="00BB1247"/>
    <w:rsid w:val="00BB1B65"/>
    <w:rsid w:val="00BB3B67"/>
    <w:rsid w:val="00BB746F"/>
    <w:rsid w:val="00BB79FC"/>
    <w:rsid w:val="00BC017B"/>
    <w:rsid w:val="00BC02D3"/>
    <w:rsid w:val="00BC1F0A"/>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4B08"/>
    <w:rsid w:val="00BF6B53"/>
    <w:rsid w:val="00BF6D8E"/>
    <w:rsid w:val="00BF6ED9"/>
    <w:rsid w:val="00C0218F"/>
    <w:rsid w:val="00C10402"/>
    <w:rsid w:val="00C11BE0"/>
    <w:rsid w:val="00C11D54"/>
    <w:rsid w:val="00C137E2"/>
    <w:rsid w:val="00C166D2"/>
    <w:rsid w:val="00C170A9"/>
    <w:rsid w:val="00C171CC"/>
    <w:rsid w:val="00C17B68"/>
    <w:rsid w:val="00C21FC2"/>
    <w:rsid w:val="00C22FE4"/>
    <w:rsid w:val="00C23355"/>
    <w:rsid w:val="00C238C2"/>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4A69"/>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516B"/>
    <w:rsid w:val="00D1520C"/>
    <w:rsid w:val="00D20231"/>
    <w:rsid w:val="00D20C5F"/>
    <w:rsid w:val="00D20FDE"/>
    <w:rsid w:val="00D225DA"/>
    <w:rsid w:val="00D22EC5"/>
    <w:rsid w:val="00D23F8D"/>
    <w:rsid w:val="00D246F7"/>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80A81"/>
    <w:rsid w:val="00D829F2"/>
    <w:rsid w:val="00D8392F"/>
    <w:rsid w:val="00D85C5A"/>
    <w:rsid w:val="00D8718B"/>
    <w:rsid w:val="00D91636"/>
    <w:rsid w:val="00D91F8C"/>
    <w:rsid w:val="00D930D4"/>
    <w:rsid w:val="00D93F3F"/>
    <w:rsid w:val="00D94FFB"/>
    <w:rsid w:val="00D957E9"/>
    <w:rsid w:val="00D95E6C"/>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F96"/>
    <w:rsid w:val="00DD1430"/>
    <w:rsid w:val="00DD1475"/>
    <w:rsid w:val="00DD255A"/>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A2F"/>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963"/>
    <w:rsid w:val="00E3146A"/>
    <w:rsid w:val="00E3229E"/>
    <w:rsid w:val="00E32622"/>
    <w:rsid w:val="00E34B4C"/>
    <w:rsid w:val="00E34D02"/>
    <w:rsid w:val="00E36596"/>
    <w:rsid w:val="00E37142"/>
    <w:rsid w:val="00E37FF2"/>
    <w:rsid w:val="00E40670"/>
    <w:rsid w:val="00E41861"/>
    <w:rsid w:val="00E41A15"/>
    <w:rsid w:val="00E41CA2"/>
    <w:rsid w:val="00E41CBA"/>
    <w:rsid w:val="00E41DB9"/>
    <w:rsid w:val="00E4233A"/>
    <w:rsid w:val="00E42C77"/>
    <w:rsid w:val="00E45E51"/>
    <w:rsid w:val="00E46004"/>
    <w:rsid w:val="00E505B1"/>
    <w:rsid w:val="00E5093D"/>
    <w:rsid w:val="00E51787"/>
    <w:rsid w:val="00E542B0"/>
    <w:rsid w:val="00E554D9"/>
    <w:rsid w:val="00E5560E"/>
    <w:rsid w:val="00E56332"/>
    <w:rsid w:val="00E5688C"/>
    <w:rsid w:val="00E56B79"/>
    <w:rsid w:val="00E57870"/>
    <w:rsid w:val="00E57A8D"/>
    <w:rsid w:val="00E60B86"/>
    <w:rsid w:val="00E6164D"/>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A2"/>
    <w:rsid w:val="00ED65CF"/>
    <w:rsid w:val="00ED6F82"/>
    <w:rsid w:val="00ED709E"/>
    <w:rsid w:val="00ED74DA"/>
    <w:rsid w:val="00EE0492"/>
    <w:rsid w:val="00EE06A6"/>
    <w:rsid w:val="00EE1E22"/>
    <w:rsid w:val="00EE38FF"/>
    <w:rsid w:val="00EF0852"/>
    <w:rsid w:val="00EF3D6A"/>
    <w:rsid w:val="00EF3FDA"/>
    <w:rsid w:val="00EF44F9"/>
    <w:rsid w:val="00F003D1"/>
    <w:rsid w:val="00F00602"/>
    <w:rsid w:val="00F0267A"/>
    <w:rsid w:val="00F02719"/>
    <w:rsid w:val="00F02C1F"/>
    <w:rsid w:val="00F03583"/>
    <w:rsid w:val="00F038C1"/>
    <w:rsid w:val="00F04882"/>
    <w:rsid w:val="00F06209"/>
    <w:rsid w:val="00F1235E"/>
    <w:rsid w:val="00F12A50"/>
    <w:rsid w:val="00F12A76"/>
    <w:rsid w:val="00F1405D"/>
    <w:rsid w:val="00F14732"/>
    <w:rsid w:val="00F1473D"/>
    <w:rsid w:val="00F14DA2"/>
    <w:rsid w:val="00F15129"/>
    <w:rsid w:val="00F16988"/>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66C4"/>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40A7"/>
    <w:rsid w:val="00FC41DA"/>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314B-D7FC-4F37-BA34-BA290CD0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33</cp:revision>
  <cp:lastPrinted>2020-01-27T09:50:00Z</cp:lastPrinted>
  <dcterms:created xsi:type="dcterms:W3CDTF">2020-10-15T07:39:00Z</dcterms:created>
  <dcterms:modified xsi:type="dcterms:W3CDTF">2020-10-27T05:22:00Z</dcterms:modified>
</cp:coreProperties>
</file>