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w:t>
      </w:r>
      <w:r w:rsidR="002F10D6">
        <w:rPr>
          <w:rFonts w:ascii="Tahoma" w:hAnsi="Tahoma" w:cs="Tahoma"/>
          <w:b/>
          <w:sz w:val="24"/>
          <w:szCs w:val="24"/>
        </w:rPr>
        <w:t>ZIMBABWE      JUDGMENT NO.</w:t>
      </w:r>
      <w:proofErr w:type="gramEnd"/>
      <w:r w:rsidR="002F10D6">
        <w:rPr>
          <w:rFonts w:ascii="Tahoma" w:hAnsi="Tahoma" w:cs="Tahoma"/>
          <w:b/>
          <w:sz w:val="24"/>
          <w:szCs w:val="24"/>
        </w:rPr>
        <w:t xml:space="preserve"> LC/H/</w:t>
      </w:r>
      <w:r w:rsidR="00312D3E">
        <w:rPr>
          <w:rFonts w:ascii="Tahoma" w:hAnsi="Tahoma" w:cs="Tahoma"/>
          <w:b/>
          <w:sz w:val="24"/>
          <w:szCs w:val="24"/>
        </w:rPr>
        <w:t>135</w:t>
      </w:r>
      <w:r w:rsidR="001004AC">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312D3E">
        <w:rPr>
          <w:rFonts w:ascii="Tahoma" w:hAnsi="Tahoma" w:cs="Tahoma"/>
          <w:b/>
          <w:sz w:val="24"/>
          <w:szCs w:val="24"/>
        </w:rPr>
        <w:t>9 JUNE</w:t>
      </w:r>
      <w:r w:rsidR="00041E71">
        <w:rPr>
          <w:rFonts w:ascii="Tahoma" w:hAnsi="Tahoma" w:cs="Tahoma"/>
          <w:b/>
          <w:sz w:val="24"/>
          <w:szCs w:val="24"/>
        </w:rPr>
        <w:t xml:space="preserve"> </w:t>
      </w:r>
      <w:r w:rsidR="00467D1F">
        <w:rPr>
          <w:rFonts w:ascii="Tahoma" w:hAnsi="Tahoma" w:cs="Tahoma"/>
          <w:b/>
          <w:sz w:val="24"/>
          <w:szCs w:val="24"/>
        </w:rPr>
        <w:t>2021</w:t>
      </w:r>
      <w:r w:rsidR="00467D1F">
        <w:rPr>
          <w:rFonts w:ascii="Tahoma" w:hAnsi="Tahoma" w:cs="Tahoma"/>
          <w:b/>
          <w:sz w:val="24"/>
          <w:szCs w:val="24"/>
        </w:rPr>
        <w:tab/>
      </w:r>
      <w:r w:rsidR="00BA1F25">
        <w:rPr>
          <w:rFonts w:ascii="Tahoma" w:hAnsi="Tahoma" w:cs="Tahoma"/>
          <w:b/>
          <w:sz w:val="24"/>
          <w:szCs w:val="24"/>
        </w:rPr>
        <w:t xml:space="preserve">                                  </w:t>
      </w:r>
      <w:r w:rsidR="00525115">
        <w:rPr>
          <w:rFonts w:ascii="Tahoma" w:hAnsi="Tahoma" w:cs="Tahoma"/>
          <w:b/>
          <w:sz w:val="24"/>
          <w:szCs w:val="24"/>
        </w:rPr>
        <w:t xml:space="preserve">   </w:t>
      </w:r>
      <w:r w:rsidR="00566D3C">
        <w:rPr>
          <w:rFonts w:ascii="Tahoma" w:hAnsi="Tahoma" w:cs="Tahoma"/>
          <w:b/>
          <w:sz w:val="24"/>
          <w:szCs w:val="24"/>
        </w:rPr>
        <w:t>CASE NO. LC/H/167/20</w:t>
      </w:r>
      <w:bookmarkStart w:id="0" w:name="_GoBack"/>
      <w:bookmarkEnd w:id="0"/>
      <w:r w:rsidR="005B56E6">
        <w:rPr>
          <w:rFonts w:ascii="Tahoma" w:hAnsi="Tahoma" w:cs="Tahoma"/>
          <w:b/>
          <w:sz w:val="24"/>
          <w:szCs w:val="24"/>
        </w:rPr>
        <w:t xml:space="preserve"> </w:t>
      </w:r>
    </w:p>
    <w:p w:rsidR="00446DC5" w:rsidRPr="004708FE" w:rsidRDefault="001004AC" w:rsidP="00037D40">
      <w:pPr>
        <w:spacing w:line="240" w:lineRule="auto"/>
        <w:jc w:val="both"/>
        <w:rPr>
          <w:rFonts w:ascii="Tahoma" w:hAnsi="Tahoma" w:cs="Tahoma"/>
          <w:b/>
          <w:sz w:val="24"/>
          <w:szCs w:val="24"/>
        </w:rPr>
      </w:pPr>
      <w:r>
        <w:rPr>
          <w:rFonts w:ascii="Tahoma" w:hAnsi="Tahoma" w:cs="Tahoma"/>
          <w:b/>
          <w:sz w:val="24"/>
          <w:szCs w:val="24"/>
        </w:rPr>
        <w:t>AND</w:t>
      </w:r>
      <w:r w:rsidR="002F10D6">
        <w:rPr>
          <w:rFonts w:ascii="Tahoma" w:hAnsi="Tahoma" w:cs="Tahoma"/>
          <w:b/>
          <w:sz w:val="24"/>
          <w:szCs w:val="24"/>
        </w:rPr>
        <w:t xml:space="preserve"> </w:t>
      </w:r>
      <w:r w:rsidR="0046613B">
        <w:rPr>
          <w:rFonts w:ascii="Tahoma" w:hAnsi="Tahoma" w:cs="Tahoma"/>
          <w:b/>
          <w:sz w:val="24"/>
          <w:szCs w:val="24"/>
        </w:rPr>
        <w:t>10</w:t>
      </w:r>
      <w:r w:rsidR="00312D3E">
        <w:rPr>
          <w:rFonts w:ascii="Tahoma" w:hAnsi="Tahoma" w:cs="Tahoma"/>
          <w:b/>
          <w:sz w:val="24"/>
          <w:szCs w:val="24"/>
        </w:rPr>
        <w:t xml:space="preserve"> SEPTEMBER</w:t>
      </w:r>
      <w:r>
        <w:rPr>
          <w:rFonts w:ascii="Tahoma" w:hAnsi="Tahoma" w:cs="Tahoma"/>
          <w:b/>
          <w:sz w:val="24"/>
          <w:szCs w:val="24"/>
        </w:rPr>
        <w:t xml:space="preserve"> 2021</w:t>
      </w:r>
    </w:p>
    <w:p w:rsidR="00BA1F25" w:rsidRDefault="00BA1F25" w:rsidP="00446DC5">
      <w:pPr>
        <w:jc w:val="both"/>
        <w:rPr>
          <w:rFonts w:ascii="Tahoma" w:hAnsi="Tahoma" w:cs="Tahoma"/>
          <w:sz w:val="24"/>
          <w:szCs w:val="24"/>
        </w:rPr>
      </w:pP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3960B5" w:rsidP="00037D40">
      <w:pPr>
        <w:spacing w:line="240" w:lineRule="auto"/>
        <w:jc w:val="both"/>
        <w:rPr>
          <w:rFonts w:ascii="Tahoma" w:hAnsi="Tahoma" w:cs="Tahoma"/>
          <w:b/>
          <w:sz w:val="24"/>
          <w:szCs w:val="24"/>
        </w:rPr>
      </w:pPr>
      <w:r>
        <w:rPr>
          <w:rFonts w:ascii="Tahoma" w:hAnsi="Tahoma" w:cs="Tahoma"/>
          <w:b/>
          <w:sz w:val="24"/>
          <w:szCs w:val="24"/>
        </w:rPr>
        <w:t>RINOS NYADONGO</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875054">
        <w:rPr>
          <w:rFonts w:ascii="Tahoma" w:hAnsi="Tahoma" w:cs="Tahoma"/>
          <w:b/>
          <w:sz w:val="24"/>
          <w:szCs w:val="24"/>
        </w:rPr>
        <w:t>App</w:t>
      </w:r>
      <w:r w:rsidR="00E15BF6">
        <w:rPr>
          <w:rFonts w:ascii="Tahoma" w:hAnsi="Tahoma" w:cs="Tahoma"/>
          <w:b/>
          <w:sz w:val="24"/>
          <w:szCs w:val="24"/>
        </w:rPr>
        <w:t>ellant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3960B5" w:rsidP="00906CB1">
      <w:pPr>
        <w:spacing w:line="240" w:lineRule="auto"/>
        <w:jc w:val="both"/>
        <w:rPr>
          <w:rFonts w:ascii="Tahoma" w:hAnsi="Tahoma" w:cs="Tahoma"/>
          <w:b/>
          <w:sz w:val="24"/>
          <w:szCs w:val="24"/>
        </w:rPr>
      </w:pPr>
      <w:r>
        <w:rPr>
          <w:rFonts w:ascii="Tahoma" w:hAnsi="Tahoma" w:cs="Tahoma"/>
          <w:b/>
          <w:sz w:val="24"/>
          <w:szCs w:val="24"/>
        </w:rPr>
        <w:t>TM SUPERMARKET (PVT) LTD</w:t>
      </w:r>
      <w:r w:rsidR="00370EEC">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3960B5" w:rsidP="00446DC5">
      <w:pPr>
        <w:pStyle w:val="NoSpacing"/>
        <w:spacing w:line="360" w:lineRule="auto"/>
        <w:rPr>
          <w:rFonts w:ascii="Tahoma" w:hAnsi="Tahoma" w:cs="Tahoma"/>
          <w:b/>
          <w:sz w:val="24"/>
          <w:szCs w:val="24"/>
        </w:rPr>
      </w:pPr>
      <w:r>
        <w:rPr>
          <w:rFonts w:ascii="Tahoma" w:hAnsi="Tahoma" w:cs="Tahoma"/>
          <w:b/>
          <w:sz w:val="24"/>
          <w:szCs w:val="24"/>
        </w:rPr>
        <w:t xml:space="preserve">For the </w:t>
      </w:r>
      <w:r w:rsidR="00875054">
        <w:rPr>
          <w:rFonts w:ascii="Tahoma" w:hAnsi="Tahoma" w:cs="Tahoma"/>
          <w:b/>
          <w:sz w:val="24"/>
          <w:szCs w:val="24"/>
        </w:rPr>
        <w:t>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r w:rsidR="00370EEC">
        <w:rPr>
          <w:rFonts w:ascii="Tahoma" w:hAnsi="Tahoma" w:cs="Tahoma"/>
          <w:b/>
          <w:sz w:val="24"/>
          <w:szCs w:val="24"/>
        </w:rPr>
        <w:tab/>
      </w:r>
      <w:r>
        <w:rPr>
          <w:rFonts w:ascii="Tahoma" w:hAnsi="Tahoma" w:cs="Tahoma"/>
          <w:b/>
          <w:sz w:val="24"/>
          <w:szCs w:val="24"/>
        </w:rPr>
        <w:t xml:space="preserve">Ms K </w:t>
      </w:r>
      <w:proofErr w:type="spellStart"/>
      <w:r>
        <w:rPr>
          <w:rFonts w:ascii="Tahoma" w:hAnsi="Tahoma" w:cs="Tahoma"/>
          <w:b/>
          <w:sz w:val="24"/>
          <w:szCs w:val="24"/>
        </w:rPr>
        <w:t>Muyangwa</w:t>
      </w:r>
      <w:proofErr w:type="spellEnd"/>
      <w:r>
        <w:rPr>
          <w:rFonts w:ascii="Tahoma" w:hAnsi="Tahoma" w:cs="Tahoma"/>
          <w:b/>
          <w:sz w:val="24"/>
          <w:szCs w:val="24"/>
        </w:rPr>
        <w:t xml:space="preserve"> (Legal Practitioner)</w:t>
      </w:r>
      <w:r w:rsidR="00906CB1">
        <w:rPr>
          <w:rFonts w:ascii="Tahoma" w:hAnsi="Tahoma" w:cs="Tahoma"/>
          <w:b/>
          <w:sz w:val="24"/>
          <w:szCs w:val="24"/>
        </w:rPr>
        <w:tab/>
      </w:r>
    </w:p>
    <w:p w:rsidR="00370EEC"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3960B5">
        <w:rPr>
          <w:rFonts w:ascii="Tahoma" w:hAnsi="Tahoma" w:cs="Tahoma"/>
          <w:b/>
          <w:sz w:val="24"/>
          <w:szCs w:val="24"/>
        </w:rPr>
        <w:t>the</w:t>
      </w:r>
      <w:r w:rsidR="00370EEC">
        <w:rPr>
          <w:rFonts w:ascii="Tahoma" w:hAnsi="Tahoma" w:cs="Tahoma"/>
          <w:b/>
          <w:sz w:val="24"/>
          <w:szCs w:val="24"/>
        </w:rPr>
        <w:t xml:space="preserve"> </w:t>
      </w:r>
      <w:r w:rsidRPr="008C4120">
        <w:rPr>
          <w:rFonts w:ascii="Tahoma" w:hAnsi="Tahoma" w:cs="Tahoma"/>
          <w:b/>
          <w:sz w:val="24"/>
          <w:szCs w:val="24"/>
        </w:rPr>
        <w:t>Respondent</w:t>
      </w:r>
      <w:r w:rsidR="00B56AFC">
        <w:rPr>
          <w:rFonts w:ascii="Tahoma" w:hAnsi="Tahoma" w:cs="Tahoma"/>
          <w:b/>
          <w:sz w:val="24"/>
          <w:szCs w:val="24"/>
        </w:rPr>
        <w:tab/>
      </w:r>
      <w:r w:rsidR="00B56AFC">
        <w:rPr>
          <w:rFonts w:ascii="Tahoma" w:hAnsi="Tahoma" w:cs="Tahoma"/>
          <w:b/>
          <w:sz w:val="24"/>
          <w:szCs w:val="24"/>
        </w:rPr>
        <w:tab/>
      </w:r>
      <w:r w:rsidR="003960B5">
        <w:rPr>
          <w:rFonts w:ascii="Tahoma" w:hAnsi="Tahoma" w:cs="Tahoma"/>
          <w:b/>
          <w:sz w:val="24"/>
          <w:szCs w:val="24"/>
        </w:rPr>
        <w:t xml:space="preserve">Miss M. </w:t>
      </w:r>
      <w:proofErr w:type="spellStart"/>
      <w:r w:rsidR="003960B5">
        <w:rPr>
          <w:rFonts w:ascii="Tahoma" w:hAnsi="Tahoma" w:cs="Tahoma"/>
          <w:b/>
          <w:sz w:val="24"/>
          <w:szCs w:val="24"/>
        </w:rPr>
        <w:t>Chinyangarara</w:t>
      </w:r>
      <w:proofErr w:type="spellEnd"/>
      <w:r w:rsidR="00B56AFC">
        <w:rPr>
          <w:rFonts w:ascii="Tahoma" w:hAnsi="Tahoma" w:cs="Tahoma"/>
          <w:b/>
          <w:sz w:val="24"/>
          <w:szCs w:val="24"/>
        </w:rPr>
        <w:t xml:space="preserve"> (Legal Practitioner)</w:t>
      </w:r>
      <w:r>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0D6A32" w:rsidRDefault="00FF6AC2" w:rsidP="003960B5">
      <w:pPr>
        <w:spacing w:after="0" w:line="360" w:lineRule="auto"/>
        <w:jc w:val="both"/>
        <w:rPr>
          <w:rFonts w:ascii="Tahoma" w:hAnsi="Tahoma" w:cs="Tahoma"/>
          <w:sz w:val="24"/>
          <w:szCs w:val="24"/>
        </w:rPr>
      </w:pPr>
      <w:r>
        <w:rPr>
          <w:rFonts w:ascii="Tahoma" w:hAnsi="Tahoma" w:cs="Tahoma"/>
          <w:b/>
          <w:sz w:val="24"/>
          <w:szCs w:val="24"/>
        </w:rPr>
        <w:tab/>
      </w:r>
      <w:r w:rsidR="00E15BF6">
        <w:rPr>
          <w:rFonts w:ascii="Tahoma" w:hAnsi="Tahoma" w:cs="Tahoma"/>
          <w:sz w:val="24"/>
          <w:szCs w:val="24"/>
        </w:rPr>
        <w:t>This is an appeal against the decision of the Appeals officer who upheld the decision of the Hearing Officer to dismiss the appellant from employment.</w:t>
      </w:r>
    </w:p>
    <w:p w:rsidR="00E15BF6" w:rsidRDefault="00E15BF6" w:rsidP="003960B5">
      <w:pPr>
        <w:spacing w:after="0" w:line="360" w:lineRule="auto"/>
        <w:jc w:val="both"/>
        <w:rPr>
          <w:rFonts w:ascii="Tahoma" w:hAnsi="Tahoma" w:cs="Tahoma"/>
          <w:sz w:val="24"/>
          <w:szCs w:val="24"/>
        </w:rPr>
      </w:pPr>
    </w:p>
    <w:p w:rsidR="00E15BF6" w:rsidRDefault="00E15BF6" w:rsidP="003960B5">
      <w:pPr>
        <w:spacing w:after="0" w:line="360" w:lineRule="auto"/>
        <w:jc w:val="both"/>
        <w:rPr>
          <w:rFonts w:ascii="Tahoma" w:hAnsi="Tahoma" w:cs="Tahoma"/>
          <w:sz w:val="24"/>
          <w:szCs w:val="24"/>
        </w:rPr>
      </w:pPr>
      <w:r>
        <w:rPr>
          <w:rFonts w:ascii="Tahoma" w:hAnsi="Tahoma" w:cs="Tahoma"/>
          <w:sz w:val="24"/>
          <w:szCs w:val="24"/>
        </w:rPr>
        <w:tab/>
        <w:t>The brief facts of the matter are that appellant</w:t>
      </w:r>
      <w:r w:rsidR="008F6658">
        <w:rPr>
          <w:rFonts w:ascii="Tahoma" w:hAnsi="Tahoma" w:cs="Tahoma"/>
          <w:sz w:val="24"/>
          <w:szCs w:val="24"/>
        </w:rPr>
        <w:t xml:space="preserve"> was employed by the Respondent as a Section Manager. He was charged for contravening section 4 (a) of the Labour (National Employment Code of Conduct) Regulations SI 15 of 2006. It was alleged that he swiped customers’ groceries using his own bank card and pocketed cash in United States Dollars that the customers would have brought to the Supermarket intending to pay for their purchases. By so doing it was alleged that appellant had committed an act of conduct or omission inconsistent with the fulfilment of the express or implied conduct of his contract of employment.</w:t>
      </w:r>
    </w:p>
    <w:p w:rsidR="008F6658" w:rsidRDefault="008F6658" w:rsidP="003960B5">
      <w:pPr>
        <w:spacing w:after="0" w:line="360" w:lineRule="auto"/>
        <w:jc w:val="both"/>
        <w:rPr>
          <w:rFonts w:ascii="Tahoma" w:hAnsi="Tahoma" w:cs="Tahoma"/>
          <w:sz w:val="24"/>
          <w:szCs w:val="24"/>
        </w:rPr>
      </w:pPr>
    </w:p>
    <w:p w:rsidR="008F6658" w:rsidRDefault="008F6658" w:rsidP="003960B5">
      <w:pPr>
        <w:spacing w:after="0" w:line="360" w:lineRule="auto"/>
        <w:jc w:val="both"/>
        <w:rPr>
          <w:rFonts w:ascii="Tahoma" w:hAnsi="Tahoma" w:cs="Tahoma"/>
          <w:sz w:val="24"/>
          <w:szCs w:val="24"/>
        </w:rPr>
      </w:pPr>
      <w:r>
        <w:rPr>
          <w:rFonts w:ascii="Tahoma" w:hAnsi="Tahoma" w:cs="Tahoma"/>
          <w:sz w:val="24"/>
          <w:szCs w:val="24"/>
        </w:rPr>
        <w:lastRenderedPageBreak/>
        <w:tab/>
        <w:t>The Appellant has filed his appeal based on the following grounds:</w:t>
      </w:r>
    </w:p>
    <w:p w:rsidR="008F6658" w:rsidRDefault="008F6658" w:rsidP="003960B5">
      <w:pPr>
        <w:spacing w:after="0" w:line="360" w:lineRule="auto"/>
        <w:jc w:val="both"/>
        <w:rPr>
          <w:rFonts w:ascii="Tahoma" w:hAnsi="Tahoma" w:cs="Tahoma"/>
          <w:sz w:val="24"/>
          <w:szCs w:val="24"/>
        </w:rPr>
      </w:pPr>
    </w:p>
    <w:p w:rsidR="008F6658" w:rsidRDefault="008F6658" w:rsidP="008F6658">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Appels Committee grossly misdirected when it gave to due consideration to two major issues which are mitigation and tenure of service wherein the grounds of appeal raised by the Appellant were mitigation and penalty.</w:t>
      </w:r>
    </w:p>
    <w:p w:rsidR="008F6658" w:rsidRDefault="008F6658" w:rsidP="008F6658">
      <w:pPr>
        <w:spacing w:after="0" w:line="360" w:lineRule="auto"/>
        <w:ind w:left="720" w:hanging="720"/>
        <w:jc w:val="both"/>
        <w:rPr>
          <w:rFonts w:ascii="Tahoma" w:hAnsi="Tahoma" w:cs="Tahoma"/>
          <w:sz w:val="24"/>
          <w:szCs w:val="24"/>
        </w:rPr>
      </w:pPr>
    </w:p>
    <w:p w:rsidR="008F6658" w:rsidRDefault="008F6658" w:rsidP="008F6658">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It is respectfully submitted that the Internal Appeals Officer grossly erred and both misdirected itself both at law and fact when he deviated from the original charge by categorising the Appellant’s act of conduct as fraud. The Appellant had no intentions to neither steal nor commit fraud</w:t>
      </w:r>
      <w:r w:rsidR="002E2907">
        <w:rPr>
          <w:rFonts w:ascii="Tahoma" w:hAnsi="Tahoma" w:cs="Tahoma"/>
          <w:sz w:val="24"/>
          <w:szCs w:val="24"/>
        </w:rPr>
        <w:t>.</w:t>
      </w:r>
    </w:p>
    <w:p w:rsidR="002E2907" w:rsidRDefault="002E2907" w:rsidP="008F6658">
      <w:pPr>
        <w:spacing w:after="0" w:line="360" w:lineRule="auto"/>
        <w:ind w:left="720" w:hanging="720"/>
        <w:jc w:val="both"/>
        <w:rPr>
          <w:rFonts w:ascii="Tahoma" w:hAnsi="Tahoma" w:cs="Tahoma"/>
          <w:sz w:val="24"/>
          <w:szCs w:val="24"/>
        </w:rPr>
      </w:pP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Appeals Committee misdirected itself in finding that the case was fraudulently misappropriated when there is no evidence of such prejudice.</w:t>
      </w:r>
    </w:p>
    <w:p w:rsidR="002E2907" w:rsidRDefault="002E2907" w:rsidP="008F6658">
      <w:pPr>
        <w:spacing w:after="0" w:line="360" w:lineRule="auto"/>
        <w:ind w:left="720" w:hanging="720"/>
        <w:jc w:val="both"/>
        <w:rPr>
          <w:rFonts w:ascii="Tahoma" w:hAnsi="Tahoma" w:cs="Tahoma"/>
          <w:sz w:val="24"/>
          <w:szCs w:val="24"/>
        </w:rPr>
      </w:pP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Appeals Committee misdirected itself on a point of law and fact by dismissing the Appellant’s appeal on the strength of a wrong charge thus prejudicing the appellant more particularly in that the appellant’s conduct was interpreted to be fraud thus placing the appellant on the risk of a huge penalty which could have been avoided if a correct charge was given.</w:t>
      </w:r>
    </w:p>
    <w:p w:rsidR="002E2907" w:rsidRDefault="002E2907" w:rsidP="008F6658">
      <w:pPr>
        <w:spacing w:after="0" w:line="360" w:lineRule="auto"/>
        <w:ind w:left="720" w:hanging="720"/>
        <w:jc w:val="both"/>
        <w:rPr>
          <w:rFonts w:ascii="Tahoma" w:hAnsi="Tahoma" w:cs="Tahoma"/>
          <w:sz w:val="24"/>
          <w:szCs w:val="24"/>
        </w:rPr>
      </w:pP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 xml:space="preserve">The Appeals Committee grossly erred both in law and fact when he totally dismissed length of service as a </w:t>
      </w:r>
      <w:proofErr w:type="spellStart"/>
      <w:r>
        <w:rPr>
          <w:rFonts w:ascii="Tahoma" w:hAnsi="Tahoma" w:cs="Tahoma"/>
          <w:sz w:val="24"/>
          <w:szCs w:val="24"/>
        </w:rPr>
        <w:t>mitigatory</w:t>
      </w:r>
      <w:proofErr w:type="spellEnd"/>
      <w:r>
        <w:rPr>
          <w:rFonts w:ascii="Tahoma" w:hAnsi="Tahoma" w:cs="Tahoma"/>
          <w:sz w:val="24"/>
          <w:szCs w:val="24"/>
        </w:rPr>
        <w:t xml:space="preserve"> factor and addressed it as an aggravating factor for the appellant who has a clean disciplinary record.</w:t>
      </w:r>
    </w:p>
    <w:p w:rsidR="002E2907" w:rsidRDefault="002E2907" w:rsidP="008F6658">
      <w:pPr>
        <w:spacing w:after="0" w:line="360" w:lineRule="auto"/>
        <w:ind w:left="720" w:hanging="720"/>
        <w:jc w:val="both"/>
        <w:rPr>
          <w:rFonts w:ascii="Tahoma" w:hAnsi="Tahoma" w:cs="Tahoma"/>
          <w:sz w:val="24"/>
          <w:szCs w:val="24"/>
        </w:rPr>
      </w:pP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The sentence imposed by the disciplinary committee which the Appeals Committee upheld is manifesting unjust and induces a sense of shock.</w:t>
      </w:r>
    </w:p>
    <w:p w:rsidR="002E2907" w:rsidRDefault="00D028F6" w:rsidP="008F6658">
      <w:pPr>
        <w:spacing w:after="0" w:line="360" w:lineRule="auto"/>
        <w:ind w:left="720" w:hanging="720"/>
        <w:jc w:val="both"/>
        <w:rPr>
          <w:rFonts w:ascii="Tahoma" w:hAnsi="Tahoma" w:cs="Tahoma"/>
          <w:sz w:val="24"/>
          <w:szCs w:val="24"/>
        </w:rPr>
      </w:pPr>
      <w:r>
        <w:rPr>
          <w:rFonts w:ascii="Tahoma" w:hAnsi="Tahoma" w:cs="Tahoma"/>
          <w:sz w:val="24"/>
          <w:szCs w:val="24"/>
        </w:rPr>
        <w:t xml:space="preserve">In response the Respondent submitted that </w:t>
      </w:r>
    </w:p>
    <w:p w:rsidR="00D028F6" w:rsidRDefault="00D028F6" w:rsidP="008F6658">
      <w:pPr>
        <w:spacing w:after="0" w:line="360" w:lineRule="auto"/>
        <w:ind w:left="720" w:hanging="720"/>
        <w:jc w:val="both"/>
        <w:rPr>
          <w:rFonts w:ascii="Tahoma" w:hAnsi="Tahoma" w:cs="Tahoma"/>
          <w:sz w:val="24"/>
          <w:szCs w:val="24"/>
        </w:rPr>
      </w:pPr>
      <w:r>
        <w:rPr>
          <w:rFonts w:ascii="Tahoma" w:hAnsi="Tahoma" w:cs="Tahoma"/>
          <w:sz w:val="24"/>
          <w:szCs w:val="24"/>
        </w:rPr>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Appeals Committee erred by not considering the mitigation and length of Service because the Appellant had served for 33 years.</w:t>
      </w:r>
    </w:p>
    <w:p w:rsidR="00D028F6" w:rsidRDefault="00312D3E" w:rsidP="008F6658">
      <w:pPr>
        <w:spacing w:after="0" w:line="360" w:lineRule="auto"/>
        <w:ind w:left="72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There was</w:t>
      </w:r>
      <w:r w:rsidR="00D028F6">
        <w:rPr>
          <w:rFonts w:ascii="Tahoma" w:hAnsi="Tahoma" w:cs="Tahoma"/>
          <w:sz w:val="24"/>
          <w:szCs w:val="24"/>
        </w:rPr>
        <w:t xml:space="preserve"> no direct prejudice on the Respondent because Appellant </w:t>
      </w:r>
      <w:proofErr w:type="gramStart"/>
      <w:r w:rsidR="00D028F6">
        <w:rPr>
          <w:rFonts w:ascii="Tahoma" w:hAnsi="Tahoma" w:cs="Tahoma"/>
          <w:sz w:val="24"/>
          <w:szCs w:val="24"/>
        </w:rPr>
        <w:t xml:space="preserve">had  </w:t>
      </w:r>
      <w:r>
        <w:rPr>
          <w:rFonts w:ascii="Tahoma" w:hAnsi="Tahoma" w:cs="Tahoma"/>
          <w:sz w:val="24"/>
          <w:szCs w:val="24"/>
        </w:rPr>
        <w:t>swiped</w:t>
      </w:r>
      <w:proofErr w:type="gramEnd"/>
      <w:r>
        <w:rPr>
          <w:rFonts w:ascii="Tahoma" w:hAnsi="Tahoma" w:cs="Tahoma"/>
          <w:sz w:val="24"/>
          <w:szCs w:val="24"/>
        </w:rPr>
        <w:t xml:space="preserve"> cash</w:t>
      </w:r>
      <w:r w:rsidR="00D028F6">
        <w:rPr>
          <w:rFonts w:ascii="Tahoma" w:hAnsi="Tahoma" w:cs="Tahoma"/>
          <w:sz w:val="24"/>
          <w:szCs w:val="24"/>
        </w:rPr>
        <w:t xml:space="preserve"> in return for foreign currency.</w:t>
      </w:r>
    </w:p>
    <w:p w:rsidR="00D028F6" w:rsidRDefault="00D028F6" w:rsidP="008F6658">
      <w:pPr>
        <w:spacing w:after="0" w:line="360" w:lineRule="auto"/>
        <w:ind w:left="720" w:hanging="720"/>
        <w:jc w:val="both"/>
        <w:rPr>
          <w:rFonts w:ascii="Tahoma" w:hAnsi="Tahoma" w:cs="Tahoma"/>
          <w:sz w:val="24"/>
          <w:szCs w:val="24"/>
        </w:rPr>
      </w:pPr>
      <w:r>
        <w:rPr>
          <w:rFonts w:ascii="Tahoma" w:hAnsi="Tahoma" w:cs="Tahoma"/>
          <w:sz w:val="24"/>
          <w:szCs w:val="24"/>
        </w:rPr>
        <w:t>(iii)</w:t>
      </w:r>
      <w:r>
        <w:rPr>
          <w:rFonts w:ascii="Tahoma" w:hAnsi="Tahoma" w:cs="Tahoma"/>
          <w:sz w:val="24"/>
          <w:szCs w:val="24"/>
        </w:rPr>
        <w:tab/>
        <w:t>The penalty was e</w:t>
      </w:r>
      <w:r w:rsidR="00312D3E">
        <w:rPr>
          <w:rFonts w:ascii="Tahoma" w:hAnsi="Tahoma" w:cs="Tahoma"/>
          <w:sz w:val="24"/>
          <w:szCs w:val="24"/>
        </w:rPr>
        <w:t>xcessive</w:t>
      </w:r>
      <w:r>
        <w:rPr>
          <w:rFonts w:ascii="Tahoma" w:hAnsi="Tahoma" w:cs="Tahoma"/>
          <w:sz w:val="24"/>
          <w:szCs w:val="24"/>
        </w:rPr>
        <w:t>. Appellant should have just been given a warning.</w:t>
      </w: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lastRenderedPageBreak/>
        <w:tab/>
        <w:t>The issues to be decided are:</w:t>
      </w:r>
    </w:p>
    <w:p w:rsidR="002E2907" w:rsidRDefault="002E2907" w:rsidP="008F6658">
      <w:pPr>
        <w:spacing w:after="0" w:line="360" w:lineRule="auto"/>
        <w:ind w:left="720" w:hanging="720"/>
        <w:jc w:val="both"/>
        <w:rPr>
          <w:rFonts w:ascii="Tahoma" w:hAnsi="Tahoma" w:cs="Tahoma"/>
          <w:sz w:val="24"/>
          <w:szCs w:val="24"/>
        </w:rPr>
      </w:pP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Whether or not the appellant was charged with the correct charge.</w:t>
      </w:r>
    </w:p>
    <w:p w:rsidR="002E2907" w:rsidRDefault="002E2907" w:rsidP="008F6658">
      <w:pPr>
        <w:spacing w:after="0" w:line="360" w:lineRule="auto"/>
        <w:ind w:left="72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Whether or not a penalty of dismissal was appropriate in the circumstances.</w:t>
      </w:r>
    </w:p>
    <w:p w:rsidR="002E2907" w:rsidRDefault="002E2907" w:rsidP="002E2907">
      <w:pPr>
        <w:spacing w:after="0" w:line="360" w:lineRule="auto"/>
        <w:jc w:val="both"/>
        <w:rPr>
          <w:rFonts w:ascii="Tahoma" w:hAnsi="Tahoma" w:cs="Tahoma"/>
          <w:sz w:val="24"/>
          <w:szCs w:val="24"/>
        </w:rPr>
      </w:pPr>
      <w:r>
        <w:rPr>
          <w:rFonts w:ascii="Tahoma" w:hAnsi="Tahoma" w:cs="Tahoma"/>
          <w:sz w:val="24"/>
          <w:szCs w:val="24"/>
        </w:rPr>
        <w:t xml:space="preserve">                                                                                                                                                                                                                                                                                                                                                                                                                                                                                                                                                                                                                                                                                                                                                                                                                                                                                                                                                                                                                                                                                                                                                                                                                                           (iii)</w:t>
      </w:r>
      <w:r>
        <w:rPr>
          <w:rFonts w:ascii="Tahoma" w:hAnsi="Tahoma" w:cs="Tahoma"/>
          <w:sz w:val="24"/>
          <w:szCs w:val="24"/>
        </w:rPr>
        <w:tab/>
      </w:r>
      <w:r w:rsidR="00BC7965">
        <w:rPr>
          <w:rFonts w:ascii="Tahoma" w:hAnsi="Tahoma" w:cs="Tahoma"/>
          <w:sz w:val="24"/>
          <w:szCs w:val="24"/>
        </w:rPr>
        <w:t xml:space="preserve">Whether lengthy of service was </w:t>
      </w:r>
      <w:proofErr w:type="spellStart"/>
      <w:r w:rsidR="00BC7965">
        <w:rPr>
          <w:rFonts w:ascii="Tahoma" w:hAnsi="Tahoma" w:cs="Tahoma"/>
          <w:sz w:val="24"/>
          <w:szCs w:val="24"/>
        </w:rPr>
        <w:t>mitigatory</w:t>
      </w:r>
      <w:proofErr w:type="spellEnd"/>
      <w:r w:rsidR="00BC7965">
        <w:rPr>
          <w:rFonts w:ascii="Tahoma" w:hAnsi="Tahoma" w:cs="Tahoma"/>
          <w:sz w:val="24"/>
          <w:szCs w:val="24"/>
        </w:rPr>
        <w:t xml:space="preserve"> in the circumstances.</w:t>
      </w:r>
    </w:p>
    <w:p w:rsidR="00BC7965" w:rsidRDefault="00BC7965" w:rsidP="002E2907">
      <w:pPr>
        <w:spacing w:after="0" w:line="360" w:lineRule="auto"/>
        <w:jc w:val="both"/>
        <w:rPr>
          <w:rFonts w:ascii="Tahoma" w:hAnsi="Tahoma" w:cs="Tahoma"/>
          <w:sz w:val="24"/>
          <w:szCs w:val="24"/>
        </w:rPr>
      </w:pPr>
    </w:p>
    <w:p w:rsidR="000D6A32" w:rsidRDefault="00BC7965" w:rsidP="000D6A32">
      <w:pPr>
        <w:spacing w:after="0" w:line="360" w:lineRule="auto"/>
        <w:jc w:val="both"/>
        <w:rPr>
          <w:rFonts w:ascii="Tahoma" w:hAnsi="Tahoma" w:cs="Tahoma"/>
          <w:b/>
          <w:sz w:val="24"/>
          <w:szCs w:val="24"/>
          <w:u w:val="single"/>
        </w:rPr>
      </w:pPr>
      <w:r w:rsidRPr="00BC7965">
        <w:rPr>
          <w:rFonts w:ascii="Tahoma" w:hAnsi="Tahoma" w:cs="Tahoma"/>
          <w:b/>
          <w:sz w:val="24"/>
          <w:szCs w:val="24"/>
          <w:u w:val="single"/>
        </w:rPr>
        <w:t>Whether or not Appellant was charged with the correct charge</w:t>
      </w:r>
    </w:p>
    <w:p w:rsidR="00BC7965" w:rsidRDefault="00BC7965" w:rsidP="000D6A32">
      <w:pPr>
        <w:spacing w:after="0" w:line="360" w:lineRule="auto"/>
        <w:jc w:val="both"/>
        <w:rPr>
          <w:rFonts w:ascii="Tahoma" w:hAnsi="Tahoma" w:cs="Tahoma"/>
          <w:sz w:val="24"/>
          <w:szCs w:val="24"/>
        </w:rPr>
      </w:pPr>
      <w:r>
        <w:rPr>
          <w:rFonts w:ascii="Tahoma" w:hAnsi="Tahoma" w:cs="Tahoma"/>
          <w:sz w:val="24"/>
          <w:szCs w:val="24"/>
        </w:rPr>
        <w:tab/>
        <w:t>The appellant was charged with committing an act of conduct or omission that was inconsistent with the fulfilment of the express or implied conditions of his contract. It has not been disputed that in 2017 Appellant signed a letter from his employer that prohibited the interception of money as he did. The appellant acted in a manner which was inconsistent with the fulfilling of his duties. Hence the Appeals Officer found him guilty as charged. The Appellant was therefore charged and found guilty of the appropriate charge.</w:t>
      </w:r>
    </w:p>
    <w:p w:rsidR="00BC7965" w:rsidRDefault="00BC7965" w:rsidP="000D6A32">
      <w:pPr>
        <w:spacing w:after="0" w:line="360" w:lineRule="auto"/>
        <w:jc w:val="both"/>
        <w:rPr>
          <w:rFonts w:ascii="Tahoma" w:hAnsi="Tahoma" w:cs="Tahoma"/>
          <w:sz w:val="24"/>
          <w:szCs w:val="24"/>
        </w:rPr>
      </w:pPr>
    </w:p>
    <w:p w:rsidR="00BC7965" w:rsidRDefault="00BC7965" w:rsidP="000D6A32">
      <w:pPr>
        <w:spacing w:after="0" w:line="360" w:lineRule="auto"/>
        <w:jc w:val="both"/>
        <w:rPr>
          <w:rFonts w:ascii="Tahoma" w:hAnsi="Tahoma" w:cs="Tahoma"/>
          <w:b/>
          <w:sz w:val="24"/>
          <w:szCs w:val="24"/>
          <w:u w:val="single"/>
        </w:rPr>
      </w:pPr>
      <w:r w:rsidRPr="00BC7965">
        <w:rPr>
          <w:rFonts w:ascii="Tahoma" w:hAnsi="Tahoma" w:cs="Tahoma"/>
          <w:b/>
          <w:sz w:val="24"/>
          <w:szCs w:val="24"/>
          <w:u w:val="single"/>
        </w:rPr>
        <w:t>Whether or not the Appellant dismissal was appropriate</w:t>
      </w:r>
    </w:p>
    <w:p w:rsidR="00DE743D" w:rsidRDefault="00BC7965" w:rsidP="000D6A32">
      <w:pPr>
        <w:spacing w:after="0" w:line="360" w:lineRule="auto"/>
        <w:jc w:val="both"/>
        <w:rPr>
          <w:rFonts w:ascii="Tahoma" w:hAnsi="Tahoma" w:cs="Tahoma"/>
          <w:sz w:val="24"/>
          <w:szCs w:val="24"/>
        </w:rPr>
      </w:pPr>
      <w:r>
        <w:rPr>
          <w:rFonts w:ascii="Tahoma" w:hAnsi="Tahoma" w:cs="Tahoma"/>
          <w:sz w:val="24"/>
          <w:szCs w:val="24"/>
        </w:rPr>
        <w:tab/>
        <w:t>Appellant occupied a position of trust in the organisation. His conduct in the circumstance went to the root of the contract and he therefore deserved to be dismissed. He failed to submit to the</w:t>
      </w:r>
      <w:r w:rsidR="00DE743D">
        <w:rPr>
          <w:rFonts w:ascii="Tahoma" w:hAnsi="Tahoma" w:cs="Tahoma"/>
          <w:sz w:val="24"/>
          <w:szCs w:val="24"/>
        </w:rPr>
        <w:t xml:space="preserve"> employer the United States dollars that the customers brought to the Appellant to purchase groceries. He therefore acted contrar</w:t>
      </w:r>
      <w:r w:rsidR="00F8372F">
        <w:rPr>
          <w:rFonts w:ascii="Tahoma" w:hAnsi="Tahoma" w:cs="Tahoma"/>
          <w:sz w:val="24"/>
          <w:szCs w:val="24"/>
        </w:rPr>
        <w:t>y to the company policy and cash</w:t>
      </w:r>
      <w:r w:rsidR="00DE743D">
        <w:rPr>
          <w:rFonts w:ascii="Tahoma" w:hAnsi="Tahoma" w:cs="Tahoma"/>
          <w:sz w:val="24"/>
          <w:szCs w:val="24"/>
        </w:rPr>
        <w:t xml:space="preserve"> control.</w:t>
      </w:r>
    </w:p>
    <w:p w:rsidR="00DE743D" w:rsidRDefault="00DE743D" w:rsidP="000D6A32">
      <w:pPr>
        <w:spacing w:after="0" w:line="360" w:lineRule="auto"/>
        <w:jc w:val="both"/>
        <w:rPr>
          <w:rFonts w:ascii="Tahoma" w:hAnsi="Tahoma" w:cs="Tahoma"/>
          <w:sz w:val="24"/>
          <w:szCs w:val="24"/>
        </w:rPr>
      </w:pPr>
    </w:p>
    <w:p w:rsidR="00BC7965" w:rsidRDefault="00DE743D" w:rsidP="000D6A32">
      <w:pPr>
        <w:spacing w:after="0" w:line="360" w:lineRule="auto"/>
        <w:jc w:val="both"/>
        <w:rPr>
          <w:rFonts w:ascii="Tahoma" w:hAnsi="Tahoma" w:cs="Tahoma"/>
          <w:b/>
          <w:sz w:val="24"/>
          <w:szCs w:val="24"/>
          <w:u w:val="single"/>
        </w:rPr>
      </w:pPr>
      <w:r w:rsidRPr="00DE743D">
        <w:rPr>
          <w:rFonts w:ascii="Tahoma" w:hAnsi="Tahoma" w:cs="Tahoma"/>
          <w:b/>
          <w:sz w:val="24"/>
          <w:szCs w:val="24"/>
          <w:u w:val="single"/>
        </w:rPr>
        <w:t xml:space="preserve">Whether or not length of service was </w:t>
      </w:r>
      <w:proofErr w:type="spellStart"/>
      <w:r w:rsidRPr="00DE743D">
        <w:rPr>
          <w:rFonts w:ascii="Tahoma" w:hAnsi="Tahoma" w:cs="Tahoma"/>
          <w:b/>
          <w:sz w:val="24"/>
          <w:szCs w:val="24"/>
          <w:u w:val="single"/>
        </w:rPr>
        <w:t>mitigatory</w:t>
      </w:r>
      <w:proofErr w:type="spellEnd"/>
      <w:r w:rsidR="00BC7965" w:rsidRPr="00DE743D">
        <w:rPr>
          <w:rFonts w:ascii="Tahoma" w:hAnsi="Tahoma" w:cs="Tahoma"/>
          <w:b/>
          <w:sz w:val="24"/>
          <w:szCs w:val="24"/>
          <w:u w:val="single"/>
        </w:rPr>
        <w:t xml:space="preserve"> </w:t>
      </w:r>
    </w:p>
    <w:p w:rsidR="00DE743D" w:rsidRDefault="00DE743D" w:rsidP="000D6A32">
      <w:pPr>
        <w:spacing w:after="0" w:line="360" w:lineRule="auto"/>
        <w:jc w:val="both"/>
        <w:rPr>
          <w:rFonts w:ascii="Tahoma" w:hAnsi="Tahoma" w:cs="Tahoma"/>
          <w:sz w:val="24"/>
          <w:szCs w:val="24"/>
        </w:rPr>
      </w:pPr>
      <w:r>
        <w:rPr>
          <w:rFonts w:ascii="Tahoma" w:hAnsi="Tahoma" w:cs="Tahoma"/>
          <w:sz w:val="24"/>
          <w:szCs w:val="24"/>
        </w:rPr>
        <w:tab/>
        <w:t xml:space="preserve">It is the appellant’s argument that his length of service of 33 years should have been </w:t>
      </w:r>
      <w:proofErr w:type="spellStart"/>
      <w:r>
        <w:rPr>
          <w:rFonts w:ascii="Tahoma" w:hAnsi="Tahoma" w:cs="Tahoma"/>
          <w:sz w:val="24"/>
          <w:szCs w:val="24"/>
        </w:rPr>
        <w:t>mitigtory</w:t>
      </w:r>
      <w:proofErr w:type="spellEnd"/>
      <w:r>
        <w:rPr>
          <w:rFonts w:ascii="Tahoma" w:hAnsi="Tahoma" w:cs="Tahoma"/>
          <w:sz w:val="24"/>
          <w:szCs w:val="24"/>
        </w:rPr>
        <w:t xml:space="preserve"> in the circumstances. On two (2) occasions i.e. 20 October 2020 and 26 October 2020 the appellant paid groceries on behalf of customers using his bank card in exchange for foreign currency. This action was contrary to company procedures and systems. Being a seasoned manager he was supposed to lead by example</w:t>
      </w:r>
      <w:r w:rsidR="00CC0957">
        <w:rPr>
          <w:rFonts w:ascii="Tahoma" w:hAnsi="Tahoma" w:cs="Tahoma"/>
          <w:sz w:val="24"/>
          <w:szCs w:val="24"/>
        </w:rPr>
        <w:t xml:space="preserve"> i.e. abiding by company policies and regulations. It was stated by </w:t>
      </w:r>
      <w:r w:rsidR="00F8372F">
        <w:rPr>
          <w:rFonts w:ascii="Tahoma" w:hAnsi="Tahoma" w:cs="Tahoma"/>
          <w:i/>
          <w:sz w:val="24"/>
          <w:szCs w:val="24"/>
        </w:rPr>
        <w:t>Groga</w:t>
      </w:r>
      <w:r w:rsidR="00CC0957" w:rsidRPr="00CC0957">
        <w:rPr>
          <w:rFonts w:ascii="Tahoma" w:hAnsi="Tahoma" w:cs="Tahoma"/>
          <w:i/>
          <w:sz w:val="24"/>
          <w:szCs w:val="24"/>
        </w:rPr>
        <w:t xml:space="preserve">n Workplace law </w:t>
      </w:r>
      <w:proofErr w:type="spellStart"/>
      <w:proofErr w:type="gramStart"/>
      <w:r w:rsidR="00CC0957">
        <w:rPr>
          <w:rFonts w:ascii="Tahoma" w:hAnsi="Tahoma" w:cs="Tahoma"/>
          <w:sz w:val="24"/>
          <w:szCs w:val="24"/>
        </w:rPr>
        <w:t>ed</w:t>
      </w:r>
      <w:proofErr w:type="spellEnd"/>
      <w:proofErr w:type="gramEnd"/>
      <w:r w:rsidR="00CC0957">
        <w:rPr>
          <w:rFonts w:ascii="Tahoma" w:hAnsi="Tahoma" w:cs="Tahoma"/>
          <w:sz w:val="24"/>
          <w:szCs w:val="24"/>
        </w:rPr>
        <w:t xml:space="preserve"> at 209 that:</w:t>
      </w:r>
    </w:p>
    <w:p w:rsidR="00CC0957" w:rsidRDefault="00CC0957" w:rsidP="000D6A32">
      <w:pPr>
        <w:spacing w:after="0" w:line="360" w:lineRule="auto"/>
        <w:jc w:val="both"/>
        <w:rPr>
          <w:rFonts w:ascii="Tahoma" w:hAnsi="Tahoma" w:cs="Tahoma"/>
          <w:sz w:val="24"/>
          <w:szCs w:val="24"/>
        </w:rPr>
      </w:pPr>
    </w:p>
    <w:p w:rsidR="00CC0957" w:rsidRDefault="00CC0957" w:rsidP="00CC0957">
      <w:pPr>
        <w:spacing w:after="0" w:line="360" w:lineRule="auto"/>
        <w:ind w:left="720"/>
        <w:jc w:val="both"/>
        <w:rPr>
          <w:rFonts w:ascii="Tahoma" w:hAnsi="Tahoma" w:cs="Tahoma"/>
        </w:rPr>
      </w:pPr>
      <w:r w:rsidRPr="00CC0957">
        <w:rPr>
          <w:rFonts w:ascii="Tahoma" w:hAnsi="Tahoma" w:cs="Tahoma"/>
        </w:rPr>
        <w:lastRenderedPageBreak/>
        <w:t xml:space="preserve">“… long service will not always help employees. In </w:t>
      </w:r>
      <w:r w:rsidRPr="00CC0957">
        <w:rPr>
          <w:rFonts w:ascii="Tahoma" w:hAnsi="Tahoma" w:cs="Tahoma"/>
          <w:i/>
        </w:rPr>
        <w:t xml:space="preserve">De Beers Consolidated Mines (Pvt) Ltd </w:t>
      </w:r>
      <w:r w:rsidRPr="00CC0957">
        <w:rPr>
          <w:rFonts w:ascii="Tahoma" w:hAnsi="Tahoma" w:cs="Tahoma"/>
        </w:rPr>
        <w:t>v</w:t>
      </w:r>
      <w:r w:rsidRPr="00CC0957">
        <w:rPr>
          <w:rFonts w:ascii="Tahoma" w:hAnsi="Tahoma" w:cs="Tahoma"/>
          <w:i/>
        </w:rPr>
        <w:t xml:space="preserve"> Commissions for Conciliation, Mediator and Others,</w:t>
      </w:r>
      <w:r w:rsidRPr="00CC0957">
        <w:rPr>
          <w:rFonts w:ascii="Tahoma" w:hAnsi="Tahoma" w:cs="Tahoma"/>
        </w:rPr>
        <w:t xml:space="preserve"> the Labour Appeals Court went so far as that say that the</w:t>
      </w:r>
      <w:r w:rsidR="00F8372F">
        <w:rPr>
          <w:rFonts w:ascii="Tahoma" w:hAnsi="Tahoma" w:cs="Tahoma"/>
        </w:rPr>
        <w:t>se</w:t>
      </w:r>
      <w:r w:rsidRPr="00CC0957">
        <w:rPr>
          <w:rFonts w:ascii="Tahoma" w:hAnsi="Tahoma" w:cs="Tahoma"/>
        </w:rPr>
        <w:t xml:space="preserve"> factors are not really ‘mitigating’ circumstances at all …”</w:t>
      </w:r>
    </w:p>
    <w:p w:rsidR="00CC0957" w:rsidRDefault="00CC0957" w:rsidP="00CC0957">
      <w:pPr>
        <w:spacing w:after="0" w:line="360" w:lineRule="auto"/>
        <w:jc w:val="both"/>
        <w:rPr>
          <w:rFonts w:ascii="Tahoma" w:hAnsi="Tahoma" w:cs="Tahoma"/>
        </w:rPr>
      </w:pPr>
      <w:r>
        <w:rPr>
          <w:rFonts w:ascii="Tahoma" w:hAnsi="Tahoma" w:cs="Tahoma"/>
        </w:rPr>
        <w:t xml:space="preserve">Grogan in Dismissal, </w:t>
      </w:r>
      <w:proofErr w:type="spellStart"/>
      <w:r w:rsidR="00E60B24">
        <w:rPr>
          <w:rFonts w:ascii="Tahoma" w:hAnsi="Tahoma" w:cs="Tahoma"/>
        </w:rPr>
        <w:t>Discommunication</w:t>
      </w:r>
      <w:proofErr w:type="spellEnd"/>
      <w:r w:rsidR="00E60B24">
        <w:rPr>
          <w:rFonts w:ascii="Tahoma" w:hAnsi="Tahoma" w:cs="Tahoma"/>
        </w:rPr>
        <w:t xml:space="preserve"> and Unfair Labour Practices further stated that </w:t>
      </w:r>
    </w:p>
    <w:p w:rsidR="00E60B24" w:rsidRDefault="00E60B24" w:rsidP="00CC0957">
      <w:pPr>
        <w:spacing w:after="0" w:line="360" w:lineRule="auto"/>
        <w:jc w:val="both"/>
        <w:rPr>
          <w:rFonts w:ascii="Tahoma" w:hAnsi="Tahoma" w:cs="Tahoma"/>
        </w:rPr>
      </w:pPr>
    </w:p>
    <w:p w:rsidR="00E60B24" w:rsidRDefault="00E60B24" w:rsidP="00E60B24">
      <w:pPr>
        <w:spacing w:after="0" w:line="360" w:lineRule="auto"/>
        <w:ind w:left="720"/>
        <w:jc w:val="both"/>
        <w:rPr>
          <w:rFonts w:ascii="Tahoma" w:hAnsi="Tahoma" w:cs="Tahoma"/>
        </w:rPr>
      </w:pPr>
      <w:r>
        <w:rPr>
          <w:rFonts w:ascii="Tahoma" w:hAnsi="Tahoma" w:cs="Tahoma"/>
        </w:rPr>
        <w:t xml:space="preserve">“The more senior – the employee the higher the standard of work that can be expected of him or her … (a) </w:t>
      </w:r>
      <w:proofErr w:type="gramStart"/>
      <w:r>
        <w:rPr>
          <w:rFonts w:ascii="Tahoma" w:hAnsi="Tahoma" w:cs="Tahoma"/>
        </w:rPr>
        <w:t>Senior</w:t>
      </w:r>
      <w:proofErr w:type="gramEnd"/>
      <w:r>
        <w:rPr>
          <w:rFonts w:ascii="Tahoma" w:hAnsi="Tahoma" w:cs="Tahoma"/>
        </w:rPr>
        <w:t xml:space="preserve"> employee (has the) knowledge and experience (to) qualify him to judge for himself whether he is meeting the standards set by the employer” (</w:t>
      </w:r>
      <w:proofErr w:type="spellStart"/>
      <w:r>
        <w:rPr>
          <w:rFonts w:ascii="Tahoma" w:hAnsi="Tahoma" w:cs="Tahoma"/>
        </w:rPr>
        <w:t>pg</w:t>
      </w:r>
      <w:proofErr w:type="spellEnd"/>
      <w:r>
        <w:rPr>
          <w:rFonts w:ascii="Tahoma" w:hAnsi="Tahoma" w:cs="Tahoma"/>
        </w:rPr>
        <w:t xml:space="preserve"> 411).</w:t>
      </w:r>
    </w:p>
    <w:p w:rsidR="00E60B24" w:rsidRDefault="00E60B24" w:rsidP="00E60B24">
      <w:pPr>
        <w:spacing w:after="0" w:line="360" w:lineRule="auto"/>
        <w:jc w:val="both"/>
        <w:rPr>
          <w:rFonts w:ascii="Tahoma" w:hAnsi="Tahoma" w:cs="Tahoma"/>
        </w:rPr>
      </w:pPr>
    </w:p>
    <w:p w:rsidR="00E60B24" w:rsidRDefault="00E60B24" w:rsidP="00E60B24">
      <w:pPr>
        <w:spacing w:after="0" w:line="360" w:lineRule="auto"/>
        <w:jc w:val="both"/>
        <w:rPr>
          <w:rFonts w:ascii="Tahoma" w:hAnsi="Tahoma" w:cs="Tahoma"/>
          <w:sz w:val="24"/>
          <w:szCs w:val="24"/>
        </w:rPr>
      </w:pPr>
      <w:r>
        <w:rPr>
          <w:rFonts w:ascii="Tahoma" w:hAnsi="Tahoma" w:cs="Tahoma"/>
        </w:rPr>
        <w:tab/>
      </w:r>
      <w:r>
        <w:rPr>
          <w:rFonts w:ascii="Tahoma" w:hAnsi="Tahoma" w:cs="Tahoma"/>
          <w:sz w:val="24"/>
          <w:szCs w:val="24"/>
        </w:rPr>
        <w:t xml:space="preserve">From the foregoing it is clear that Appellant’s Long Service was aggravating. In the case of </w:t>
      </w:r>
      <w:proofErr w:type="spellStart"/>
      <w:r w:rsidRPr="00584C7E">
        <w:rPr>
          <w:rFonts w:ascii="Tahoma" w:hAnsi="Tahoma" w:cs="Tahoma"/>
          <w:i/>
          <w:sz w:val="24"/>
          <w:szCs w:val="24"/>
        </w:rPr>
        <w:t>Cornaud</w:t>
      </w:r>
      <w:proofErr w:type="spellEnd"/>
      <w:r w:rsidR="00584C7E" w:rsidRPr="00584C7E">
        <w:rPr>
          <w:rFonts w:ascii="Tahoma" w:hAnsi="Tahoma" w:cs="Tahoma"/>
          <w:i/>
          <w:sz w:val="24"/>
          <w:szCs w:val="24"/>
        </w:rPr>
        <w:t xml:space="preserve"> Metal Box</w:t>
      </w:r>
      <w:r w:rsidR="00584C7E">
        <w:rPr>
          <w:rFonts w:ascii="Tahoma" w:hAnsi="Tahoma" w:cs="Tahoma"/>
          <w:sz w:val="24"/>
          <w:szCs w:val="24"/>
        </w:rPr>
        <w:t xml:space="preserve"> v</w:t>
      </w:r>
      <w:r>
        <w:rPr>
          <w:rFonts w:ascii="Tahoma" w:hAnsi="Tahoma" w:cs="Tahoma"/>
          <w:sz w:val="24"/>
          <w:szCs w:val="24"/>
        </w:rPr>
        <w:t xml:space="preserve"> </w:t>
      </w:r>
      <w:proofErr w:type="spellStart"/>
      <w:r w:rsidR="00F8372F">
        <w:rPr>
          <w:rFonts w:ascii="Tahoma" w:hAnsi="Tahoma" w:cs="Tahoma"/>
          <w:i/>
          <w:sz w:val="24"/>
          <w:szCs w:val="24"/>
        </w:rPr>
        <w:t>Ruzvezve</w:t>
      </w:r>
      <w:proofErr w:type="spellEnd"/>
      <w:r>
        <w:rPr>
          <w:rFonts w:ascii="Tahoma" w:hAnsi="Tahoma" w:cs="Tahoma"/>
          <w:sz w:val="24"/>
          <w:szCs w:val="24"/>
        </w:rPr>
        <w:t xml:space="preserve"> ZW SC 056/15</w:t>
      </w:r>
      <w:r w:rsidR="00584C7E">
        <w:rPr>
          <w:rFonts w:ascii="Tahoma" w:hAnsi="Tahoma" w:cs="Tahoma"/>
          <w:sz w:val="24"/>
          <w:szCs w:val="24"/>
        </w:rPr>
        <w:t xml:space="preserve"> it was also stated that:</w:t>
      </w:r>
    </w:p>
    <w:p w:rsidR="00584C7E" w:rsidRDefault="00584C7E" w:rsidP="00E60B24">
      <w:pPr>
        <w:spacing w:after="0" w:line="360" w:lineRule="auto"/>
        <w:jc w:val="both"/>
        <w:rPr>
          <w:rFonts w:ascii="Tahoma" w:hAnsi="Tahoma" w:cs="Tahoma"/>
          <w:sz w:val="24"/>
          <w:szCs w:val="24"/>
        </w:rPr>
      </w:pPr>
    </w:p>
    <w:p w:rsidR="00584C7E" w:rsidRPr="00D66A0D" w:rsidRDefault="00584C7E" w:rsidP="00584C7E">
      <w:pPr>
        <w:spacing w:after="0" w:line="360" w:lineRule="auto"/>
        <w:ind w:left="720"/>
        <w:jc w:val="both"/>
        <w:rPr>
          <w:rFonts w:ascii="Tahoma" w:hAnsi="Tahoma" w:cs="Tahoma"/>
        </w:rPr>
      </w:pPr>
      <w:r w:rsidRPr="00D66A0D">
        <w:rPr>
          <w:rFonts w:ascii="Tahoma" w:hAnsi="Tahoma" w:cs="Tahoma"/>
        </w:rPr>
        <w:t>“</w:t>
      </w:r>
      <w:proofErr w:type="gramStart"/>
      <w:r w:rsidRPr="00D66A0D">
        <w:rPr>
          <w:rFonts w:ascii="Tahoma" w:hAnsi="Tahoma" w:cs="Tahoma"/>
        </w:rPr>
        <w:t>this</w:t>
      </w:r>
      <w:proofErr w:type="gramEnd"/>
      <w:r w:rsidRPr="00D66A0D">
        <w:rPr>
          <w:rFonts w:ascii="Tahoma" w:hAnsi="Tahoma" w:cs="Tahoma"/>
        </w:rPr>
        <w:t xml:space="preserve"> section could only be brought in and where the employer was shown to have committed a misdirection in imposing the penalty dismissal. An appellate tribunal in </w:t>
      </w:r>
      <w:r w:rsidR="00D66A0D" w:rsidRPr="00D66A0D">
        <w:rPr>
          <w:rFonts w:ascii="Tahoma" w:hAnsi="Tahoma" w:cs="Tahoma"/>
        </w:rPr>
        <w:t>these circumstances</w:t>
      </w:r>
      <w:r w:rsidRPr="00D66A0D">
        <w:rPr>
          <w:rFonts w:ascii="Tahoma" w:hAnsi="Tahoma" w:cs="Tahoma"/>
        </w:rPr>
        <w:t xml:space="preserve"> would</w:t>
      </w:r>
      <w:r w:rsidR="00832E58" w:rsidRPr="00D66A0D">
        <w:rPr>
          <w:rFonts w:ascii="Tahoma" w:hAnsi="Tahoma" w:cs="Tahoma"/>
        </w:rPr>
        <w:t xml:space="preserve"> take into consideration among others, the factors set</w:t>
      </w:r>
      <w:r w:rsidR="00D66A0D" w:rsidRPr="00D66A0D">
        <w:rPr>
          <w:rFonts w:ascii="Tahoma" w:hAnsi="Tahoma" w:cs="Tahoma"/>
        </w:rPr>
        <w:t xml:space="preserve"> </w:t>
      </w:r>
      <w:r w:rsidR="00832E58" w:rsidRPr="00D66A0D">
        <w:rPr>
          <w:rFonts w:ascii="Tahoma" w:hAnsi="Tahoma" w:cs="Tahoma"/>
        </w:rPr>
        <w:t>out in</w:t>
      </w:r>
      <w:r w:rsidR="00D66A0D" w:rsidRPr="00D66A0D">
        <w:rPr>
          <w:rFonts w:ascii="Tahoma" w:hAnsi="Tahoma" w:cs="Tahoma"/>
        </w:rPr>
        <w:t xml:space="preserve"> </w:t>
      </w:r>
      <w:r w:rsidR="00832E58" w:rsidRPr="00D66A0D">
        <w:rPr>
          <w:rFonts w:ascii="Tahoma" w:hAnsi="Tahoma" w:cs="Tahoma"/>
        </w:rPr>
        <w:t xml:space="preserve">that section to enable it to arrive at a decision as to the appropriate penalty to be imposed. To hold that the section gives an </w:t>
      </w:r>
      <w:r w:rsidR="00312D3E">
        <w:rPr>
          <w:rFonts w:ascii="Tahoma" w:hAnsi="Tahoma" w:cs="Tahoma"/>
        </w:rPr>
        <w:t>unbounded licence to the court</w:t>
      </w:r>
      <w:r w:rsidR="00832E58" w:rsidRPr="00D66A0D">
        <w:rPr>
          <w:rFonts w:ascii="Tahoma" w:hAnsi="Tahoma" w:cs="Tahoma"/>
        </w:rPr>
        <w:t xml:space="preserve"> </w:t>
      </w:r>
      <w:r w:rsidR="00D66A0D" w:rsidRPr="00D66A0D">
        <w:rPr>
          <w:rFonts w:ascii="Tahoma" w:hAnsi="Tahoma" w:cs="Tahoma"/>
        </w:rPr>
        <w:t>to</w:t>
      </w:r>
      <w:r w:rsidR="00832E58" w:rsidRPr="00D66A0D">
        <w:rPr>
          <w:rFonts w:ascii="Tahoma" w:hAnsi="Tahoma" w:cs="Tahoma"/>
        </w:rPr>
        <w:t xml:space="preserve"> alter a punishment of dismissal imposed by an employer in a proper exercise of its </w:t>
      </w:r>
      <w:r w:rsidR="00D66A0D" w:rsidRPr="00D66A0D">
        <w:rPr>
          <w:rFonts w:ascii="Tahoma" w:hAnsi="Tahoma" w:cs="Tahoma"/>
        </w:rPr>
        <w:t>discretion</w:t>
      </w:r>
      <w:r w:rsidR="00832E58" w:rsidRPr="00D66A0D">
        <w:rPr>
          <w:rFonts w:ascii="Tahoma" w:hAnsi="Tahoma" w:cs="Tahoma"/>
        </w:rPr>
        <w:t xml:space="preserve"> would be to depart from all established legal principles in terms of which an employer</w:t>
      </w:r>
      <w:r w:rsidR="00D66A0D" w:rsidRPr="00D66A0D">
        <w:rPr>
          <w:rFonts w:ascii="Tahoma" w:hAnsi="Tahoma" w:cs="Tahoma"/>
        </w:rPr>
        <w:t xml:space="preserve"> cannot be obliged to employ someone with when he can no longer maintain an employer employee relationship. That cannot have been the intention of the legislature in enacting that statutory provision.”</w:t>
      </w:r>
      <w:r w:rsidR="00832E58" w:rsidRPr="00D66A0D">
        <w:rPr>
          <w:rFonts w:ascii="Tahoma" w:hAnsi="Tahoma" w:cs="Tahoma"/>
        </w:rPr>
        <w:t xml:space="preserve"> </w:t>
      </w:r>
      <w:r w:rsidRPr="00D66A0D">
        <w:rPr>
          <w:rFonts w:ascii="Tahoma" w:hAnsi="Tahoma" w:cs="Tahoma"/>
        </w:rPr>
        <w:t xml:space="preserve"> </w:t>
      </w:r>
    </w:p>
    <w:p w:rsidR="00E60B24" w:rsidRDefault="00E60B24" w:rsidP="00CC0957">
      <w:pPr>
        <w:spacing w:after="0" w:line="360" w:lineRule="auto"/>
        <w:jc w:val="both"/>
        <w:rPr>
          <w:rFonts w:ascii="Tahoma" w:hAnsi="Tahoma" w:cs="Tahoma"/>
        </w:rPr>
      </w:pPr>
    </w:p>
    <w:p w:rsidR="00CC0957" w:rsidRDefault="00B409FC" w:rsidP="00CC0957">
      <w:pPr>
        <w:spacing w:after="0" w:line="360" w:lineRule="auto"/>
        <w:jc w:val="both"/>
        <w:rPr>
          <w:rFonts w:ascii="Tahoma" w:hAnsi="Tahoma" w:cs="Tahoma"/>
          <w:sz w:val="24"/>
          <w:szCs w:val="24"/>
        </w:rPr>
      </w:pPr>
      <w:r>
        <w:rPr>
          <w:rFonts w:ascii="Tahoma" w:hAnsi="Tahoma" w:cs="Tahoma"/>
          <w:sz w:val="24"/>
          <w:szCs w:val="24"/>
        </w:rPr>
        <w:tab/>
        <w:t xml:space="preserve">From this it is clear that section 12 B (4) of the Labour Act does not put the employer in a position to continue in an employment relationship with the employee where he has breached the trust imposed on him. His length of service had been put on the Respondent. Therefore breach of this trust cannot be </w:t>
      </w:r>
      <w:proofErr w:type="spellStart"/>
      <w:r>
        <w:rPr>
          <w:rFonts w:ascii="Tahoma" w:hAnsi="Tahoma" w:cs="Tahoma"/>
          <w:sz w:val="24"/>
          <w:szCs w:val="24"/>
        </w:rPr>
        <w:t>mitigatory</w:t>
      </w:r>
      <w:proofErr w:type="spellEnd"/>
      <w:r>
        <w:rPr>
          <w:rFonts w:ascii="Tahoma" w:hAnsi="Tahoma" w:cs="Tahoma"/>
          <w:sz w:val="24"/>
          <w:szCs w:val="24"/>
        </w:rPr>
        <w:t xml:space="preserve"> but aggravating.</w:t>
      </w:r>
    </w:p>
    <w:p w:rsidR="00B409FC" w:rsidRDefault="00B409FC" w:rsidP="00CC0957">
      <w:pPr>
        <w:spacing w:after="0" w:line="360" w:lineRule="auto"/>
        <w:jc w:val="both"/>
        <w:rPr>
          <w:rFonts w:ascii="Tahoma" w:hAnsi="Tahoma" w:cs="Tahoma"/>
          <w:sz w:val="24"/>
          <w:szCs w:val="24"/>
        </w:rPr>
      </w:pPr>
    </w:p>
    <w:p w:rsidR="00B409FC" w:rsidRDefault="00B409FC" w:rsidP="00CC0957">
      <w:pPr>
        <w:spacing w:after="0" w:line="360" w:lineRule="auto"/>
        <w:jc w:val="both"/>
        <w:rPr>
          <w:rFonts w:ascii="Tahoma" w:hAnsi="Tahoma" w:cs="Tahoma"/>
          <w:sz w:val="24"/>
          <w:szCs w:val="24"/>
        </w:rPr>
      </w:pPr>
      <w:r>
        <w:rPr>
          <w:rFonts w:ascii="Tahoma" w:hAnsi="Tahoma" w:cs="Tahoma"/>
          <w:sz w:val="24"/>
          <w:szCs w:val="24"/>
        </w:rPr>
        <w:tab/>
        <w:t>In the circumstances therefore, this court finds that the appeal lacks merit and orders as follows:</w:t>
      </w:r>
    </w:p>
    <w:p w:rsidR="00B409FC" w:rsidRDefault="00B409FC" w:rsidP="00CC0957">
      <w:pPr>
        <w:spacing w:after="0" w:line="360" w:lineRule="auto"/>
        <w:jc w:val="both"/>
        <w:rPr>
          <w:rFonts w:ascii="Tahoma" w:hAnsi="Tahoma" w:cs="Tahoma"/>
          <w:sz w:val="24"/>
          <w:szCs w:val="24"/>
        </w:rPr>
      </w:pPr>
    </w:p>
    <w:p w:rsidR="00B409FC" w:rsidRPr="00B409FC" w:rsidRDefault="00B409FC" w:rsidP="00CC0957">
      <w:pPr>
        <w:spacing w:after="0" w:line="360" w:lineRule="auto"/>
        <w:jc w:val="both"/>
        <w:rPr>
          <w:rFonts w:ascii="Tahoma" w:hAnsi="Tahoma" w:cs="Tahoma"/>
          <w:b/>
          <w:sz w:val="24"/>
          <w:szCs w:val="24"/>
        </w:rPr>
      </w:pPr>
      <w:r>
        <w:rPr>
          <w:rFonts w:ascii="Tahoma" w:hAnsi="Tahoma" w:cs="Tahoma"/>
          <w:sz w:val="24"/>
          <w:szCs w:val="24"/>
        </w:rPr>
        <w:lastRenderedPageBreak/>
        <w:tab/>
      </w:r>
      <w:r w:rsidRPr="00B409FC">
        <w:rPr>
          <w:rFonts w:ascii="Tahoma" w:hAnsi="Tahoma" w:cs="Tahoma"/>
          <w:b/>
          <w:sz w:val="24"/>
          <w:szCs w:val="24"/>
        </w:rPr>
        <w:t>(</w:t>
      </w:r>
      <w:proofErr w:type="spellStart"/>
      <w:r w:rsidRPr="00B409FC">
        <w:rPr>
          <w:rFonts w:ascii="Tahoma" w:hAnsi="Tahoma" w:cs="Tahoma"/>
          <w:b/>
          <w:sz w:val="24"/>
          <w:szCs w:val="24"/>
        </w:rPr>
        <w:t>i</w:t>
      </w:r>
      <w:proofErr w:type="spellEnd"/>
      <w:r w:rsidRPr="00B409FC">
        <w:rPr>
          <w:rFonts w:ascii="Tahoma" w:hAnsi="Tahoma" w:cs="Tahoma"/>
          <w:b/>
          <w:sz w:val="24"/>
          <w:szCs w:val="24"/>
        </w:rPr>
        <w:t>).</w:t>
      </w:r>
      <w:r w:rsidRPr="00B409FC">
        <w:rPr>
          <w:rFonts w:ascii="Tahoma" w:hAnsi="Tahoma" w:cs="Tahoma"/>
          <w:b/>
          <w:sz w:val="24"/>
          <w:szCs w:val="24"/>
        </w:rPr>
        <w:tab/>
      </w:r>
      <w:proofErr w:type="gramStart"/>
      <w:r w:rsidRPr="00B409FC">
        <w:rPr>
          <w:rFonts w:ascii="Tahoma" w:hAnsi="Tahoma" w:cs="Tahoma"/>
          <w:b/>
          <w:sz w:val="24"/>
          <w:szCs w:val="24"/>
        </w:rPr>
        <w:t>The</w:t>
      </w:r>
      <w:proofErr w:type="gramEnd"/>
      <w:r w:rsidRPr="00B409FC">
        <w:rPr>
          <w:rFonts w:ascii="Tahoma" w:hAnsi="Tahoma" w:cs="Tahoma"/>
          <w:b/>
          <w:sz w:val="24"/>
          <w:szCs w:val="24"/>
        </w:rPr>
        <w:t xml:space="preserve"> appeal be and is hereby dismissed.</w:t>
      </w:r>
    </w:p>
    <w:p w:rsidR="00B409FC" w:rsidRPr="00B409FC" w:rsidRDefault="00B409FC" w:rsidP="00CC0957">
      <w:pPr>
        <w:spacing w:after="0" w:line="360" w:lineRule="auto"/>
        <w:jc w:val="both"/>
        <w:rPr>
          <w:rFonts w:ascii="Tahoma" w:hAnsi="Tahoma" w:cs="Tahoma"/>
          <w:b/>
          <w:sz w:val="24"/>
          <w:szCs w:val="24"/>
        </w:rPr>
      </w:pPr>
      <w:r w:rsidRPr="00B409FC">
        <w:rPr>
          <w:rFonts w:ascii="Tahoma" w:hAnsi="Tahoma" w:cs="Tahoma"/>
          <w:b/>
          <w:sz w:val="24"/>
          <w:szCs w:val="24"/>
        </w:rPr>
        <w:tab/>
        <w:t>(ii).</w:t>
      </w:r>
      <w:r w:rsidRPr="00B409FC">
        <w:rPr>
          <w:rFonts w:ascii="Tahoma" w:hAnsi="Tahoma" w:cs="Tahoma"/>
          <w:b/>
          <w:sz w:val="24"/>
          <w:szCs w:val="24"/>
        </w:rPr>
        <w:tab/>
        <w:t>Appellant shall bear costs.</w:t>
      </w:r>
    </w:p>
    <w:p w:rsidR="008A7618" w:rsidRDefault="008A7618" w:rsidP="000D6A32">
      <w:pPr>
        <w:spacing w:after="0" w:line="360" w:lineRule="auto"/>
        <w:jc w:val="both"/>
        <w:rPr>
          <w:rFonts w:ascii="Tahoma" w:hAnsi="Tahoma" w:cs="Tahoma"/>
          <w:sz w:val="24"/>
          <w:szCs w:val="24"/>
        </w:rPr>
      </w:pPr>
    </w:p>
    <w:p w:rsidR="008A7618" w:rsidRDefault="008A7618" w:rsidP="000D6A32">
      <w:pPr>
        <w:spacing w:after="0" w:line="360" w:lineRule="auto"/>
        <w:jc w:val="both"/>
        <w:rPr>
          <w:rFonts w:ascii="Tahoma" w:hAnsi="Tahoma" w:cs="Tahoma"/>
          <w:sz w:val="24"/>
          <w:szCs w:val="24"/>
        </w:rPr>
      </w:pPr>
    </w:p>
    <w:p w:rsidR="00B409FC" w:rsidRDefault="00B409FC" w:rsidP="008A7618">
      <w:pPr>
        <w:spacing w:after="0" w:line="240" w:lineRule="auto"/>
        <w:jc w:val="both"/>
        <w:rPr>
          <w:rFonts w:ascii="Tahoma" w:hAnsi="Tahoma" w:cs="Tahoma"/>
          <w:sz w:val="24"/>
          <w:szCs w:val="24"/>
        </w:rPr>
      </w:pPr>
      <w:proofErr w:type="spellStart"/>
      <w:r>
        <w:rPr>
          <w:rFonts w:ascii="Tahoma" w:hAnsi="Tahoma" w:cs="Tahoma"/>
          <w:i/>
          <w:sz w:val="24"/>
          <w:szCs w:val="24"/>
        </w:rPr>
        <w:t>Muyangwa</w:t>
      </w:r>
      <w:proofErr w:type="spellEnd"/>
      <w:r>
        <w:rPr>
          <w:rFonts w:ascii="Tahoma" w:hAnsi="Tahoma" w:cs="Tahoma"/>
          <w:i/>
          <w:sz w:val="24"/>
          <w:szCs w:val="24"/>
        </w:rPr>
        <w:t xml:space="preserve"> &amp; Associates, </w:t>
      </w:r>
      <w:r w:rsidRPr="00B409FC">
        <w:rPr>
          <w:rFonts w:ascii="Tahoma" w:hAnsi="Tahoma" w:cs="Tahoma"/>
          <w:sz w:val="24"/>
          <w:szCs w:val="24"/>
        </w:rPr>
        <w:t>Applicant’s Legal Practitioners</w:t>
      </w:r>
    </w:p>
    <w:p w:rsidR="000D6A32" w:rsidRPr="000D6A32" w:rsidRDefault="00B409FC" w:rsidP="008A7618">
      <w:pPr>
        <w:spacing w:after="0" w:line="240" w:lineRule="auto"/>
        <w:jc w:val="both"/>
        <w:rPr>
          <w:rFonts w:ascii="Tahoma" w:hAnsi="Tahoma" w:cs="Tahoma"/>
          <w:sz w:val="24"/>
          <w:szCs w:val="24"/>
        </w:rPr>
      </w:pPr>
      <w:r w:rsidRPr="00B409FC">
        <w:rPr>
          <w:rFonts w:ascii="Tahoma" w:hAnsi="Tahoma" w:cs="Tahoma"/>
          <w:i/>
          <w:sz w:val="24"/>
          <w:szCs w:val="24"/>
        </w:rPr>
        <w:t xml:space="preserve">Honey &amp; </w:t>
      </w:r>
      <w:proofErr w:type="spellStart"/>
      <w:r w:rsidRPr="00B409FC">
        <w:rPr>
          <w:rFonts w:ascii="Tahoma" w:hAnsi="Tahoma" w:cs="Tahoma"/>
          <w:i/>
          <w:sz w:val="24"/>
          <w:szCs w:val="24"/>
        </w:rPr>
        <w:t>Blanckenberg</w:t>
      </w:r>
      <w:proofErr w:type="spellEnd"/>
      <w:r>
        <w:rPr>
          <w:rFonts w:ascii="Tahoma" w:hAnsi="Tahoma" w:cs="Tahoma"/>
          <w:sz w:val="24"/>
          <w:szCs w:val="24"/>
        </w:rPr>
        <w:t xml:space="preserve">, Respondent’s Legal Practitioners </w:t>
      </w:r>
      <w:r>
        <w:rPr>
          <w:rFonts w:ascii="Tahoma" w:hAnsi="Tahoma" w:cs="Tahoma"/>
          <w:i/>
          <w:sz w:val="24"/>
          <w:szCs w:val="24"/>
        </w:rPr>
        <w:t xml:space="preserve"> </w:t>
      </w: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p w:rsidR="00370EEC" w:rsidRDefault="00370EEC" w:rsidP="00370EEC">
      <w:pPr>
        <w:spacing w:after="0" w:line="360" w:lineRule="auto"/>
        <w:jc w:val="both"/>
        <w:rPr>
          <w:rFonts w:ascii="Tahoma" w:hAnsi="Tahoma" w:cs="Tahoma"/>
          <w:sz w:val="24"/>
          <w:szCs w:val="24"/>
        </w:rPr>
      </w:pPr>
    </w:p>
    <w:sectPr w:rsidR="00370EEC"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D2" w:rsidRDefault="00BC4AD2" w:rsidP="00CB145F">
      <w:pPr>
        <w:spacing w:after="0" w:line="240" w:lineRule="auto"/>
      </w:pPr>
      <w:r>
        <w:separator/>
      </w:r>
    </w:p>
  </w:endnote>
  <w:endnote w:type="continuationSeparator" w:id="0">
    <w:p w:rsidR="00BC4AD2" w:rsidRDefault="00BC4AD2"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566D3C">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D2" w:rsidRDefault="00BC4AD2" w:rsidP="00CB145F">
      <w:pPr>
        <w:spacing w:after="0" w:line="240" w:lineRule="auto"/>
      </w:pPr>
      <w:r>
        <w:separator/>
      </w:r>
    </w:p>
  </w:footnote>
  <w:footnote w:type="continuationSeparator" w:id="0">
    <w:p w:rsidR="00BC4AD2" w:rsidRDefault="00BC4AD2"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312D3E">
      <w:rPr>
        <w:rFonts w:ascii="Tahoma" w:hAnsi="Tahoma" w:cs="Tahoma"/>
        <w:sz w:val="24"/>
        <w:szCs w:val="24"/>
      </w:rPr>
      <w:t>135</w:t>
    </w:r>
    <w:r w:rsidR="00C754FC">
      <w:rPr>
        <w:rFonts w:ascii="Tahoma" w:hAnsi="Tahoma" w:cs="Tahoma"/>
        <w:sz w:val="24"/>
        <w:szCs w:val="24"/>
      </w:rPr>
      <w:t>/2021</w:t>
    </w:r>
  </w:p>
  <w:p w:rsidR="00525115" w:rsidRPr="00CB145F" w:rsidRDefault="00525115">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w:t>
    </w:r>
    <w:r w:rsidR="00B409FC">
      <w:rPr>
        <w:rFonts w:ascii="Tahoma" w:hAnsi="Tahoma" w:cs="Tahoma"/>
        <w:sz w:val="24"/>
        <w:szCs w:val="24"/>
      </w:rPr>
      <w:t>167</w:t>
    </w:r>
    <w:r>
      <w:rPr>
        <w:rFonts w:ascii="Tahoma" w:hAnsi="Tahoma" w:cs="Tahoma"/>
        <w:sz w:val="24"/>
        <w:szCs w:val="24"/>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7D40"/>
    <w:rsid w:val="00041E71"/>
    <w:rsid w:val="00063264"/>
    <w:rsid w:val="00065D2D"/>
    <w:rsid w:val="0008221F"/>
    <w:rsid w:val="00097A81"/>
    <w:rsid w:val="000A096C"/>
    <w:rsid w:val="000A2A9E"/>
    <w:rsid w:val="000C2C87"/>
    <w:rsid w:val="000D6A32"/>
    <w:rsid w:val="001004AC"/>
    <w:rsid w:val="00101F45"/>
    <w:rsid w:val="0010711F"/>
    <w:rsid w:val="00151A29"/>
    <w:rsid w:val="00173D10"/>
    <w:rsid w:val="001830E8"/>
    <w:rsid w:val="001929EF"/>
    <w:rsid w:val="001A45C3"/>
    <w:rsid w:val="002019F4"/>
    <w:rsid w:val="002223F9"/>
    <w:rsid w:val="002411DC"/>
    <w:rsid w:val="00274B7B"/>
    <w:rsid w:val="00275981"/>
    <w:rsid w:val="00277C76"/>
    <w:rsid w:val="002869EA"/>
    <w:rsid w:val="00286A0B"/>
    <w:rsid w:val="002934EC"/>
    <w:rsid w:val="002A36A9"/>
    <w:rsid w:val="002A4BC6"/>
    <w:rsid w:val="002E2907"/>
    <w:rsid w:val="002F10D6"/>
    <w:rsid w:val="00304F01"/>
    <w:rsid w:val="00312D3E"/>
    <w:rsid w:val="00332591"/>
    <w:rsid w:val="00367162"/>
    <w:rsid w:val="00370EEC"/>
    <w:rsid w:val="00375B5D"/>
    <w:rsid w:val="003765C1"/>
    <w:rsid w:val="003960B5"/>
    <w:rsid w:val="003A5D5F"/>
    <w:rsid w:val="00413059"/>
    <w:rsid w:val="00414B04"/>
    <w:rsid w:val="00446DC5"/>
    <w:rsid w:val="00452ACF"/>
    <w:rsid w:val="0046613B"/>
    <w:rsid w:val="00467D1F"/>
    <w:rsid w:val="00471935"/>
    <w:rsid w:val="00473215"/>
    <w:rsid w:val="00473EF5"/>
    <w:rsid w:val="00480FF0"/>
    <w:rsid w:val="00485AE7"/>
    <w:rsid w:val="004A6633"/>
    <w:rsid w:val="004B632E"/>
    <w:rsid w:val="004D7C05"/>
    <w:rsid w:val="004E4AF9"/>
    <w:rsid w:val="004E63FC"/>
    <w:rsid w:val="00525115"/>
    <w:rsid w:val="00541A7F"/>
    <w:rsid w:val="00550DD6"/>
    <w:rsid w:val="00566D3C"/>
    <w:rsid w:val="00584C7E"/>
    <w:rsid w:val="005A74B7"/>
    <w:rsid w:val="005B56E6"/>
    <w:rsid w:val="005C6174"/>
    <w:rsid w:val="005D002D"/>
    <w:rsid w:val="005E6E86"/>
    <w:rsid w:val="005F502F"/>
    <w:rsid w:val="006034E3"/>
    <w:rsid w:val="0060430A"/>
    <w:rsid w:val="00612355"/>
    <w:rsid w:val="0061693B"/>
    <w:rsid w:val="00670EB4"/>
    <w:rsid w:val="00694247"/>
    <w:rsid w:val="00695F58"/>
    <w:rsid w:val="006E705B"/>
    <w:rsid w:val="00702132"/>
    <w:rsid w:val="00704139"/>
    <w:rsid w:val="0074307F"/>
    <w:rsid w:val="007509A0"/>
    <w:rsid w:val="00757F8D"/>
    <w:rsid w:val="00761FA3"/>
    <w:rsid w:val="00763A12"/>
    <w:rsid w:val="00765392"/>
    <w:rsid w:val="00770B2B"/>
    <w:rsid w:val="00770DBD"/>
    <w:rsid w:val="0077793E"/>
    <w:rsid w:val="007809E1"/>
    <w:rsid w:val="007C4535"/>
    <w:rsid w:val="007F1CE3"/>
    <w:rsid w:val="00812686"/>
    <w:rsid w:val="00812F76"/>
    <w:rsid w:val="00832E58"/>
    <w:rsid w:val="00854C01"/>
    <w:rsid w:val="008627D8"/>
    <w:rsid w:val="00875054"/>
    <w:rsid w:val="00896729"/>
    <w:rsid w:val="008A7618"/>
    <w:rsid w:val="008C3229"/>
    <w:rsid w:val="008C474B"/>
    <w:rsid w:val="008E4A44"/>
    <w:rsid w:val="008F6658"/>
    <w:rsid w:val="00906CB1"/>
    <w:rsid w:val="009335BC"/>
    <w:rsid w:val="00940577"/>
    <w:rsid w:val="00944915"/>
    <w:rsid w:val="0095437A"/>
    <w:rsid w:val="00965CF6"/>
    <w:rsid w:val="00987FE3"/>
    <w:rsid w:val="00991B69"/>
    <w:rsid w:val="00995B68"/>
    <w:rsid w:val="009A1664"/>
    <w:rsid w:val="009A2932"/>
    <w:rsid w:val="009C2BF9"/>
    <w:rsid w:val="009F0B2D"/>
    <w:rsid w:val="00A0161F"/>
    <w:rsid w:val="00A156BF"/>
    <w:rsid w:val="00A25045"/>
    <w:rsid w:val="00A55384"/>
    <w:rsid w:val="00A9014D"/>
    <w:rsid w:val="00A93341"/>
    <w:rsid w:val="00A96C8A"/>
    <w:rsid w:val="00AB0179"/>
    <w:rsid w:val="00AC045F"/>
    <w:rsid w:val="00AD2800"/>
    <w:rsid w:val="00AD4092"/>
    <w:rsid w:val="00AF53A9"/>
    <w:rsid w:val="00B01B53"/>
    <w:rsid w:val="00B02893"/>
    <w:rsid w:val="00B409FC"/>
    <w:rsid w:val="00B56AFC"/>
    <w:rsid w:val="00B57477"/>
    <w:rsid w:val="00B71FD0"/>
    <w:rsid w:val="00BA1F25"/>
    <w:rsid w:val="00BA76FA"/>
    <w:rsid w:val="00BB7F81"/>
    <w:rsid w:val="00BC46F6"/>
    <w:rsid w:val="00BC4AD2"/>
    <w:rsid w:val="00BC7965"/>
    <w:rsid w:val="00BF022F"/>
    <w:rsid w:val="00BF76D5"/>
    <w:rsid w:val="00C175B6"/>
    <w:rsid w:val="00C22A31"/>
    <w:rsid w:val="00C26A71"/>
    <w:rsid w:val="00C43D12"/>
    <w:rsid w:val="00C4529C"/>
    <w:rsid w:val="00C754FC"/>
    <w:rsid w:val="00C919B2"/>
    <w:rsid w:val="00C964EE"/>
    <w:rsid w:val="00CA52B4"/>
    <w:rsid w:val="00CB145F"/>
    <w:rsid w:val="00CB1766"/>
    <w:rsid w:val="00CC0957"/>
    <w:rsid w:val="00CC4853"/>
    <w:rsid w:val="00CC4BA5"/>
    <w:rsid w:val="00CE0983"/>
    <w:rsid w:val="00CE200B"/>
    <w:rsid w:val="00D028F6"/>
    <w:rsid w:val="00D214A2"/>
    <w:rsid w:val="00D32166"/>
    <w:rsid w:val="00D61550"/>
    <w:rsid w:val="00D66A0D"/>
    <w:rsid w:val="00D721F6"/>
    <w:rsid w:val="00D83928"/>
    <w:rsid w:val="00D86C8A"/>
    <w:rsid w:val="00DE11D1"/>
    <w:rsid w:val="00DE743D"/>
    <w:rsid w:val="00DF7301"/>
    <w:rsid w:val="00E15BF6"/>
    <w:rsid w:val="00E25EA0"/>
    <w:rsid w:val="00E309C0"/>
    <w:rsid w:val="00E427CE"/>
    <w:rsid w:val="00E50F67"/>
    <w:rsid w:val="00E60B24"/>
    <w:rsid w:val="00E712D3"/>
    <w:rsid w:val="00EB40ED"/>
    <w:rsid w:val="00EF1C31"/>
    <w:rsid w:val="00EF30DD"/>
    <w:rsid w:val="00F025C4"/>
    <w:rsid w:val="00F02F2E"/>
    <w:rsid w:val="00F03814"/>
    <w:rsid w:val="00F12B2D"/>
    <w:rsid w:val="00F35F0F"/>
    <w:rsid w:val="00F3741E"/>
    <w:rsid w:val="00F50555"/>
    <w:rsid w:val="00F55310"/>
    <w:rsid w:val="00F63036"/>
    <w:rsid w:val="00F71F3E"/>
    <w:rsid w:val="00F76AC1"/>
    <w:rsid w:val="00F8372F"/>
    <w:rsid w:val="00FA66AB"/>
    <w:rsid w:val="00FB7C78"/>
    <w:rsid w:val="00FC06D4"/>
    <w:rsid w:val="00FC6DB6"/>
    <w:rsid w:val="00FF0A7E"/>
    <w:rsid w:val="00FF3415"/>
    <w:rsid w:val="00FF6AC2"/>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cp:revision>
  <cp:lastPrinted>2021-07-19T06:27:00Z</cp:lastPrinted>
  <dcterms:created xsi:type="dcterms:W3CDTF">2021-09-06T07:20:00Z</dcterms:created>
  <dcterms:modified xsi:type="dcterms:W3CDTF">2021-09-06T07:20:00Z</dcterms:modified>
</cp:coreProperties>
</file>