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5C0" w:rsidRPr="008E61E3" w:rsidRDefault="000A45C0" w:rsidP="008E61E3">
      <w:pPr>
        <w:pStyle w:val="NoSpacing"/>
        <w:jc w:val="both"/>
        <w:rPr>
          <w:b/>
          <w:sz w:val="24"/>
          <w:szCs w:val="24"/>
          <w:lang w:val="en-US"/>
        </w:rPr>
      </w:pPr>
      <w:r w:rsidRPr="008E61E3">
        <w:rPr>
          <w:b/>
          <w:sz w:val="24"/>
          <w:szCs w:val="24"/>
          <w:lang w:val="en-US"/>
        </w:rPr>
        <w:t>RICHARD MOYO-MAJWABU (in his capacity</w:t>
      </w:r>
    </w:p>
    <w:p w:rsidR="000A45C0" w:rsidRPr="008E61E3" w:rsidRDefault="000A45C0" w:rsidP="008E61E3">
      <w:pPr>
        <w:pStyle w:val="NoSpacing"/>
        <w:jc w:val="both"/>
        <w:rPr>
          <w:b/>
          <w:sz w:val="24"/>
          <w:szCs w:val="24"/>
          <w:lang w:val="en-US"/>
        </w:rPr>
      </w:pPr>
      <w:r w:rsidRPr="008E61E3">
        <w:rPr>
          <w:b/>
          <w:sz w:val="24"/>
          <w:szCs w:val="24"/>
          <w:lang w:val="en-US"/>
        </w:rPr>
        <w:t>As Executor of the Estate Late SIPHIWE DUBE</w:t>
      </w:r>
    </w:p>
    <w:p w:rsidR="000A45C0" w:rsidRPr="008E61E3" w:rsidRDefault="000A45C0" w:rsidP="008E61E3">
      <w:pPr>
        <w:pStyle w:val="NoSpacing"/>
        <w:jc w:val="both"/>
        <w:rPr>
          <w:b/>
          <w:sz w:val="24"/>
          <w:szCs w:val="24"/>
          <w:lang w:val="en-US"/>
        </w:rPr>
      </w:pPr>
      <w:r w:rsidRPr="008E61E3">
        <w:rPr>
          <w:b/>
          <w:sz w:val="24"/>
          <w:szCs w:val="24"/>
          <w:lang w:val="en-US"/>
        </w:rPr>
        <w:t>DRB 966/20)</w:t>
      </w:r>
    </w:p>
    <w:p w:rsidR="000A45C0" w:rsidRPr="008E61E3" w:rsidRDefault="000A45C0" w:rsidP="008E61E3">
      <w:pPr>
        <w:pStyle w:val="NoSpacing"/>
        <w:jc w:val="both"/>
        <w:rPr>
          <w:b/>
          <w:sz w:val="24"/>
          <w:szCs w:val="24"/>
          <w:lang w:val="en-US"/>
        </w:rPr>
      </w:pPr>
    </w:p>
    <w:p w:rsidR="000A45C0" w:rsidRPr="008E61E3" w:rsidRDefault="000A45C0" w:rsidP="008E61E3">
      <w:pPr>
        <w:pStyle w:val="NoSpacing"/>
        <w:jc w:val="both"/>
        <w:rPr>
          <w:b/>
          <w:sz w:val="24"/>
          <w:szCs w:val="24"/>
          <w:lang w:val="en-US"/>
        </w:rPr>
      </w:pPr>
      <w:r w:rsidRPr="008E61E3">
        <w:rPr>
          <w:b/>
          <w:sz w:val="24"/>
          <w:szCs w:val="24"/>
          <w:lang w:val="en-US"/>
        </w:rPr>
        <w:t>Versus</w:t>
      </w:r>
    </w:p>
    <w:p w:rsidR="000A45C0" w:rsidRPr="008E61E3" w:rsidRDefault="000A45C0" w:rsidP="008E61E3">
      <w:pPr>
        <w:pStyle w:val="NoSpacing"/>
        <w:jc w:val="both"/>
        <w:rPr>
          <w:b/>
          <w:sz w:val="24"/>
          <w:szCs w:val="24"/>
          <w:lang w:val="en-US"/>
        </w:rPr>
      </w:pPr>
    </w:p>
    <w:p w:rsidR="000A45C0" w:rsidRPr="008E61E3" w:rsidRDefault="000A45C0" w:rsidP="008E61E3">
      <w:pPr>
        <w:pStyle w:val="NoSpacing"/>
        <w:jc w:val="both"/>
        <w:rPr>
          <w:b/>
          <w:sz w:val="24"/>
          <w:szCs w:val="24"/>
          <w:lang w:val="en-US"/>
        </w:rPr>
      </w:pPr>
      <w:r w:rsidRPr="008E61E3">
        <w:rPr>
          <w:b/>
          <w:sz w:val="24"/>
          <w:szCs w:val="24"/>
          <w:lang w:val="en-US"/>
        </w:rPr>
        <w:t>THE PROVINCIAL MINING DIRECTOR FOR</w:t>
      </w:r>
    </w:p>
    <w:p w:rsidR="000A45C0" w:rsidRPr="008E61E3" w:rsidRDefault="000A45C0" w:rsidP="008E61E3">
      <w:pPr>
        <w:pStyle w:val="NoSpacing"/>
        <w:jc w:val="both"/>
        <w:rPr>
          <w:b/>
          <w:sz w:val="24"/>
          <w:szCs w:val="24"/>
          <w:lang w:val="en-US"/>
        </w:rPr>
      </w:pPr>
      <w:r w:rsidRPr="008E61E3">
        <w:rPr>
          <w:b/>
          <w:sz w:val="24"/>
          <w:szCs w:val="24"/>
          <w:lang w:val="en-US"/>
        </w:rPr>
        <w:t>MATABELELAND SOUTH</w:t>
      </w:r>
    </w:p>
    <w:p w:rsidR="000A45C0" w:rsidRPr="008E61E3" w:rsidRDefault="000A45C0" w:rsidP="008E61E3">
      <w:pPr>
        <w:pStyle w:val="NoSpacing"/>
        <w:jc w:val="both"/>
        <w:rPr>
          <w:b/>
          <w:sz w:val="24"/>
          <w:szCs w:val="24"/>
          <w:lang w:val="en-US"/>
        </w:rPr>
      </w:pPr>
    </w:p>
    <w:p w:rsidR="000A45C0" w:rsidRPr="008E61E3" w:rsidRDefault="000A45C0" w:rsidP="008E61E3">
      <w:pPr>
        <w:pStyle w:val="NoSpacing"/>
        <w:jc w:val="both"/>
        <w:rPr>
          <w:b/>
          <w:sz w:val="24"/>
          <w:szCs w:val="24"/>
          <w:lang w:val="en-US"/>
        </w:rPr>
      </w:pPr>
      <w:r w:rsidRPr="008E61E3">
        <w:rPr>
          <w:b/>
          <w:sz w:val="24"/>
          <w:szCs w:val="24"/>
          <w:lang w:val="en-US"/>
        </w:rPr>
        <w:t>And</w:t>
      </w:r>
    </w:p>
    <w:p w:rsidR="000A45C0" w:rsidRPr="008E61E3" w:rsidRDefault="000A45C0" w:rsidP="008E61E3">
      <w:pPr>
        <w:pStyle w:val="NoSpacing"/>
        <w:jc w:val="both"/>
        <w:rPr>
          <w:b/>
          <w:sz w:val="24"/>
          <w:szCs w:val="24"/>
          <w:lang w:val="en-US"/>
        </w:rPr>
      </w:pPr>
    </w:p>
    <w:p w:rsidR="000A45C0" w:rsidRPr="008E61E3" w:rsidRDefault="000A45C0" w:rsidP="008E61E3">
      <w:pPr>
        <w:pStyle w:val="NoSpacing"/>
        <w:jc w:val="both"/>
        <w:rPr>
          <w:b/>
          <w:sz w:val="24"/>
          <w:szCs w:val="24"/>
          <w:lang w:val="en-US"/>
        </w:rPr>
      </w:pPr>
      <w:r w:rsidRPr="008E61E3">
        <w:rPr>
          <w:b/>
          <w:sz w:val="24"/>
          <w:szCs w:val="24"/>
          <w:lang w:val="en-US"/>
        </w:rPr>
        <w:t>OBRAM TRUST COMPANY (PVT) LTD (in its</w:t>
      </w:r>
    </w:p>
    <w:p w:rsidR="000A45C0" w:rsidRPr="008E61E3" w:rsidRDefault="000A45C0" w:rsidP="008E61E3">
      <w:pPr>
        <w:pStyle w:val="NoSpacing"/>
        <w:jc w:val="both"/>
        <w:rPr>
          <w:b/>
          <w:sz w:val="24"/>
          <w:szCs w:val="24"/>
          <w:lang w:val="en-US"/>
        </w:rPr>
      </w:pPr>
      <w:r w:rsidRPr="008E61E3">
        <w:rPr>
          <w:b/>
          <w:sz w:val="24"/>
          <w:szCs w:val="24"/>
          <w:lang w:val="en-US"/>
        </w:rPr>
        <w:t>Capacity as the Executor of the Estate of the Late</w:t>
      </w:r>
    </w:p>
    <w:p w:rsidR="000A45C0" w:rsidRPr="008E61E3" w:rsidRDefault="000A45C0" w:rsidP="008E61E3">
      <w:pPr>
        <w:pStyle w:val="NoSpacing"/>
        <w:jc w:val="both"/>
        <w:rPr>
          <w:b/>
          <w:sz w:val="24"/>
          <w:szCs w:val="24"/>
          <w:lang w:val="en-US"/>
        </w:rPr>
      </w:pPr>
      <w:r w:rsidRPr="008E61E3">
        <w:rPr>
          <w:b/>
          <w:sz w:val="24"/>
          <w:szCs w:val="24"/>
          <w:lang w:val="en-US"/>
        </w:rPr>
        <w:t>CLEMENT DUBE DRB 450/07)</w:t>
      </w:r>
    </w:p>
    <w:p w:rsidR="000A45C0" w:rsidRPr="008E61E3" w:rsidRDefault="000A45C0" w:rsidP="008E61E3">
      <w:pPr>
        <w:pStyle w:val="NoSpacing"/>
        <w:jc w:val="both"/>
        <w:rPr>
          <w:b/>
          <w:sz w:val="24"/>
          <w:szCs w:val="24"/>
          <w:lang w:val="en-US"/>
        </w:rPr>
      </w:pPr>
    </w:p>
    <w:p w:rsidR="000A45C0" w:rsidRPr="008E61E3" w:rsidRDefault="000A45C0" w:rsidP="008E61E3">
      <w:pPr>
        <w:pStyle w:val="NoSpacing"/>
        <w:jc w:val="both"/>
        <w:rPr>
          <w:b/>
          <w:sz w:val="24"/>
          <w:szCs w:val="24"/>
          <w:lang w:val="en-US"/>
        </w:rPr>
      </w:pPr>
      <w:r w:rsidRPr="008E61E3">
        <w:rPr>
          <w:b/>
          <w:sz w:val="24"/>
          <w:szCs w:val="24"/>
          <w:lang w:val="en-US"/>
        </w:rPr>
        <w:t>And</w:t>
      </w:r>
    </w:p>
    <w:p w:rsidR="000A45C0" w:rsidRPr="008E61E3" w:rsidRDefault="000A45C0" w:rsidP="008E61E3">
      <w:pPr>
        <w:pStyle w:val="NoSpacing"/>
        <w:jc w:val="both"/>
        <w:rPr>
          <w:b/>
          <w:sz w:val="24"/>
          <w:szCs w:val="24"/>
          <w:lang w:val="en-US"/>
        </w:rPr>
      </w:pPr>
    </w:p>
    <w:p w:rsidR="000A45C0" w:rsidRPr="008E61E3" w:rsidRDefault="000A45C0" w:rsidP="008E61E3">
      <w:pPr>
        <w:pStyle w:val="NoSpacing"/>
        <w:jc w:val="both"/>
        <w:rPr>
          <w:b/>
          <w:sz w:val="24"/>
          <w:szCs w:val="24"/>
          <w:lang w:val="en-US"/>
        </w:rPr>
      </w:pPr>
      <w:r w:rsidRPr="008E61E3">
        <w:rPr>
          <w:b/>
          <w:sz w:val="24"/>
          <w:szCs w:val="24"/>
          <w:lang w:val="en-US"/>
        </w:rPr>
        <w:t>THE MASTER OF THE HIGH COURT</w:t>
      </w:r>
    </w:p>
    <w:p w:rsidR="000A45C0" w:rsidRPr="008E61E3" w:rsidRDefault="000A45C0" w:rsidP="008E61E3">
      <w:pPr>
        <w:pStyle w:val="NoSpacing"/>
        <w:jc w:val="both"/>
        <w:rPr>
          <w:b/>
          <w:sz w:val="24"/>
          <w:szCs w:val="24"/>
          <w:lang w:val="en-US"/>
        </w:rPr>
      </w:pPr>
    </w:p>
    <w:p w:rsidR="000A45C0" w:rsidRPr="008E61E3" w:rsidRDefault="000A45C0" w:rsidP="008E61E3">
      <w:pPr>
        <w:pStyle w:val="NoSpacing"/>
        <w:jc w:val="both"/>
        <w:rPr>
          <w:sz w:val="24"/>
          <w:szCs w:val="24"/>
          <w:lang w:val="en-US"/>
        </w:rPr>
      </w:pPr>
      <w:r w:rsidRPr="008E61E3">
        <w:rPr>
          <w:sz w:val="24"/>
          <w:szCs w:val="24"/>
          <w:lang w:val="en-US"/>
        </w:rPr>
        <w:t>IN THE HIGH COURT OF ZIMBABWE</w:t>
      </w:r>
    </w:p>
    <w:p w:rsidR="000A45C0" w:rsidRPr="008E61E3" w:rsidRDefault="000A45C0" w:rsidP="008E61E3">
      <w:pPr>
        <w:pStyle w:val="NoSpacing"/>
        <w:jc w:val="both"/>
        <w:rPr>
          <w:sz w:val="24"/>
          <w:szCs w:val="24"/>
          <w:lang w:val="en-US"/>
        </w:rPr>
      </w:pPr>
      <w:r w:rsidRPr="008E61E3">
        <w:rPr>
          <w:sz w:val="24"/>
          <w:szCs w:val="24"/>
          <w:lang w:val="en-US"/>
        </w:rPr>
        <w:t>MOYO J</w:t>
      </w:r>
    </w:p>
    <w:p w:rsidR="000A45C0" w:rsidRPr="008E61E3" w:rsidRDefault="000A45C0" w:rsidP="008E61E3">
      <w:pPr>
        <w:pStyle w:val="NoSpacing"/>
        <w:jc w:val="both"/>
        <w:rPr>
          <w:sz w:val="24"/>
          <w:szCs w:val="24"/>
          <w:lang w:val="en-US"/>
        </w:rPr>
      </w:pPr>
      <w:r w:rsidRPr="008E61E3">
        <w:rPr>
          <w:sz w:val="24"/>
          <w:szCs w:val="24"/>
          <w:lang w:val="en-US"/>
        </w:rPr>
        <w:t>BULAWAYO 7 AUGUST</w:t>
      </w:r>
      <w:r w:rsidR="00C32A88">
        <w:rPr>
          <w:sz w:val="24"/>
          <w:szCs w:val="24"/>
          <w:lang w:val="en-US"/>
        </w:rPr>
        <w:t xml:space="preserve"> &amp; </w:t>
      </w:r>
      <w:r w:rsidR="0059499B">
        <w:rPr>
          <w:sz w:val="24"/>
          <w:szCs w:val="24"/>
          <w:lang w:val="en-US"/>
        </w:rPr>
        <w:t>9</w:t>
      </w:r>
      <w:bookmarkStart w:id="0" w:name="_GoBack"/>
      <w:bookmarkEnd w:id="0"/>
      <w:r w:rsidR="00C32A88">
        <w:rPr>
          <w:sz w:val="24"/>
          <w:szCs w:val="24"/>
          <w:lang w:val="en-US"/>
        </w:rPr>
        <w:t xml:space="preserve"> NOVEMBER </w:t>
      </w:r>
      <w:r w:rsidRPr="008E61E3">
        <w:rPr>
          <w:sz w:val="24"/>
          <w:szCs w:val="24"/>
          <w:lang w:val="en-US"/>
        </w:rPr>
        <w:t>2023</w:t>
      </w:r>
    </w:p>
    <w:p w:rsidR="000A45C0" w:rsidRPr="008E61E3" w:rsidRDefault="000A45C0" w:rsidP="008E61E3">
      <w:pPr>
        <w:pStyle w:val="NoSpacing"/>
        <w:jc w:val="both"/>
        <w:rPr>
          <w:sz w:val="24"/>
          <w:szCs w:val="24"/>
          <w:lang w:val="en-US"/>
        </w:rPr>
      </w:pPr>
    </w:p>
    <w:p w:rsidR="001D1970" w:rsidRPr="008E61E3" w:rsidRDefault="001D1970" w:rsidP="008E61E3">
      <w:pPr>
        <w:pStyle w:val="NoSpacing"/>
        <w:jc w:val="both"/>
        <w:rPr>
          <w:b/>
          <w:sz w:val="24"/>
          <w:szCs w:val="24"/>
          <w:lang w:val="en-US"/>
        </w:rPr>
      </w:pPr>
      <w:r w:rsidRPr="008E61E3">
        <w:rPr>
          <w:b/>
          <w:sz w:val="24"/>
          <w:szCs w:val="24"/>
          <w:lang w:val="en-US"/>
        </w:rPr>
        <w:t>Urgent Chamber Application</w:t>
      </w:r>
    </w:p>
    <w:p w:rsidR="001D1970" w:rsidRPr="008E61E3" w:rsidRDefault="001D1970" w:rsidP="008E61E3">
      <w:pPr>
        <w:pStyle w:val="NoSpacing"/>
        <w:jc w:val="both"/>
        <w:rPr>
          <w:b/>
          <w:sz w:val="24"/>
          <w:szCs w:val="24"/>
          <w:lang w:val="en-US"/>
        </w:rPr>
      </w:pPr>
    </w:p>
    <w:p w:rsidR="001D1970" w:rsidRPr="008E61E3" w:rsidRDefault="001D1970" w:rsidP="008E61E3">
      <w:pPr>
        <w:pStyle w:val="NoSpacing"/>
        <w:jc w:val="both"/>
        <w:rPr>
          <w:sz w:val="24"/>
          <w:szCs w:val="24"/>
          <w:lang w:val="en-US"/>
        </w:rPr>
      </w:pPr>
      <w:r w:rsidRPr="008E61E3">
        <w:rPr>
          <w:i/>
          <w:sz w:val="24"/>
          <w:szCs w:val="24"/>
          <w:lang w:val="en-US"/>
        </w:rPr>
        <w:t>Advocate P. Dube</w:t>
      </w:r>
      <w:r w:rsidRPr="008E61E3">
        <w:rPr>
          <w:sz w:val="24"/>
          <w:szCs w:val="24"/>
          <w:lang w:val="en-US"/>
        </w:rPr>
        <w:t xml:space="preserve"> for the applicant</w:t>
      </w:r>
    </w:p>
    <w:p w:rsidR="001D1970" w:rsidRPr="008E61E3" w:rsidRDefault="001D1970" w:rsidP="008E61E3">
      <w:pPr>
        <w:pStyle w:val="NoSpacing"/>
        <w:jc w:val="both"/>
        <w:rPr>
          <w:sz w:val="24"/>
          <w:szCs w:val="24"/>
          <w:lang w:val="en-US"/>
        </w:rPr>
      </w:pPr>
      <w:r w:rsidRPr="008E61E3">
        <w:rPr>
          <w:i/>
          <w:sz w:val="24"/>
          <w:szCs w:val="24"/>
          <w:lang w:val="en-US"/>
        </w:rPr>
        <w:t>L.T. Muradzikwa</w:t>
      </w:r>
      <w:r w:rsidRPr="008E61E3">
        <w:rPr>
          <w:sz w:val="24"/>
          <w:szCs w:val="24"/>
          <w:lang w:val="en-US"/>
        </w:rPr>
        <w:t xml:space="preserve"> for the 1</w:t>
      </w:r>
      <w:r w:rsidRPr="008E61E3">
        <w:rPr>
          <w:sz w:val="24"/>
          <w:szCs w:val="24"/>
          <w:vertAlign w:val="superscript"/>
          <w:lang w:val="en-US"/>
        </w:rPr>
        <w:t>st</w:t>
      </w:r>
      <w:r w:rsidRPr="008E61E3">
        <w:rPr>
          <w:sz w:val="24"/>
          <w:szCs w:val="24"/>
          <w:lang w:val="en-US"/>
        </w:rPr>
        <w:t xml:space="preserve"> respondent</w:t>
      </w:r>
    </w:p>
    <w:p w:rsidR="001D1970" w:rsidRPr="008E61E3" w:rsidRDefault="001D1970" w:rsidP="008E61E3">
      <w:pPr>
        <w:pStyle w:val="NoSpacing"/>
        <w:jc w:val="both"/>
        <w:rPr>
          <w:sz w:val="24"/>
          <w:szCs w:val="24"/>
          <w:lang w:val="en-US"/>
        </w:rPr>
      </w:pPr>
      <w:r w:rsidRPr="008E61E3">
        <w:rPr>
          <w:i/>
          <w:sz w:val="24"/>
          <w:szCs w:val="24"/>
          <w:lang w:val="en-US"/>
        </w:rPr>
        <w:t>B. Maruva</w:t>
      </w:r>
      <w:r w:rsidRPr="008E61E3">
        <w:rPr>
          <w:sz w:val="24"/>
          <w:szCs w:val="24"/>
          <w:lang w:val="en-US"/>
        </w:rPr>
        <w:t xml:space="preserve"> for the 2</w:t>
      </w:r>
      <w:r w:rsidRPr="008E61E3">
        <w:rPr>
          <w:sz w:val="24"/>
          <w:szCs w:val="24"/>
          <w:vertAlign w:val="superscript"/>
          <w:lang w:val="en-US"/>
        </w:rPr>
        <w:t>nd</w:t>
      </w:r>
      <w:r w:rsidRPr="008E61E3">
        <w:rPr>
          <w:sz w:val="24"/>
          <w:szCs w:val="24"/>
          <w:lang w:val="en-US"/>
        </w:rPr>
        <w:t xml:space="preserve"> respondent</w:t>
      </w:r>
    </w:p>
    <w:p w:rsidR="001D1970" w:rsidRPr="008E61E3" w:rsidRDefault="001D1970" w:rsidP="008E61E3">
      <w:pPr>
        <w:pStyle w:val="NoSpacing"/>
        <w:jc w:val="both"/>
        <w:rPr>
          <w:sz w:val="24"/>
          <w:szCs w:val="24"/>
          <w:lang w:val="en-US"/>
        </w:rPr>
      </w:pPr>
    </w:p>
    <w:p w:rsidR="00D15EEB" w:rsidRPr="008E61E3" w:rsidRDefault="001D1970" w:rsidP="008E61E3">
      <w:pPr>
        <w:jc w:val="both"/>
        <w:rPr>
          <w:sz w:val="24"/>
          <w:szCs w:val="24"/>
          <w:lang w:val="en-US"/>
        </w:rPr>
      </w:pPr>
      <w:r w:rsidRPr="008E61E3">
        <w:rPr>
          <w:sz w:val="24"/>
          <w:szCs w:val="24"/>
          <w:lang w:val="en-US"/>
        </w:rPr>
        <w:tab/>
      </w:r>
      <w:r w:rsidRPr="008E61E3">
        <w:rPr>
          <w:b/>
          <w:sz w:val="24"/>
          <w:szCs w:val="24"/>
          <w:lang w:val="en-US"/>
        </w:rPr>
        <w:t>MOYO J:</w:t>
      </w:r>
      <w:r w:rsidRPr="008E61E3">
        <w:rPr>
          <w:b/>
          <w:sz w:val="24"/>
          <w:szCs w:val="24"/>
          <w:lang w:val="en-US"/>
        </w:rPr>
        <w:tab/>
      </w:r>
      <w:r w:rsidR="00324932" w:rsidRPr="008E61E3">
        <w:rPr>
          <w:sz w:val="24"/>
          <w:szCs w:val="24"/>
          <w:lang w:val="en-US"/>
        </w:rPr>
        <w:t xml:space="preserve">This is an urgent application wherein applicant at the hearing of the matter, raised a point </w:t>
      </w:r>
      <w:r w:rsidR="00324932" w:rsidRPr="008E61E3">
        <w:rPr>
          <w:i/>
          <w:sz w:val="24"/>
          <w:szCs w:val="24"/>
          <w:lang w:val="en-US"/>
        </w:rPr>
        <w:t>in limine</w:t>
      </w:r>
      <w:r w:rsidR="00324932" w:rsidRPr="008E61E3">
        <w:rPr>
          <w:sz w:val="24"/>
          <w:szCs w:val="24"/>
          <w:lang w:val="en-US"/>
        </w:rPr>
        <w:t xml:space="preserve"> to the effect that the 2</w:t>
      </w:r>
      <w:r w:rsidR="00324932" w:rsidRPr="008E61E3">
        <w:rPr>
          <w:sz w:val="24"/>
          <w:szCs w:val="24"/>
          <w:vertAlign w:val="superscript"/>
          <w:lang w:val="en-US"/>
        </w:rPr>
        <w:t>nd</w:t>
      </w:r>
      <w:r w:rsidR="00324932" w:rsidRPr="008E61E3">
        <w:rPr>
          <w:sz w:val="24"/>
          <w:szCs w:val="24"/>
          <w:lang w:val="en-US"/>
        </w:rPr>
        <w:t xml:space="preserve"> respondent’s papers should be expunged from the court record and the matter be dealt with as unopposed because the notice of opposition failed to comply with</w:t>
      </w:r>
      <w:r w:rsidR="00D15EEB" w:rsidRPr="008E61E3">
        <w:rPr>
          <w:sz w:val="24"/>
          <w:szCs w:val="24"/>
          <w:lang w:val="en-US"/>
        </w:rPr>
        <w:t xml:space="preserve"> Rule 58 (2) (c) where it is provided that, “Every written application and notice of opposition shall:-</w:t>
      </w:r>
      <w:r w:rsidR="001F7DC3" w:rsidRPr="008E61E3">
        <w:rPr>
          <w:sz w:val="24"/>
          <w:szCs w:val="24"/>
          <w:lang w:val="en-US"/>
        </w:rPr>
        <w:t xml:space="preserve"> </w:t>
      </w:r>
      <w:r w:rsidR="00D15EEB" w:rsidRPr="008E61E3">
        <w:rPr>
          <w:sz w:val="24"/>
          <w:szCs w:val="24"/>
          <w:lang w:val="en-US"/>
        </w:rPr>
        <w:t>Give an address for service which shall be within a radius of ten kilometres from the registry in which the document is filed.”</w:t>
      </w:r>
    </w:p>
    <w:p w:rsidR="00D15EEB" w:rsidRPr="008E61E3" w:rsidRDefault="00D15EEB" w:rsidP="008E61E3">
      <w:pPr>
        <w:jc w:val="both"/>
        <w:rPr>
          <w:sz w:val="24"/>
          <w:szCs w:val="24"/>
          <w:lang w:val="en-US"/>
        </w:rPr>
      </w:pPr>
      <w:r w:rsidRPr="008E61E3">
        <w:rPr>
          <w:sz w:val="24"/>
          <w:szCs w:val="24"/>
          <w:lang w:val="en-US"/>
        </w:rPr>
        <w:tab/>
        <w:t>The applicant’s counsel argued that the notice of opposition had been filed with an address beyond the 10km radius from the registry.  The 2</w:t>
      </w:r>
      <w:r w:rsidRPr="008E61E3">
        <w:rPr>
          <w:sz w:val="24"/>
          <w:szCs w:val="24"/>
          <w:vertAlign w:val="superscript"/>
          <w:lang w:val="en-US"/>
        </w:rPr>
        <w:t>nd</w:t>
      </w:r>
      <w:r w:rsidRPr="008E61E3">
        <w:rPr>
          <w:sz w:val="24"/>
          <w:szCs w:val="24"/>
          <w:lang w:val="en-US"/>
        </w:rPr>
        <w:t xml:space="preserve"> respondent’s papers give a Harare address for service ye the matter is in Bulawayo.  It is that conduct that is being attached by the applicant.  The applican</w:t>
      </w:r>
      <w:r w:rsidR="001F7DC3" w:rsidRPr="008E61E3">
        <w:rPr>
          <w:sz w:val="24"/>
          <w:szCs w:val="24"/>
          <w:lang w:val="en-US"/>
        </w:rPr>
        <w:t>t</w:t>
      </w:r>
      <w:r w:rsidRPr="008E61E3">
        <w:rPr>
          <w:sz w:val="24"/>
          <w:szCs w:val="24"/>
          <w:lang w:val="en-US"/>
        </w:rPr>
        <w:t xml:space="preserve">’s counsel in support of her point </w:t>
      </w:r>
      <w:r w:rsidRPr="008E61E3">
        <w:rPr>
          <w:i/>
          <w:sz w:val="24"/>
          <w:szCs w:val="24"/>
          <w:lang w:val="en-US"/>
        </w:rPr>
        <w:t>in limine</w:t>
      </w:r>
      <w:r w:rsidRPr="008E61E3">
        <w:rPr>
          <w:sz w:val="24"/>
          <w:szCs w:val="24"/>
          <w:lang w:val="en-US"/>
        </w:rPr>
        <w:t xml:space="preserve"> cited 2 cases, the first one being </w:t>
      </w:r>
      <w:r w:rsidRPr="008E61E3">
        <w:rPr>
          <w:i/>
          <w:sz w:val="24"/>
          <w:szCs w:val="24"/>
          <w:lang w:val="en-US"/>
        </w:rPr>
        <w:t>Cha</w:t>
      </w:r>
      <w:r w:rsidR="001F7DC3" w:rsidRPr="008E61E3">
        <w:rPr>
          <w:i/>
          <w:sz w:val="24"/>
          <w:szCs w:val="24"/>
          <w:lang w:val="en-US"/>
        </w:rPr>
        <w:t>rl</w:t>
      </w:r>
      <w:r w:rsidRPr="008E61E3">
        <w:rPr>
          <w:i/>
          <w:sz w:val="24"/>
          <w:szCs w:val="24"/>
          <w:lang w:val="en-US"/>
        </w:rPr>
        <w:t>ton Hwende &amp; Others</w:t>
      </w:r>
      <w:r w:rsidRPr="008E61E3">
        <w:rPr>
          <w:sz w:val="24"/>
          <w:szCs w:val="24"/>
          <w:lang w:val="en-US"/>
        </w:rPr>
        <w:t xml:space="preserve"> vs </w:t>
      </w:r>
      <w:r w:rsidRPr="008E61E3">
        <w:rPr>
          <w:i/>
          <w:sz w:val="24"/>
          <w:szCs w:val="24"/>
          <w:lang w:val="en-US"/>
        </w:rPr>
        <w:t xml:space="preserve">The Speaker of the National Assembly &amp; Others </w:t>
      </w:r>
      <w:r w:rsidRPr="008E61E3">
        <w:rPr>
          <w:sz w:val="24"/>
          <w:szCs w:val="24"/>
          <w:lang w:val="en-US"/>
        </w:rPr>
        <w:t>HH-633-20.</w:t>
      </w:r>
    </w:p>
    <w:p w:rsidR="00D15EEB" w:rsidRPr="008E61E3" w:rsidRDefault="00D15EEB" w:rsidP="008E61E3">
      <w:pPr>
        <w:jc w:val="both"/>
        <w:rPr>
          <w:sz w:val="24"/>
          <w:szCs w:val="24"/>
          <w:lang w:val="en-US"/>
        </w:rPr>
      </w:pPr>
      <w:r w:rsidRPr="008E61E3">
        <w:rPr>
          <w:sz w:val="24"/>
          <w:szCs w:val="24"/>
          <w:lang w:val="en-US"/>
        </w:rPr>
        <w:lastRenderedPageBreak/>
        <w:tab/>
        <w:t>I have read through the case, which is an application for recusal and the subject matter therein was not a challenge by one party of the defendant’s failure to comply.  The court analysed the documents before it and at page 5 of the cyclostyled judgment stated as follows:-</w:t>
      </w:r>
    </w:p>
    <w:p w:rsidR="00D15EEB" w:rsidRPr="008E61E3" w:rsidRDefault="00D15EEB" w:rsidP="008E61E3">
      <w:pPr>
        <w:pStyle w:val="NoSpacing"/>
        <w:ind w:left="720"/>
        <w:jc w:val="both"/>
        <w:rPr>
          <w:sz w:val="24"/>
          <w:szCs w:val="24"/>
          <w:lang w:val="en-US"/>
        </w:rPr>
      </w:pPr>
      <w:r w:rsidRPr="008E61E3">
        <w:rPr>
          <w:sz w:val="24"/>
          <w:szCs w:val="24"/>
          <w:lang w:val="en-US"/>
        </w:rPr>
        <w:t xml:space="preserve">“I have underlined some of the mandatory provisions of the court application procedure.  The applicants neglected to comply </w:t>
      </w:r>
      <w:r w:rsidRPr="008E61E3">
        <w:rPr>
          <w:sz w:val="24"/>
          <w:szCs w:val="24"/>
          <w:u w:val="single"/>
          <w:lang w:val="en-US"/>
        </w:rPr>
        <w:t>in all material respects</w:t>
      </w:r>
      <w:r w:rsidRPr="008E61E3">
        <w:rPr>
          <w:sz w:val="24"/>
          <w:szCs w:val="24"/>
          <w:lang w:val="en-US"/>
        </w:rPr>
        <w:t>. (</w:t>
      </w:r>
      <w:proofErr w:type="gramStart"/>
      <w:r w:rsidRPr="008E61E3">
        <w:rPr>
          <w:sz w:val="24"/>
          <w:szCs w:val="24"/>
          <w:lang w:val="en-US"/>
        </w:rPr>
        <w:t>emphasis</w:t>
      </w:r>
      <w:proofErr w:type="gramEnd"/>
      <w:r w:rsidRPr="008E61E3">
        <w:rPr>
          <w:sz w:val="24"/>
          <w:szCs w:val="24"/>
          <w:lang w:val="en-US"/>
        </w:rPr>
        <w:t xml:space="preserve"> mine)</w:t>
      </w:r>
      <w:r w:rsidR="00FD1A6B" w:rsidRPr="008E61E3">
        <w:rPr>
          <w:sz w:val="24"/>
          <w:szCs w:val="24"/>
          <w:lang w:val="en-US"/>
        </w:rPr>
        <w:t xml:space="preserve">  The applications are not supported by affidavits.  There are no draft orders.  The application by Tendai Biti Legal Practitioners was not signed by the legal practitioner who prepared it.”</w:t>
      </w:r>
    </w:p>
    <w:p w:rsidR="00FD1A6B" w:rsidRPr="008E61E3" w:rsidRDefault="00FD1A6B" w:rsidP="008E61E3">
      <w:pPr>
        <w:pStyle w:val="NoSpacing"/>
        <w:jc w:val="both"/>
        <w:rPr>
          <w:sz w:val="24"/>
          <w:szCs w:val="24"/>
          <w:lang w:val="en-US"/>
        </w:rPr>
      </w:pPr>
    </w:p>
    <w:p w:rsidR="00FD1A6B" w:rsidRPr="008E61E3" w:rsidRDefault="00FD1A6B" w:rsidP="008E61E3">
      <w:pPr>
        <w:ind w:firstLine="720"/>
        <w:jc w:val="both"/>
        <w:rPr>
          <w:sz w:val="24"/>
          <w:szCs w:val="24"/>
          <w:lang w:val="en-US"/>
        </w:rPr>
      </w:pPr>
      <w:r w:rsidRPr="008E61E3">
        <w:rPr>
          <w:sz w:val="24"/>
          <w:szCs w:val="24"/>
          <w:lang w:val="en-US"/>
        </w:rPr>
        <w:t>What I have before me and what is described by the court in the quoted case are distinct scenario</w:t>
      </w:r>
      <w:r w:rsidR="00CB6366">
        <w:rPr>
          <w:sz w:val="24"/>
          <w:szCs w:val="24"/>
          <w:lang w:val="en-US"/>
        </w:rPr>
        <w:t>s</w:t>
      </w:r>
      <w:r w:rsidRPr="008E61E3">
        <w:rPr>
          <w:sz w:val="24"/>
          <w:szCs w:val="24"/>
          <w:lang w:val="en-US"/>
        </w:rPr>
        <w:t xml:space="preserve"> whilst there is non-compliance with the peremptory rule of an address of service that should be within 10km of the registry in this case. I am not </w:t>
      </w:r>
      <w:r w:rsidR="008E61E3" w:rsidRPr="008E61E3">
        <w:rPr>
          <w:sz w:val="24"/>
          <w:szCs w:val="24"/>
          <w:lang w:val="en-US"/>
        </w:rPr>
        <w:t>persuaded</w:t>
      </w:r>
      <w:r w:rsidRPr="008E61E3">
        <w:rPr>
          <w:sz w:val="24"/>
          <w:szCs w:val="24"/>
          <w:lang w:val="en-US"/>
        </w:rPr>
        <w:t xml:space="preserve"> that the magnitude of non-compliance described by the judge in the other case and th</w:t>
      </w:r>
      <w:r w:rsidR="001F7DC3" w:rsidRPr="008E61E3">
        <w:rPr>
          <w:sz w:val="24"/>
          <w:szCs w:val="24"/>
          <w:lang w:val="en-US"/>
        </w:rPr>
        <w:t>e cause that the court then took</w:t>
      </w:r>
      <w:r w:rsidRPr="008E61E3">
        <w:rPr>
          <w:sz w:val="24"/>
          <w:szCs w:val="24"/>
          <w:lang w:val="en-US"/>
        </w:rPr>
        <w:t xml:space="preserve"> in those circumstances should be adopted as a one jacket fits all kind of approach as clearly, the court in every scenario where non-compliance with the rules is raised or exists must assess the degree and impact of the non-compliance as per the case before it.  I have a notice of opposition before me whose substance has not been challenged, the form, the rest of the issues stated in Rule 58 save for that the 2</w:t>
      </w:r>
      <w:r w:rsidRPr="008E61E3">
        <w:rPr>
          <w:sz w:val="24"/>
          <w:szCs w:val="24"/>
          <w:vertAlign w:val="superscript"/>
          <w:lang w:val="en-US"/>
        </w:rPr>
        <w:t>nd</w:t>
      </w:r>
      <w:r w:rsidRPr="008E61E3">
        <w:rPr>
          <w:sz w:val="24"/>
          <w:szCs w:val="24"/>
          <w:lang w:val="en-US"/>
        </w:rPr>
        <w:t xml:space="preserve"> respondent gave an address f</w:t>
      </w:r>
      <w:r w:rsidR="00E54504" w:rsidRPr="008E61E3">
        <w:rPr>
          <w:sz w:val="24"/>
          <w:szCs w:val="24"/>
          <w:lang w:val="en-US"/>
        </w:rPr>
        <w:t xml:space="preserve">or serve beyond 10km.  That on its own distinguishes this case </w:t>
      </w:r>
      <w:r w:rsidR="00654BCB" w:rsidRPr="008E61E3">
        <w:rPr>
          <w:sz w:val="24"/>
          <w:szCs w:val="24"/>
          <w:lang w:val="en-US"/>
        </w:rPr>
        <w:t xml:space="preserve">materially from the </w:t>
      </w:r>
      <w:r w:rsidR="00654BCB" w:rsidRPr="008E61E3">
        <w:rPr>
          <w:i/>
          <w:sz w:val="24"/>
          <w:szCs w:val="24"/>
          <w:lang w:val="en-US"/>
        </w:rPr>
        <w:t>Charlton Hwende</w:t>
      </w:r>
      <w:r w:rsidR="00654BCB" w:rsidRPr="008E61E3">
        <w:rPr>
          <w:sz w:val="24"/>
          <w:szCs w:val="24"/>
          <w:lang w:val="en-US"/>
        </w:rPr>
        <w:t xml:space="preserve"> matter (</w:t>
      </w:r>
      <w:r w:rsidR="00654BCB" w:rsidRPr="008E61E3">
        <w:rPr>
          <w:i/>
          <w:sz w:val="24"/>
          <w:szCs w:val="24"/>
          <w:lang w:val="en-US"/>
        </w:rPr>
        <w:t>supra)</w:t>
      </w:r>
      <w:r w:rsidR="00654BCB" w:rsidRPr="008E61E3">
        <w:rPr>
          <w:sz w:val="24"/>
          <w:szCs w:val="24"/>
          <w:lang w:val="en-US"/>
        </w:rPr>
        <w:t>.</w:t>
      </w:r>
    </w:p>
    <w:p w:rsidR="00654BCB" w:rsidRPr="008E61E3" w:rsidRDefault="00654BCB" w:rsidP="008E61E3">
      <w:pPr>
        <w:jc w:val="both"/>
        <w:rPr>
          <w:sz w:val="24"/>
          <w:szCs w:val="24"/>
          <w:lang w:val="en-US"/>
        </w:rPr>
      </w:pPr>
      <w:r w:rsidRPr="008E61E3">
        <w:rPr>
          <w:sz w:val="24"/>
          <w:szCs w:val="24"/>
          <w:lang w:val="en-US"/>
        </w:rPr>
        <w:tab/>
        <w:t>The 2</w:t>
      </w:r>
      <w:r w:rsidRPr="008E61E3">
        <w:rPr>
          <w:sz w:val="24"/>
          <w:szCs w:val="24"/>
          <w:vertAlign w:val="superscript"/>
          <w:lang w:val="en-US"/>
        </w:rPr>
        <w:t>nd</w:t>
      </w:r>
      <w:r w:rsidRPr="008E61E3">
        <w:rPr>
          <w:sz w:val="24"/>
          <w:szCs w:val="24"/>
          <w:lang w:val="en-US"/>
        </w:rPr>
        <w:t xml:space="preserve"> case referred to by applicant’s counsel in support of the point </w:t>
      </w:r>
      <w:r w:rsidRPr="008E61E3">
        <w:rPr>
          <w:i/>
          <w:sz w:val="24"/>
          <w:szCs w:val="24"/>
          <w:lang w:val="en-US"/>
        </w:rPr>
        <w:t>in limine</w:t>
      </w:r>
      <w:r w:rsidRPr="008E61E3">
        <w:rPr>
          <w:sz w:val="24"/>
          <w:szCs w:val="24"/>
          <w:lang w:val="en-US"/>
        </w:rPr>
        <w:t xml:space="preserve"> is that of </w:t>
      </w:r>
      <w:r w:rsidRPr="008E61E3">
        <w:rPr>
          <w:i/>
          <w:sz w:val="24"/>
          <w:szCs w:val="24"/>
          <w:lang w:val="en-US"/>
        </w:rPr>
        <w:t>Equity Properties (Pvt) Ltd</w:t>
      </w:r>
      <w:r w:rsidRPr="008E61E3">
        <w:rPr>
          <w:sz w:val="24"/>
          <w:szCs w:val="24"/>
          <w:lang w:val="en-US"/>
        </w:rPr>
        <w:t xml:space="preserve"> vs </w:t>
      </w:r>
      <w:r w:rsidRPr="008E61E3">
        <w:rPr>
          <w:i/>
          <w:sz w:val="24"/>
          <w:szCs w:val="24"/>
          <w:lang w:val="en-US"/>
        </w:rPr>
        <w:t>Al  Shams Global BVL Ltd &amp; Another</w:t>
      </w:r>
      <w:r w:rsidRPr="008E61E3">
        <w:rPr>
          <w:sz w:val="24"/>
          <w:szCs w:val="24"/>
          <w:lang w:val="en-US"/>
        </w:rPr>
        <w:t xml:space="preserve"> HH-80</w:t>
      </w:r>
      <w:r w:rsidR="00CB6366">
        <w:rPr>
          <w:sz w:val="24"/>
          <w:szCs w:val="24"/>
          <w:lang w:val="en-US"/>
        </w:rPr>
        <w:t>1</w:t>
      </w:r>
      <w:r w:rsidRPr="008E61E3">
        <w:rPr>
          <w:sz w:val="24"/>
          <w:szCs w:val="24"/>
          <w:lang w:val="en-US"/>
        </w:rPr>
        <w:t>-22.  Again, this case deals with litigants that failed to file heads of argument in accordance with a previously issued court order.  The a</w:t>
      </w:r>
      <w:r w:rsidR="00CB6366">
        <w:rPr>
          <w:sz w:val="24"/>
          <w:szCs w:val="24"/>
          <w:lang w:val="en-US"/>
        </w:rPr>
        <w:t>pplication under cover of HH-</w:t>
      </w:r>
      <w:r w:rsidRPr="008E61E3">
        <w:rPr>
          <w:sz w:val="24"/>
          <w:szCs w:val="24"/>
          <w:lang w:val="en-US"/>
        </w:rPr>
        <w:t>80-22 was then an application for leave to appeal.  Again I do not accept the argument that a person that has flouted a court order by failing to file heads</w:t>
      </w:r>
      <w:r w:rsidR="008C0CB6" w:rsidRPr="008E61E3">
        <w:rPr>
          <w:sz w:val="24"/>
          <w:szCs w:val="24"/>
          <w:lang w:val="en-US"/>
        </w:rPr>
        <w:t xml:space="preserve"> of argument mention the </w:t>
      </w:r>
      <w:r w:rsidR="008C0CB6" w:rsidRPr="008E61E3">
        <w:rPr>
          <w:i/>
          <w:sz w:val="24"/>
          <w:szCs w:val="24"/>
          <w:lang w:val="en-US"/>
        </w:rPr>
        <w:t>dies inducie</w:t>
      </w:r>
      <w:r w:rsidR="008C0CB6" w:rsidRPr="008E61E3">
        <w:rPr>
          <w:sz w:val="24"/>
          <w:szCs w:val="24"/>
          <w:lang w:val="en-US"/>
        </w:rPr>
        <w:t>, is in the same bracket and degree of non-compliance with a person that files a notice of opposition in proper format within the time frame provide</w:t>
      </w:r>
      <w:r w:rsidR="008E61E3" w:rsidRPr="008E61E3">
        <w:rPr>
          <w:sz w:val="24"/>
          <w:szCs w:val="24"/>
          <w:lang w:val="en-US"/>
        </w:rPr>
        <w:t>d for in the rules but just fail</w:t>
      </w:r>
      <w:r w:rsidR="008C0CB6" w:rsidRPr="008E61E3">
        <w:rPr>
          <w:sz w:val="24"/>
          <w:szCs w:val="24"/>
          <w:lang w:val="en-US"/>
        </w:rPr>
        <w:t xml:space="preserve">s to provide an address within the 10km radius.  The respondent’s counsel contended that this is an urgent application and it could under the rules of urgency be heard even within </w:t>
      </w:r>
      <w:r w:rsidR="008E61E3" w:rsidRPr="008E61E3">
        <w:rPr>
          <w:sz w:val="24"/>
          <w:szCs w:val="24"/>
          <w:lang w:val="en-US"/>
        </w:rPr>
        <w:t>a</w:t>
      </w:r>
      <w:r w:rsidR="008C0CB6" w:rsidRPr="008E61E3">
        <w:rPr>
          <w:sz w:val="24"/>
          <w:szCs w:val="24"/>
          <w:lang w:val="en-US"/>
        </w:rPr>
        <w:t xml:space="preserve"> formal notice of opposition.  That, in the event that the court is of the view t</w:t>
      </w:r>
      <w:r w:rsidR="0060234C" w:rsidRPr="008E61E3">
        <w:rPr>
          <w:sz w:val="24"/>
          <w:szCs w:val="24"/>
          <w:lang w:val="en-US"/>
        </w:rPr>
        <w:t>h</w:t>
      </w:r>
      <w:r w:rsidR="008C0CB6" w:rsidRPr="008E61E3">
        <w:rPr>
          <w:sz w:val="24"/>
          <w:szCs w:val="24"/>
          <w:lang w:val="en-US"/>
        </w:rPr>
        <w:t>at the issue of urgency is no good on its own for condonation of this omission, they make a formal plea for condonation on the basis that this is an urgent matter and goal posts are different.</w:t>
      </w:r>
    </w:p>
    <w:p w:rsidR="008C0CB6" w:rsidRPr="008E61E3" w:rsidRDefault="008C0CB6" w:rsidP="008E61E3">
      <w:pPr>
        <w:jc w:val="both"/>
        <w:rPr>
          <w:sz w:val="24"/>
          <w:szCs w:val="24"/>
          <w:lang w:val="en-US"/>
        </w:rPr>
      </w:pPr>
      <w:r w:rsidRPr="008E61E3">
        <w:rPr>
          <w:sz w:val="24"/>
          <w:szCs w:val="24"/>
          <w:lang w:val="en-US"/>
        </w:rPr>
        <w:lastRenderedPageBreak/>
        <w:tab/>
        <w:t>I hold the view that firstly, the cited cases are not authority at all for the issue before me.  Secondly, that the 2</w:t>
      </w:r>
      <w:r w:rsidRPr="008E61E3">
        <w:rPr>
          <w:sz w:val="24"/>
          <w:szCs w:val="24"/>
          <w:vertAlign w:val="superscript"/>
          <w:lang w:val="en-US"/>
        </w:rPr>
        <w:t>nd</w:t>
      </w:r>
      <w:r w:rsidRPr="008E61E3">
        <w:rPr>
          <w:sz w:val="24"/>
          <w:szCs w:val="24"/>
          <w:lang w:val="en-US"/>
        </w:rPr>
        <w:t xml:space="preserve"> respondent substantially complied with the rules in form </w:t>
      </w:r>
      <w:r w:rsidR="00CB6366">
        <w:rPr>
          <w:sz w:val="24"/>
          <w:szCs w:val="24"/>
          <w:lang w:val="en-US"/>
        </w:rPr>
        <w:t>and</w:t>
      </w:r>
      <w:r w:rsidRPr="008E61E3">
        <w:rPr>
          <w:sz w:val="24"/>
          <w:szCs w:val="24"/>
          <w:lang w:val="en-US"/>
        </w:rPr>
        <w:t xml:space="preserve"> the rest of the requirements save for an address wh</w:t>
      </w:r>
      <w:r w:rsidR="0060234C" w:rsidRPr="008E61E3">
        <w:rPr>
          <w:sz w:val="24"/>
          <w:szCs w:val="24"/>
          <w:lang w:val="en-US"/>
        </w:rPr>
        <w:t>i</w:t>
      </w:r>
      <w:r w:rsidRPr="008E61E3">
        <w:rPr>
          <w:sz w:val="24"/>
          <w:szCs w:val="24"/>
          <w:lang w:val="en-US"/>
        </w:rPr>
        <w:t>ch they did</w:t>
      </w:r>
      <w:r w:rsidR="008E61E3" w:rsidRPr="008E61E3">
        <w:rPr>
          <w:sz w:val="24"/>
          <w:szCs w:val="24"/>
          <w:lang w:val="en-US"/>
        </w:rPr>
        <w:t xml:space="preserve"> </w:t>
      </w:r>
      <w:r w:rsidRPr="008E61E3">
        <w:rPr>
          <w:sz w:val="24"/>
          <w:szCs w:val="24"/>
          <w:lang w:val="en-US"/>
        </w:rPr>
        <w:t>provide but failed to meet the 10km radius provided for in the rules.  Thirdly, I do not see 2</w:t>
      </w:r>
      <w:r w:rsidRPr="008E61E3">
        <w:rPr>
          <w:sz w:val="24"/>
          <w:szCs w:val="24"/>
          <w:vertAlign w:val="superscript"/>
          <w:lang w:val="en-US"/>
        </w:rPr>
        <w:t>nd</w:t>
      </w:r>
      <w:r w:rsidRPr="008E61E3">
        <w:rPr>
          <w:sz w:val="24"/>
          <w:szCs w:val="24"/>
          <w:lang w:val="en-US"/>
        </w:rPr>
        <w:t xml:space="preserve"> respondent’s conduct as a flagrant breach of the rules propelled by a carefree attitude on the requirements therein.  2</w:t>
      </w:r>
      <w:r w:rsidRPr="008E61E3">
        <w:rPr>
          <w:sz w:val="24"/>
          <w:szCs w:val="24"/>
          <w:vertAlign w:val="superscript"/>
          <w:lang w:val="en-US"/>
        </w:rPr>
        <w:t>nd</w:t>
      </w:r>
      <w:r w:rsidRPr="008E61E3">
        <w:rPr>
          <w:sz w:val="24"/>
          <w:szCs w:val="24"/>
          <w:lang w:val="en-US"/>
        </w:rPr>
        <w:t xml:space="preserve"> respondent’s lawyers being based in Harare where the provided address is, it is a reasonable and inadvertent omission that can be condoned especially considering that this is an urgent application wherein the respondents had to act</w:t>
      </w:r>
      <w:r w:rsidR="0060234C" w:rsidRPr="008E61E3">
        <w:rPr>
          <w:sz w:val="24"/>
          <w:szCs w:val="24"/>
          <w:lang w:val="en-US"/>
        </w:rPr>
        <w:t xml:space="preserve"> with speed.</w:t>
      </w:r>
    </w:p>
    <w:p w:rsidR="0060234C" w:rsidRPr="008E61E3" w:rsidRDefault="0060234C" w:rsidP="008E61E3">
      <w:pPr>
        <w:jc w:val="both"/>
        <w:rPr>
          <w:sz w:val="24"/>
          <w:szCs w:val="24"/>
          <w:lang w:val="en-US"/>
        </w:rPr>
      </w:pPr>
      <w:r w:rsidRPr="008E61E3">
        <w:rPr>
          <w:sz w:val="24"/>
          <w:szCs w:val="24"/>
          <w:lang w:val="en-US"/>
        </w:rPr>
        <w:tab/>
        <w:t>I would accordingly allow 2</w:t>
      </w:r>
      <w:r w:rsidRPr="008E61E3">
        <w:rPr>
          <w:sz w:val="24"/>
          <w:szCs w:val="24"/>
          <w:vertAlign w:val="superscript"/>
          <w:lang w:val="en-US"/>
        </w:rPr>
        <w:t>nd</w:t>
      </w:r>
      <w:r w:rsidRPr="008E61E3">
        <w:rPr>
          <w:sz w:val="24"/>
          <w:szCs w:val="24"/>
          <w:lang w:val="en-US"/>
        </w:rPr>
        <w:t xml:space="preserve"> respondent’s plea for mercy and an indulgence then to be heard.  After all, the court is inclined to resolve the real dispute </w:t>
      </w:r>
      <w:r w:rsidR="008E61E3" w:rsidRPr="008E61E3">
        <w:rPr>
          <w:sz w:val="24"/>
          <w:szCs w:val="24"/>
          <w:lang w:val="en-US"/>
        </w:rPr>
        <w:t>b</w:t>
      </w:r>
      <w:r w:rsidRPr="008E61E3">
        <w:rPr>
          <w:sz w:val="24"/>
          <w:szCs w:val="24"/>
          <w:lang w:val="en-US"/>
        </w:rPr>
        <w:t>etween the parties and not to just slam the door shut on the face of a litigant displaying a motivation to file their response and argue the matter on the merits.  The rules as we know ar</w:t>
      </w:r>
      <w:r w:rsidR="00CB6366">
        <w:rPr>
          <w:sz w:val="24"/>
          <w:szCs w:val="24"/>
          <w:lang w:val="en-US"/>
        </w:rPr>
        <w:t>e not cast in stone, neither was</w:t>
      </w:r>
      <w:r w:rsidRPr="008E61E3">
        <w:rPr>
          <w:sz w:val="24"/>
          <w:szCs w:val="24"/>
          <w:lang w:val="en-US"/>
        </w:rPr>
        <w:t xml:space="preserve"> the court made f</w:t>
      </w:r>
      <w:r w:rsidR="00CB6366">
        <w:rPr>
          <w:sz w:val="24"/>
          <w:szCs w:val="24"/>
          <w:lang w:val="en-US"/>
        </w:rPr>
        <w:t>or</w:t>
      </w:r>
      <w:r w:rsidRPr="008E61E3">
        <w:rPr>
          <w:sz w:val="24"/>
          <w:szCs w:val="24"/>
          <w:lang w:val="en-US"/>
        </w:rPr>
        <w:t xml:space="preserve"> the rules b</w:t>
      </w:r>
      <w:r w:rsidR="00CB6366">
        <w:rPr>
          <w:sz w:val="24"/>
          <w:szCs w:val="24"/>
          <w:lang w:val="en-US"/>
        </w:rPr>
        <w:t>ut</w:t>
      </w:r>
      <w:r w:rsidRPr="008E61E3">
        <w:rPr>
          <w:sz w:val="24"/>
          <w:szCs w:val="24"/>
          <w:lang w:val="en-US"/>
        </w:rPr>
        <w:t xml:space="preserve"> it is the rules </w:t>
      </w:r>
      <w:r w:rsidR="00CB6366">
        <w:rPr>
          <w:sz w:val="24"/>
          <w:szCs w:val="24"/>
          <w:lang w:val="en-US"/>
        </w:rPr>
        <w:t xml:space="preserve">that </w:t>
      </w:r>
      <w:r w:rsidRPr="008E61E3">
        <w:rPr>
          <w:sz w:val="24"/>
          <w:szCs w:val="24"/>
          <w:lang w:val="en-US"/>
        </w:rPr>
        <w:t xml:space="preserve">were made for the court.  I should be at liberty to asses each case on its own shortcoming taking into account the degree of non-compliance </w:t>
      </w:r>
      <w:r w:rsidR="00611045" w:rsidRPr="008E61E3">
        <w:rPr>
          <w:sz w:val="24"/>
          <w:szCs w:val="24"/>
          <w:lang w:val="en-US"/>
        </w:rPr>
        <w:t xml:space="preserve">and any prejudice to the other </w:t>
      </w:r>
      <w:r w:rsidRPr="008E61E3">
        <w:rPr>
          <w:sz w:val="24"/>
          <w:szCs w:val="24"/>
          <w:lang w:val="en-US"/>
        </w:rPr>
        <w:t>party and the court itself.  I find that the degree of non-compliance is minimal and does not have a real effect on the issues that need to be determined between</w:t>
      </w:r>
      <w:r w:rsidR="00611045" w:rsidRPr="008E61E3">
        <w:rPr>
          <w:sz w:val="24"/>
          <w:szCs w:val="24"/>
          <w:lang w:val="en-US"/>
        </w:rPr>
        <w:t xml:space="preserve"> the parties hence my flexibility towards condonation.</w:t>
      </w:r>
    </w:p>
    <w:p w:rsidR="00611045" w:rsidRPr="008E61E3" w:rsidRDefault="00611045" w:rsidP="008E61E3">
      <w:pPr>
        <w:jc w:val="both"/>
        <w:rPr>
          <w:sz w:val="24"/>
          <w:szCs w:val="24"/>
          <w:lang w:val="en-US"/>
        </w:rPr>
      </w:pPr>
      <w:r w:rsidRPr="008E61E3">
        <w:rPr>
          <w:sz w:val="24"/>
          <w:szCs w:val="24"/>
          <w:lang w:val="en-US"/>
        </w:rPr>
        <w:tab/>
        <w:t xml:space="preserve">It is for these reasons that the point </w:t>
      </w:r>
      <w:r w:rsidRPr="008E61E3">
        <w:rPr>
          <w:i/>
          <w:sz w:val="24"/>
          <w:szCs w:val="24"/>
          <w:lang w:val="en-US"/>
        </w:rPr>
        <w:t>in limine</w:t>
      </w:r>
      <w:r w:rsidRPr="008E61E3">
        <w:rPr>
          <w:sz w:val="24"/>
          <w:szCs w:val="24"/>
          <w:lang w:val="en-US"/>
        </w:rPr>
        <w:t xml:space="preserve"> raised by the applicant is dismissed.</w:t>
      </w:r>
    </w:p>
    <w:p w:rsidR="00611045" w:rsidRDefault="00611045" w:rsidP="008E61E3">
      <w:pPr>
        <w:jc w:val="both"/>
        <w:rPr>
          <w:sz w:val="24"/>
          <w:szCs w:val="24"/>
          <w:lang w:val="en-US"/>
        </w:rPr>
      </w:pPr>
    </w:p>
    <w:p w:rsidR="00611045" w:rsidRPr="008E61E3" w:rsidRDefault="00611045" w:rsidP="008E61E3">
      <w:pPr>
        <w:jc w:val="both"/>
        <w:rPr>
          <w:sz w:val="24"/>
          <w:szCs w:val="24"/>
          <w:lang w:val="en-US"/>
        </w:rPr>
      </w:pPr>
    </w:p>
    <w:p w:rsidR="00611045" w:rsidRPr="008E61E3" w:rsidRDefault="00611045" w:rsidP="008E61E3">
      <w:pPr>
        <w:pStyle w:val="NoSpacing"/>
        <w:jc w:val="both"/>
        <w:rPr>
          <w:sz w:val="24"/>
          <w:szCs w:val="24"/>
          <w:lang w:val="en-US"/>
        </w:rPr>
      </w:pPr>
      <w:r w:rsidRPr="008E61E3">
        <w:rPr>
          <w:i/>
          <w:sz w:val="24"/>
          <w:szCs w:val="24"/>
          <w:lang w:val="en-US"/>
        </w:rPr>
        <w:t>Messrs James, Moyo-Majwabu &amp; Nyoni</w:t>
      </w:r>
      <w:r w:rsidRPr="008E61E3">
        <w:rPr>
          <w:sz w:val="24"/>
          <w:szCs w:val="24"/>
          <w:lang w:val="en-US"/>
        </w:rPr>
        <w:t>, applicant’s legal practitioners</w:t>
      </w:r>
    </w:p>
    <w:p w:rsidR="00611045" w:rsidRPr="008E61E3" w:rsidRDefault="00611045" w:rsidP="008E61E3">
      <w:pPr>
        <w:pStyle w:val="NoSpacing"/>
        <w:jc w:val="both"/>
        <w:rPr>
          <w:sz w:val="24"/>
          <w:szCs w:val="24"/>
          <w:lang w:val="en-US"/>
        </w:rPr>
      </w:pPr>
      <w:r w:rsidRPr="008E61E3">
        <w:rPr>
          <w:i/>
          <w:sz w:val="24"/>
          <w:szCs w:val="24"/>
          <w:lang w:val="en-US"/>
        </w:rPr>
        <w:t>Civil Division Attorney General’s Office</w:t>
      </w:r>
      <w:r w:rsidRPr="008E61E3">
        <w:rPr>
          <w:sz w:val="24"/>
          <w:szCs w:val="24"/>
          <w:lang w:val="en-US"/>
        </w:rPr>
        <w:t>, 1</w:t>
      </w:r>
      <w:r w:rsidRPr="008E61E3">
        <w:rPr>
          <w:sz w:val="24"/>
          <w:szCs w:val="24"/>
          <w:vertAlign w:val="superscript"/>
          <w:lang w:val="en-US"/>
        </w:rPr>
        <w:t>st</w:t>
      </w:r>
      <w:r w:rsidRPr="008E61E3">
        <w:rPr>
          <w:sz w:val="24"/>
          <w:szCs w:val="24"/>
          <w:lang w:val="en-US"/>
        </w:rPr>
        <w:t xml:space="preserve"> respondent’s legal practitioners</w:t>
      </w:r>
    </w:p>
    <w:p w:rsidR="00611045" w:rsidRPr="008E61E3" w:rsidRDefault="00611045" w:rsidP="008E61E3">
      <w:pPr>
        <w:pStyle w:val="NoSpacing"/>
        <w:jc w:val="both"/>
        <w:rPr>
          <w:sz w:val="24"/>
          <w:szCs w:val="24"/>
          <w:lang w:val="en-US"/>
        </w:rPr>
      </w:pPr>
      <w:r w:rsidRPr="008E61E3">
        <w:rPr>
          <w:i/>
          <w:sz w:val="24"/>
          <w:szCs w:val="24"/>
          <w:lang w:val="en-US"/>
        </w:rPr>
        <w:t>Zuze Law Chambers</w:t>
      </w:r>
      <w:r w:rsidRPr="008E61E3">
        <w:rPr>
          <w:sz w:val="24"/>
          <w:szCs w:val="24"/>
          <w:lang w:val="en-US"/>
        </w:rPr>
        <w:t>, 2</w:t>
      </w:r>
      <w:r w:rsidRPr="008E61E3">
        <w:rPr>
          <w:sz w:val="24"/>
          <w:szCs w:val="24"/>
          <w:vertAlign w:val="superscript"/>
          <w:lang w:val="en-US"/>
        </w:rPr>
        <w:t>nd</w:t>
      </w:r>
      <w:r w:rsidRPr="008E61E3">
        <w:rPr>
          <w:sz w:val="24"/>
          <w:szCs w:val="24"/>
          <w:lang w:val="en-US"/>
        </w:rPr>
        <w:t xml:space="preserve"> applicant’s legal practitioners</w:t>
      </w:r>
    </w:p>
    <w:p w:rsidR="000A45C0" w:rsidRPr="008E61E3" w:rsidRDefault="000A45C0" w:rsidP="008E61E3">
      <w:pPr>
        <w:jc w:val="both"/>
        <w:rPr>
          <w:b/>
          <w:sz w:val="24"/>
          <w:szCs w:val="24"/>
          <w:lang w:val="en-US"/>
        </w:rPr>
      </w:pPr>
    </w:p>
    <w:sectPr w:rsidR="000A45C0" w:rsidRPr="008E61E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310" w:rsidRDefault="009F6310" w:rsidP="006E43D7">
      <w:pPr>
        <w:spacing w:after="0" w:line="240" w:lineRule="auto"/>
      </w:pPr>
      <w:r>
        <w:separator/>
      </w:r>
    </w:p>
  </w:endnote>
  <w:endnote w:type="continuationSeparator" w:id="0">
    <w:p w:rsidR="009F6310" w:rsidRDefault="009F6310" w:rsidP="006E4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310" w:rsidRDefault="009F6310" w:rsidP="006E43D7">
      <w:pPr>
        <w:spacing w:after="0" w:line="240" w:lineRule="auto"/>
      </w:pPr>
      <w:r>
        <w:separator/>
      </w:r>
    </w:p>
  </w:footnote>
  <w:footnote w:type="continuationSeparator" w:id="0">
    <w:p w:rsidR="009F6310" w:rsidRDefault="009F6310" w:rsidP="006E4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59386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6E43D7" w:rsidRDefault="006E43D7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99B">
          <w:rPr>
            <w:noProof/>
          </w:rPr>
          <w:t>3</w:t>
        </w:r>
        <w:r>
          <w:rPr>
            <w:noProof/>
          </w:rPr>
          <w:fldChar w:fldCharType="end"/>
        </w:r>
      </w:p>
      <w:p w:rsidR="006E43D7" w:rsidRDefault="006E43D7">
        <w:pPr>
          <w:pStyle w:val="Header"/>
          <w:jc w:val="right"/>
          <w:rPr>
            <w:noProof/>
          </w:rPr>
        </w:pPr>
        <w:r>
          <w:rPr>
            <w:noProof/>
          </w:rPr>
          <w:t xml:space="preserve">HB </w:t>
        </w:r>
        <w:r w:rsidR="00C32A88">
          <w:rPr>
            <w:noProof/>
          </w:rPr>
          <w:t>220</w:t>
        </w:r>
        <w:r>
          <w:rPr>
            <w:noProof/>
          </w:rPr>
          <w:t>/23</w:t>
        </w:r>
      </w:p>
      <w:p w:rsidR="006E43D7" w:rsidRDefault="006E43D7">
        <w:pPr>
          <w:pStyle w:val="Header"/>
          <w:jc w:val="right"/>
        </w:pPr>
        <w:r>
          <w:rPr>
            <w:noProof/>
          </w:rPr>
          <w:t>HC 1416/23</w:t>
        </w:r>
      </w:p>
    </w:sdtContent>
  </w:sdt>
  <w:p w:rsidR="006E43D7" w:rsidRDefault="006E43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C0"/>
    <w:rsid w:val="000A45C0"/>
    <w:rsid w:val="001D1970"/>
    <w:rsid w:val="001F7DC3"/>
    <w:rsid w:val="00324932"/>
    <w:rsid w:val="0059499B"/>
    <w:rsid w:val="0060234C"/>
    <w:rsid w:val="00611045"/>
    <w:rsid w:val="00654BCB"/>
    <w:rsid w:val="006C2671"/>
    <w:rsid w:val="006E43D7"/>
    <w:rsid w:val="008C0CB6"/>
    <w:rsid w:val="008E61E3"/>
    <w:rsid w:val="009F6310"/>
    <w:rsid w:val="00B24423"/>
    <w:rsid w:val="00B73C19"/>
    <w:rsid w:val="00C32819"/>
    <w:rsid w:val="00C32A88"/>
    <w:rsid w:val="00C62FBA"/>
    <w:rsid w:val="00CB6366"/>
    <w:rsid w:val="00D15EEB"/>
    <w:rsid w:val="00DE31B7"/>
    <w:rsid w:val="00E54504"/>
    <w:rsid w:val="00FD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BADBB-D786-448E-B1A6-F8AF7027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5C0"/>
    <w:pPr>
      <w:spacing w:line="36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45C0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6E4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3D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6E4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3D7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13</cp:revision>
  <cp:lastPrinted>2023-11-03T09:43:00Z</cp:lastPrinted>
  <dcterms:created xsi:type="dcterms:W3CDTF">2023-10-18T12:49:00Z</dcterms:created>
  <dcterms:modified xsi:type="dcterms:W3CDTF">2023-11-03T09:50:00Z</dcterms:modified>
</cp:coreProperties>
</file>