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RICHARD BHURI</w:t>
      </w: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and</w:t>
      </w: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NYASHA MASAKA</w:t>
      </w: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and</w:t>
      </w: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PURPLE DOT INVESTMENTS (PVT) LTD</w:t>
      </w: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versus</w:t>
      </w: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TARISAI MAVETERA</w:t>
      </w: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and</w:t>
      </w: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CHIEF REGISTRAR OF COMPANIES</w:t>
      </w:r>
    </w:p>
    <w:p w:rsidR="00CF39A7" w:rsidRDefault="00CF39A7">
      <w:pPr>
        <w:spacing w:after="0" w:line="276" w:lineRule="auto"/>
        <w:rPr>
          <w:rFonts w:ascii="Times New Roman" w:hAnsi="Times New Roman" w:cs="Times New Roman"/>
          <w:sz w:val="24"/>
          <w:szCs w:val="24"/>
        </w:rPr>
      </w:pP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HIGH COURT OF ZIMBABWE</w:t>
      </w: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COMMERCIAL DIVISION</w:t>
      </w:r>
    </w:p>
    <w:p w:rsidR="00CF39A7" w:rsidRDefault="00D206F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MANZUNZU &amp; CHILIMBE JJ </w:t>
      </w:r>
    </w:p>
    <w:p w:rsidR="00CF39A7" w:rsidRDefault="00985C9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HARARE, 16 November </w:t>
      </w:r>
      <w:bookmarkStart w:id="0" w:name="_GoBack"/>
      <w:bookmarkEnd w:id="0"/>
      <w:r w:rsidR="00D206FE">
        <w:rPr>
          <w:rFonts w:ascii="Times New Roman" w:hAnsi="Times New Roman" w:cs="Times New Roman"/>
          <w:sz w:val="24"/>
          <w:szCs w:val="24"/>
        </w:rPr>
        <w:t>2023 &amp; 18 July 2024</w:t>
      </w:r>
    </w:p>
    <w:p w:rsidR="00CF39A7" w:rsidRDefault="00CF39A7">
      <w:pPr>
        <w:spacing w:after="0" w:line="276" w:lineRule="auto"/>
        <w:rPr>
          <w:rFonts w:ascii="Times New Roman" w:hAnsi="Times New Roman" w:cs="Times New Roman"/>
          <w:b/>
          <w:sz w:val="24"/>
          <w:szCs w:val="24"/>
        </w:rPr>
      </w:pPr>
    </w:p>
    <w:p w:rsidR="00CF39A7" w:rsidRDefault="00D206FE">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CIVIL APPEAL</w:t>
      </w:r>
    </w:p>
    <w:p w:rsidR="00CF39A7" w:rsidRDefault="00CF39A7">
      <w:pPr>
        <w:spacing w:after="0" w:line="276" w:lineRule="auto"/>
        <w:jc w:val="both"/>
        <w:rPr>
          <w:rFonts w:ascii="Times New Roman" w:hAnsi="Times New Roman" w:cs="Times New Roman"/>
          <w:sz w:val="24"/>
          <w:szCs w:val="24"/>
        </w:rPr>
      </w:pPr>
    </w:p>
    <w:p w:rsidR="00CF39A7" w:rsidRDefault="00D206FE">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 xml:space="preserve">S </w:t>
      </w:r>
      <w:r>
        <w:rPr>
          <w:rFonts w:ascii="Times New Roman" w:hAnsi="Times New Roman" w:cs="Times New Roman"/>
          <w:i/>
          <w:sz w:val="24"/>
          <w:szCs w:val="24"/>
        </w:rPr>
        <w:t>Kachere</w:t>
      </w:r>
      <w:r>
        <w:rPr>
          <w:rFonts w:ascii="Times New Roman" w:hAnsi="Times New Roman" w:cs="Times New Roman"/>
          <w:sz w:val="24"/>
          <w:szCs w:val="24"/>
        </w:rPr>
        <w:t>, for the appellants</w:t>
      </w:r>
    </w:p>
    <w:p w:rsidR="00CF39A7" w:rsidRDefault="00D206FE">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 xml:space="preserve">A Mutima </w:t>
      </w:r>
      <w:r>
        <w:rPr>
          <w:rFonts w:ascii="Times New Roman" w:hAnsi="Times New Roman" w:cs="Times New Roman"/>
          <w:iCs/>
          <w:sz w:val="24"/>
          <w:szCs w:val="24"/>
        </w:rPr>
        <w:t>with</w:t>
      </w:r>
      <w:r>
        <w:rPr>
          <w:rFonts w:ascii="Times New Roman" w:hAnsi="Times New Roman" w:cs="Times New Roman"/>
          <w:i/>
          <w:sz w:val="24"/>
          <w:szCs w:val="24"/>
        </w:rPr>
        <w:t xml:space="preserve"> T Mazonde</w:t>
      </w:r>
      <w:r>
        <w:rPr>
          <w:rFonts w:ascii="Times New Roman" w:hAnsi="Times New Roman" w:cs="Times New Roman"/>
          <w:sz w:val="24"/>
          <w:szCs w:val="24"/>
        </w:rPr>
        <w:t>,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CF39A7" w:rsidRDefault="00CF39A7">
      <w:pPr>
        <w:spacing w:after="0" w:line="276" w:lineRule="auto"/>
        <w:jc w:val="both"/>
        <w:rPr>
          <w:rFonts w:ascii="Times New Roman" w:hAnsi="Times New Roman" w:cs="Times New Roman"/>
          <w:sz w:val="24"/>
          <w:szCs w:val="24"/>
        </w:rPr>
      </w:pPr>
    </w:p>
    <w:p w:rsidR="00CF39A7" w:rsidRDefault="00D206F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MANZUNZU J</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whole judgment of the Magistrate’s </w:t>
      </w:r>
      <w:r>
        <w:rPr>
          <w:rFonts w:ascii="Times New Roman" w:hAnsi="Times New Roman" w:cs="Times New Roman"/>
          <w:sz w:val="24"/>
          <w:szCs w:val="24"/>
          <w:lang w:val="en-US"/>
        </w:rPr>
        <w:t>C</w:t>
      </w:r>
      <w:r>
        <w:rPr>
          <w:rFonts w:ascii="Times New Roman" w:hAnsi="Times New Roman" w:cs="Times New Roman"/>
          <w:sz w:val="24"/>
          <w:szCs w:val="24"/>
        </w:rPr>
        <w:t xml:space="preserve">ourt in which the court </w:t>
      </w:r>
      <w:r>
        <w:rPr>
          <w:rFonts w:ascii="Times New Roman" w:hAnsi="Times New Roman" w:cs="Times New Roman"/>
          <w:i/>
          <w:sz w:val="24"/>
          <w:szCs w:val="24"/>
        </w:rPr>
        <w:t>a</w:t>
      </w:r>
      <w:r>
        <w:rPr>
          <w:rFonts w:ascii="Times New Roman" w:hAnsi="Times New Roman" w:cs="Times New Roman"/>
          <w:sz w:val="24"/>
          <w:szCs w:val="24"/>
        </w:rPr>
        <w:t xml:space="preserve"> </w:t>
      </w:r>
      <w:r>
        <w:rPr>
          <w:rFonts w:ascii="Times New Roman" w:hAnsi="Times New Roman" w:cs="Times New Roman"/>
          <w:i/>
          <w:sz w:val="24"/>
          <w:szCs w:val="24"/>
        </w:rPr>
        <w:t>quo</w:t>
      </w:r>
      <w:r>
        <w:rPr>
          <w:rFonts w:ascii="Times New Roman" w:hAnsi="Times New Roman" w:cs="Times New Roman"/>
          <w:sz w:val="24"/>
          <w:szCs w:val="24"/>
        </w:rPr>
        <w:t xml:space="preserve"> granted an application in favour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(Mavetera) for th</w:t>
      </w:r>
      <w:r>
        <w:rPr>
          <w:rFonts w:ascii="Times New Roman" w:hAnsi="Times New Roman" w:cs="Times New Roman"/>
          <w:sz w:val="24"/>
          <w:szCs w:val="24"/>
        </w:rPr>
        <w:t xml:space="preserve">e rectification of the register in terms of section 162 of the Companies and Other Business Entities Act (the Act) </w:t>
      </w:r>
      <w:r>
        <w:rPr>
          <w:rFonts w:ascii="Times New Roman" w:hAnsi="Times New Roman" w:cs="Times New Roman"/>
          <w:sz w:val="24"/>
          <w:szCs w:val="24"/>
          <w:lang w:val="en-US"/>
        </w:rPr>
        <w:t>[</w:t>
      </w:r>
      <w:r>
        <w:rPr>
          <w:rFonts w:ascii="Times New Roman" w:hAnsi="Times New Roman" w:cs="Times New Roman"/>
          <w:i/>
          <w:iCs/>
          <w:sz w:val="24"/>
          <w:szCs w:val="24"/>
        </w:rPr>
        <w:t>Chapter 24:31</w:t>
      </w:r>
      <w:r>
        <w:rPr>
          <w:rFonts w:ascii="Times New Roman" w:hAnsi="Times New Roman" w:cs="Times New Roman"/>
          <w:i/>
          <w:iCs/>
          <w:sz w:val="24"/>
          <w:szCs w:val="24"/>
          <w:lang w:val="en-US"/>
        </w:rPr>
        <w:t>]</w:t>
      </w:r>
      <w:r>
        <w:rPr>
          <w:rFonts w:ascii="Times New Roman" w:hAnsi="Times New Roman" w:cs="Times New Roman"/>
          <w:sz w:val="24"/>
          <w:szCs w:val="24"/>
        </w:rPr>
        <w:t>.</w:t>
      </w:r>
    </w:p>
    <w:p w:rsidR="00CF39A7" w:rsidRDefault="00D206FE">
      <w:pPr>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BACKGROUND</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Mavetera, through an application against the appellants (Bhuri, Masaka and Purple Dot), as respondents.  sought </w:t>
      </w:r>
      <w:r>
        <w:rPr>
          <w:rFonts w:ascii="Times New Roman" w:hAnsi="Times New Roman" w:cs="Times New Roman"/>
          <w:sz w:val="24"/>
          <w:szCs w:val="24"/>
        </w:rPr>
        <w:t>an order to compel Purple Dot to rectify its registers to show Mavetera as a holder of 40 shares in Purple Dot representing 40% shareholding. The basis upon which the relief was sought is that, Matevere bought shares from one Loice Ruvimbo Takaona (Takaona</w:t>
      </w:r>
      <w:r>
        <w:rPr>
          <w:rFonts w:ascii="Times New Roman" w:hAnsi="Times New Roman" w:cs="Times New Roman"/>
          <w:sz w:val="24"/>
          <w:szCs w:val="24"/>
        </w:rPr>
        <w:t>) which shares she held in Purple Dot.</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Bhuri and</w:t>
      </w:r>
      <w:r>
        <w:rPr>
          <w:rFonts w:ascii="Times New Roman" w:hAnsi="Times New Roman" w:cs="Times New Roman"/>
          <w:sz w:val="24"/>
          <w:szCs w:val="24"/>
          <w:lang w:val="en-US"/>
        </w:rPr>
        <w:t xml:space="preserve"> </w:t>
      </w:r>
      <w:r>
        <w:rPr>
          <w:rFonts w:ascii="Times New Roman" w:hAnsi="Times New Roman" w:cs="Times New Roman"/>
          <w:sz w:val="24"/>
          <w:szCs w:val="24"/>
        </w:rPr>
        <w:t>Masaka are directors in Purple Dot. It is common cause that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Takaona signed an agreement of sale of shares with Mavetera. The defence by the appellants in the court </w:t>
      </w:r>
      <w:r>
        <w:rPr>
          <w:rFonts w:ascii="Times New Roman" w:hAnsi="Times New Roman" w:cs="Times New Roman"/>
          <w:i/>
          <w:sz w:val="24"/>
          <w:szCs w:val="24"/>
        </w:rPr>
        <w:t>a quo</w:t>
      </w:r>
      <w:r>
        <w:rPr>
          <w:rFonts w:ascii="Times New Roman" w:hAnsi="Times New Roman" w:cs="Times New Roman"/>
          <w:sz w:val="24"/>
          <w:szCs w:val="24"/>
        </w:rPr>
        <w:t xml:space="preserve"> was that the agreement is a nullity because prior written consent was not given by all the shareholders as per the articles of association. </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having considered the evidence before it, and the submissions by the parties, ruled that</w:t>
      </w:r>
      <w:r>
        <w:rPr>
          <w:rFonts w:ascii="Times New Roman" w:hAnsi="Times New Roman" w:cs="Times New Roman"/>
          <w:sz w:val="24"/>
          <w:szCs w:val="24"/>
          <w:lang w:val="en-US"/>
        </w:rPr>
        <w:t xml:space="preserve"> </w:t>
      </w:r>
      <w:r>
        <w:rPr>
          <w:rFonts w:ascii="Times New Roman" w:hAnsi="Times New Roman" w:cs="Times New Roman"/>
          <w:sz w:val="24"/>
          <w:szCs w:val="24"/>
        </w:rPr>
        <w:t>Mavetera</w:t>
      </w:r>
      <w:r>
        <w:rPr>
          <w:rFonts w:ascii="Times New Roman" w:hAnsi="Times New Roman" w:cs="Times New Roman"/>
          <w:sz w:val="24"/>
          <w:szCs w:val="24"/>
        </w:rPr>
        <w:t xml:space="preserve"> proved his case on a balance of probabilities and issued the following order;</w:t>
      </w:r>
    </w:p>
    <w:p w:rsidR="00CF39A7" w:rsidRDefault="00D206FE">
      <w:pPr>
        <w:spacing w:line="240" w:lineRule="auto"/>
        <w:ind w:left="720" w:firstLine="720"/>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1. </w:t>
      </w:r>
      <w:r>
        <w:rPr>
          <w:rFonts w:ascii="Times New Roman" w:hAnsi="Times New Roman" w:cs="Times New Roman"/>
        </w:rPr>
        <w:t xml:space="preserve"> Applicant (sic) be and is hereby granted.</w:t>
      </w:r>
    </w:p>
    <w:p w:rsidR="00CF39A7" w:rsidRDefault="00D206FE">
      <w:pPr>
        <w:spacing w:line="240" w:lineRule="auto"/>
        <w:ind w:left="720" w:firstLine="720"/>
        <w:jc w:val="both"/>
        <w:rPr>
          <w:rFonts w:ascii="Times New Roman" w:hAnsi="Times New Roman" w:cs="Times New Roman"/>
        </w:rPr>
      </w:pPr>
      <w:r>
        <w:rPr>
          <w:rFonts w:ascii="Times New Roman" w:hAnsi="Times New Roman" w:cs="Times New Roman"/>
          <w:lang w:val="en-US"/>
        </w:rPr>
        <w:t>2.</w:t>
      </w:r>
      <w:r>
        <w:rPr>
          <w:rFonts w:ascii="Times New Roman" w:hAnsi="Times New Roman" w:cs="Times New Roman"/>
        </w:rPr>
        <w:t xml:space="preserve"> 1</w:t>
      </w:r>
      <w:r>
        <w:rPr>
          <w:rFonts w:ascii="Times New Roman" w:hAnsi="Times New Roman" w:cs="Times New Roman"/>
          <w:vertAlign w:val="superscript"/>
        </w:rPr>
        <w:t>st</w:t>
      </w:r>
      <w:r>
        <w:rPr>
          <w:rFonts w:ascii="Times New Roman" w:hAnsi="Times New Roman" w:cs="Times New Roman"/>
        </w:rPr>
        <w:t xml:space="preserve"> Respondent is ordered to update the Register of the 3</w:t>
      </w:r>
      <w:r>
        <w:rPr>
          <w:rFonts w:ascii="Times New Roman" w:hAnsi="Times New Roman" w:cs="Times New Roman"/>
          <w:vertAlign w:val="superscript"/>
        </w:rPr>
        <w:t>rd</w:t>
      </w:r>
      <w:r>
        <w:rPr>
          <w:rFonts w:ascii="Times New Roman" w:hAnsi="Times New Roman" w:cs="Times New Roman"/>
        </w:rPr>
        <w:t xml:space="preserve"> Respondent to include the Applicant as a member and Director of the</w:t>
      </w:r>
      <w:r>
        <w:rPr>
          <w:rFonts w:ascii="Times New Roman" w:hAnsi="Times New Roman" w:cs="Times New Roman"/>
        </w:rPr>
        <w:t xml:space="preserve"> Company.</w:t>
      </w:r>
    </w:p>
    <w:p w:rsidR="00CF39A7" w:rsidRDefault="00D206FE">
      <w:pPr>
        <w:spacing w:line="240" w:lineRule="auto"/>
        <w:ind w:left="720" w:firstLine="720"/>
        <w:jc w:val="both"/>
        <w:rPr>
          <w:rFonts w:ascii="Times New Roman" w:hAnsi="Times New Roman" w:cs="Times New Roman"/>
        </w:rPr>
      </w:pPr>
      <w:r>
        <w:rPr>
          <w:rFonts w:ascii="Times New Roman" w:hAnsi="Times New Roman" w:cs="Times New Roman"/>
        </w:rPr>
        <w:t>3. 1</w:t>
      </w:r>
      <w:r>
        <w:rPr>
          <w:rFonts w:ascii="Times New Roman" w:hAnsi="Times New Roman" w:cs="Times New Roman"/>
          <w:vertAlign w:val="superscript"/>
        </w:rPr>
        <w:t>st</w:t>
      </w:r>
      <w:r>
        <w:rPr>
          <w:rFonts w:ascii="Times New Roman" w:hAnsi="Times New Roman" w:cs="Times New Roman"/>
        </w:rPr>
        <w:t xml:space="preserve"> respondent is ordered to rectify the register of the 3</w:t>
      </w:r>
      <w:r>
        <w:rPr>
          <w:rFonts w:ascii="Times New Roman" w:hAnsi="Times New Roman" w:cs="Times New Roman"/>
          <w:vertAlign w:val="superscript"/>
        </w:rPr>
        <w:t>rd</w:t>
      </w:r>
      <w:r>
        <w:rPr>
          <w:rFonts w:ascii="Times New Roman" w:hAnsi="Times New Roman" w:cs="Times New Roman"/>
        </w:rPr>
        <w:t xml:space="preserve"> respondent to show the applicant as a holder of 40 shares in the company representing 40% shareholding.</w:t>
      </w:r>
    </w:p>
    <w:p w:rsidR="00CF39A7" w:rsidRDefault="00D206FE">
      <w:pPr>
        <w:spacing w:line="240" w:lineRule="auto"/>
        <w:ind w:left="720" w:firstLine="720"/>
        <w:jc w:val="both"/>
        <w:rPr>
          <w:rFonts w:ascii="Times New Roman" w:hAnsi="Times New Roman" w:cs="Times New Roman"/>
        </w:rPr>
      </w:pPr>
      <w:r>
        <w:rPr>
          <w:rFonts w:ascii="Times New Roman" w:hAnsi="Times New Roman" w:cs="Times New Roman"/>
        </w:rPr>
        <w:t>4. The 4</w:t>
      </w:r>
      <w:r>
        <w:rPr>
          <w:rFonts w:ascii="Times New Roman" w:hAnsi="Times New Roman" w:cs="Times New Roman"/>
          <w:vertAlign w:val="superscript"/>
        </w:rPr>
        <w:t>th</w:t>
      </w:r>
      <w:r>
        <w:rPr>
          <w:rFonts w:ascii="Times New Roman" w:hAnsi="Times New Roman" w:cs="Times New Roman"/>
        </w:rPr>
        <w:t xml:space="preserve"> respondent shall, by notice of this order, rectify the registers in</w:t>
      </w:r>
      <w:r>
        <w:rPr>
          <w:rFonts w:ascii="Times New Roman" w:hAnsi="Times New Roman" w:cs="Times New Roman"/>
        </w:rPr>
        <w:t xml:space="preserve"> respect of the 3</w:t>
      </w:r>
      <w:r>
        <w:rPr>
          <w:rFonts w:ascii="Times New Roman" w:hAnsi="Times New Roman" w:cs="Times New Roman"/>
          <w:vertAlign w:val="superscript"/>
        </w:rPr>
        <w:t>rd</w:t>
      </w:r>
      <w:r>
        <w:rPr>
          <w:rFonts w:ascii="Times New Roman" w:hAnsi="Times New Roman" w:cs="Times New Roman"/>
        </w:rPr>
        <w:t xml:space="preserve"> respondent in terms of this order.</w:t>
      </w:r>
    </w:p>
    <w:p w:rsidR="00CF39A7" w:rsidRDefault="00D206FE">
      <w:pPr>
        <w:spacing w:line="240" w:lineRule="auto"/>
        <w:ind w:left="720" w:firstLine="720"/>
        <w:jc w:val="both"/>
        <w:rPr>
          <w:rFonts w:ascii="Times New Roman" w:hAnsi="Times New Roman" w:cs="Times New Roman"/>
          <w:sz w:val="24"/>
          <w:szCs w:val="24"/>
        </w:rPr>
      </w:pPr>
      <w:r>
        <w:rPr>
          <w:rFonts w:ascii="Times New Roman" w:hAnsi="Times New Roman" w:cs="Times New Roman"/>
        </w:rPr>
        <w:t>5. The 1</w:t>
      </w:r>
      <w:r>
        <w:rPr>
          <w:rFonts w:ascii="Times New Roman" w:hAnsi="Times New Roman" w:cs="Times New Roman"/>
          <w:vertAlign w:val="superscript"/>
        </w:rPr>
        <w:t>st</w:t>
      </w:r>
      <w:r>
        <w:rPr>
          <w:rFonts w:ascii="Times New Roman" w:hAnsi="Times New Roman" w:cs="Times New Roman"/>
        </w:rPr>
        <w:t xml:space="preserve"> and 2rd respondents shall pay costs of suit.”</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the decision of the court </w:t>
      </w:r>
      <w:r>
        <w:rPr>
          <w:rFonts w:ascii="Times New Roman" w:hAnsi="Times New Roman" w:cs="Times New Roman"/>
          <w:i/>
          <w:sz w:val="24"/>
          <w:szCs w:val="24"/>
        </w:rPr>
        <w:t>a quo,</w:t>
      </w:r>
      <w:r>
        <w:rPr>
          <w:rFonts w:ascii="Times New Roman" w:hAnsi="Times New Roman" w:cs="Times New Roman"/>
          <w:sz w:val="24"/>
          <w:szCs w:val="24"/>
        </w:rPr>
        <w:t xml:space="preserve"> the appellants lodged this appeal  on three grounds.</w:t>
      </w:r>
    </w:p>
    <w:p w:rsidR="00CF39A7" w:rsidRDefault="00D206FE">
      <w:pPr>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GROUNDS OF APPEAL</w:t>
      </w:r>
    </w:p>
    <w:p w:rsidR="00CF39A7" w:rsidRDefault="00D206F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grounds were </w:t>
      </w:r>
      <w:r>
        <w:rPr>
          <w:rFonts w:ascii="Times New Roman" w:hAnsi="Times New Roman" w:cs="Times New Roman"/>
          <w:sz w:val="24"/>
          <w:szCs w:val="24"/>
        </w:rPr>
        <w:t>raised in this appeal:</w:t>
      </w:r>
    </w:p>
    <w:p w:rsidR="00CF39A7" w:rsidRDefault="00D206FE">
      <w:pPr>
        <w:spacing w:line="276" w:lineRule="auto"/>
        <w:ind w:firstLineChars="150" w:firstLine="330"/>
        <w:jc w:val="both"/>
        <w:rPr>
          <w:rFonts w:ascii="Times New Roman" w:hAnsi="Times New Roman" w:cs="Times New Roman"/>
        </w:rPr>
      </w:pPr>
      <w:r>
        <w:rPr>
          <w:rFonts w:ascii="Times New Roman" w:hAnsi="Times New Roman" w:cs="Times New Roman"/>
        </w:rPr>
        <w:t>“1. The lower court misdirected itself on a point of law in validating the sale of shares agreement between Loice Ruvimbo Takaona and the 1</w:t>
      </w:r>
      <w:r>
        <w:rPr>
          <w:rFonts w:ascii="Times New Roman" w:hAnsi="Times New Roman" w:cs="Times New Roman"/>
          <w:vertAlign w:val="superscript"/>
        </w:rPr>
        <w:t>st</w:t>
      </w:r>
      <w:r>
        <w:rPr>
          <w:rFonts w:ascii="Times New Roman" w:hAnsi="Times New Roman" w:cs="Times New Roman"/>
        </w:rPr>
        <w:t xml:space="preserve"> respondent, on ground that the 1</w:t>
      </w:r>
      <w:r>
        <w:rPr>
          <w:rFonts w:ascii="Times New Roman" w:hAnsi="Times New Roman" w:cs="Times New Roman"/>
          <w:vertAlign w:val="superscript"/>
        </w:rPr>
        <w:t>st</w:t>
      </w:r>
      <w:r>
        <w:rPr>
          <w:rFonts w:ascii="Times New Roman" w:hAnsi="Times New Roman" w:cs="Times New Roman"/>
        </w:rPr>
        <w:t xml:space="preserve"> respondent was not to blame; when it was clear that this</w:t>
      </w:r>
      <w:r>
        <w:rPr>
          <w:rFonts w:ascii="Times New Roman" w:hAnsi="Times New Roman" w:cs="Times New Roman"/>
        </w:rPr>
        <w:t xml:space="preserve"> sale of shares agreement was a nullity in that no prior consent of all the shareholders was obtained as required by the provisions of the Articles of the Company.</w:t>
      </w:r>
    </w:p>
    <w:p w:rsidR="00CF39A7" w:rsidRDefault="00D206FE">
      <w:pPr>
        <w:spacing w:line="276" w:lineRule="auto"/>
        <w:ind w:firstLineChars="150" w:firstLine="330"/>
        <w:jc w:val="both"/>
        <w:rPr>
          <w:rFonts w:ascii="Times New Roman" w:hAnsi="Times New Roman" w:cs="Times New Roman"/>
        </w:rPr>
      </w:pPr>
      <w:r>
        <w:rPr>
          <w:rFonts w:ascii="Times New Roman" w:hAnsi="Times New Roman" w:cs="Times New Roman"/>
        </w:rPr>
        <w:t>2. The lower court grossly misdirected itself on a point of law and fact, in finding that no</w:t>
      </w:r>
      <w:r>
        <w:rPr>
          <w:rFonts w:ascii="Times New Roman" w:hAnsi="Times New Roman" w:cs="Times New Roman"/>
        </w:rPr>
        <w:t xml:space="preserve"> corrective measures were taken by the 1</w:t>
      </w:r>
      <w:r>
        <w:rPr>
          <w:rFonts w:ascii="Times New Roman" w:hAnsi="Times New Roman" w:cs="Times New Roman"/>
          <w:vertAlign w:val="superscript"/>
        </w:rPr>
        <w:t>st</w:t>
      </w:r>
      <w:r>
        <w:rPr>
          <w:rFonts w:ascii="Times New Roman" w:hAnsi="Times New Roman" w:cs="Times New Roman"/>
        </w:rPr>
        <w:t xml:space="preserve"> to 3</w:t>
      </w:r>
      <w:r>
        <w:rPr>
          <w:rFonts w:ascii="Times New Roman" w:hAnsi="Times New Roman" w:cs="Times New Roman"/>
          <w:vertAlign w:val="superscript"/>
        </w:rPr>
        <w:t>rd</w:t>
      </w:r>
      <w:r>
        <w:rPr>
          <w:rFonts w:ascii="Times New Roman" w:hAnsi="Times New Roman" w:cs="Times New Roman"/>
        </w:rPr>
        <w:t xml:space="preserve"> appellants to nullify the sale of shares agreement entered between the 1</w:t>
      </w:r>
      <w:r>
        <w:rPr>
          <w:rFonts w:ascii="Times New Roman" w:hAnsi="Times New Roman" w:cs="Times New Roman"/>
          <w:vertAlign w:val="superscript"/>
        </w:rPr>
        <w:t>st</w:t>
      </w:r>
      <w:r>
        <w:rPr>
          <w:rFonts w:ascii="Times New Roman" w:hAnsi="Times New Roman" w:cs="Times New Roman"/>
        </w:rPr>
        <w:t xml:space="preserve"> respondent and Loice Ruvimbo Takaona, when enough evidence was produced to confirm that an extra - ordinary meeting was convened by</w:t>
      </w:r>
      <w:r>
        <w:rPr>
          <w:rFonts w:ascii="Times New Roman" w:hAnsi="Times New Roman" w:cs="Times New Roman"/>
        </w:rPr>
        <w:t xml:space="preserve"> the company to pass appropriate resolutions for the cancellation of the sale of shares agreement.</w:t>
      </w:r>
    </w:p>
    <w:p w:rsidR="00CF39A7" w:rsidRDefault="00D206FE">
      <w:pPr>
        <w:spacing w:line="276" w:lineRule="auto"/>
        <w:ind w:firstLineChars="100" w:firstLine="220"/>
        <w:jc w:val="both"/>
        <w:rPr>
          <w:rFonts w:ascii="Times New Roman" w:hAnsi="Times New Roman" w:cs="Times New Roman"/>
          <w:lang w:val="en-US"/>
        </w:rPr>
      </w:pPr>
      <w:r>
        <w:rPr>
          <w:rFonts w:ascii="Times New Roman" w:hAnsi="Times New Roman" w:cs="Times New Roman"/>
        </w:rPr>
        <w:t>3.The lower court misdirected itself on a point of law in finding that there was nothing irregular in the joinder of the 1</w:t>
      </w:r>
      <w:r>
        <w:rPr>
          <w:rFonts w:ascii="Times New Roman" w:hAnsi="Times New Roman" w:cs="Times New Roman"/>
          <w:vertAlign w:val="superscript"/>
        </w:rPr>
        <w:t>st</w:t>
      </w:r>
      <w:r>
        <w:rPr>
          <w:rFonts w:ascii="Times New Roman" w:hAnsi="Times New Roman" w:cs="Times New Roman"/>
        </w:rPr>
        <w:t xml:space="preserve"> and 2</w:t>
      </w:r>
      <w:r>
        <w:rPr>
          <w:rFonts w:ascii="Times New Roman" w:hAnsi="Times New Roman" w:cs="Times New Roman"/>
          <w:vertAlign w:val="superscript"/>
        </w:rPr>
        <w:t>nd</w:t>
      </w:r>
      <w:r>
        <w:rPr>
          <w:rFonts w:ascii="Times New Roman" w:hAnsi="Times New Roman" w:cs="Times New Roman"/>
        </w:rPr>
        <w:t xml:space="preserve"> appellants in their pers</w:t>
      </w:r>
      <w:r>
        <w:rPr>
          <w:rFonts w:ascii="Times New Roman" w:hAnsi="Times New Roman" w:cs="Times New Roman"/>
        </w:rPr>
        <w:t>onal capacities when the basis of suing them in their personal capacity was not pleaded or established by the 1</w:t>
      </w:r>
      <w:r>
        <w:rPr>
          <w:rFonts w:ascii="Times New Roman" w:hAnsi="Times New Roman" w:cs="Times New Roman"/>
          <w:vertAlign w:val="superscript"/>
        </w:rPr>
        <w:t>st</w:t>
      </w:r>
      <w:r>
        <w:rPr>
          <w:rFonts w:ascii="Times New Roman" w:hAnsi="Times New Roman" w:cs="Times New Roman"/>
        </w:rPr>
        <w:t xml:space="preserve"> respondent.</w:t>
      </w:r>
      <w:r>
        <w:rPr>
          <w:rFonts w:ascii="Times New Roman" w:hAnsi="Times New Roman" w:cs="Times New Roman"/>
          <w:lang w:val="en-US"/>
        </w:rPr>
        <w:t>”</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event these grounds were to succeed, the appellants pray for the success of the appeal with costs and for the decision of </w:t>
      </w:r>
      <w:r>
        <w:rPr>
          <w:rFonts w:ascii="Times New Roman" w:hAnsi="Times New Roman" w:cs="Times New Roman"/>
          <w:sz w:val="24"/>
          <w:szCs w:val="24"/>
        </w:rPr>
        <w:t>the lower court to be set aside and substituted with the dismissal of the application with costs on a higher scale.</w:t>
      </w:r>
    </w:p>
    <w:p w:rsidR="00CF39A7" w:rsidRDefault="00D206FE">
      <w:pPr>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SUBMISSIONS BEFORE THIS COURT</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Mr</w:t>
      </w:r>
      <w:r>
        <w:rPr>
          <w:rFonts w:ascii="Times New Roman" w:hAnsi="Times New Roman" w:cs="Times New Roman"/>
          <w:i/>
          <w:iCs/>
          <w:sz w:val="24"/>
          <w:szCs w:val="24"/>
        </w:rPr>
        <w:t xml:space="preserve"> Kachere</w:t>
      </w:r>
      <w:r>
        <w:rPr>
          <w:rFonts w:ascii="Times New Roman" w:hAnsi="Times New Roman" w:cs="Times New Roman"/>
          <w:sz w:val="24"/>
          <w:szCs w:val="24"/>
        </w:rPr>
        <w:t xml:space="preserve"> for the appellants abandoned ground number 3 on mis-joinder of parties. He persisted</w:t>
      </w:r>
      <w:r>
        <w:rPr>
          <w:rFonts w:ascii="Times New Roman" w:hAnsi="Times New Roman" w:cs="Times New Roman"/>
          <w:sz w:val="24"/>
          <w:szCs w:val="24"/>
        </w:rPr>
        <w:t xml:space="preserve"> with grounds 1 and 2. </w:t>
      </w:r>
    </w:p>
    <w:p w:rsidR="00CF39A7" w:rsidRDefault="00D206F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central issue before the lower court was whether or not the agreement for the sale of shares (the agreement) between </w:t>
      </w:r>
      <w:r>
        <w:rPr>
          <w:rFonts w:ascii="Times New Roman" w:hAnsi="Times New Roman" w:cs="Times New Roman"/>
          <w:sz w:val="24"/>
          <w:szCs w:val="24"/>
        </w:rPr>
        <w:t>Mavetera</w:t>
      </w:r>
      <w:r>
        <w:rPr>
          <w:rFonts w:ascii="Times New Roman" w:hAnsi="Times New Roman" w:cs="Times New Roman"/>
          <w:sz w:val="24"/>
          <w:szCs w:val="24"/>
        </w:rPr>
        <w:t xml:space="preserve"> and </w:t>
      </w:r>
      <w:r>
        <w:rPr>
          <w:rFonts w:ascii="Times New Roman" w:hAnsi="Times New Roman" w:cs="Times New Roman"/>
          <w:sz w:val="24"/>
          <w:szCs w:val="24"/>
        </w:rPr>
        <w:t>Takaona</w:t>
      </w:r>
      <w:r>
        <w:rPr>
          <w:rFonts w:ascii="Times New Roman" w:hAnsi="Times New Roman" w:cs="Times New Roman"/>
          <w:sz w:val="24"/>
          <w:szCs w:val="24"/>
        </w:rPr>
        <w:t xml:space="preserve"> was valid. The onus was on </w:t>
      </w:r>
      <w:r>
        <w:rPr>
          <w:rFonts w:ascii="Times New Roman" w:hAnsi="Times New Roman" w:cs="Times New Roman"/>
          <w:sz w:val="24"/>
          <w:szCs w:val="24"/>
        </w:rPr>
        <w:t>Matevere</w:t>
      </w:r>
      <w:r>
        <w:rPr>
          <w:rFonts w:ascii="Times New Roman" w:hAnsi="Times New Roman" w:cs="Times New Roman"/>
          <w:sz w:val="24"/>
          <w:szCs w:val="24"/>
        </w:rPr>
        <w:t xml:space="preserve"> to prove on a balance of probabilities that the agreement was valid. The court ruled in his favour and this court has a duty to look at the lower court’s findings and reasons in support, </w:t>
      </w:r>
      <w:r>
        <w:rPr>
          <w:rFonts w:ascii="Times New Roman" w:hAnsi="Times New Roman" w:cs="Times New Roman"/>
          <w:i/>
          <w:sz w:val="24"/>
          <w:szCs w:val="24"/>
        </w:rPr>
        <w:t>visa-vis</w:t>
      </w:r>
      <w:r>
        <w:rPr>
          <w:rFonts w:ascii="Times New Roman" w:hAnsi="Times New Roman" w:cs="Times New Roman"/>
          <w:sz w:val="24"/>
          <w:szCs w:val="24"/>
        </w:rPr>
        <w:t xml:space="preserve"> the grounds of appeal challenging the findings.</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Kachere</w:t>
      </w:r>
      <w:r>
        <w:rPr>
          <w:rFonts w:ascii="Times New Roman" w:hAnsi="Times New Roman" w:cs="Times New Roman"/>
          <w:sz w:val="24"/>
          <w:szCs w:val="24"/>
        </w:rPr>
        <w:t xml:space="preserve"> </w:t>
      </w:r>
      <w:r>
        <w:rPr>
          <w:rFonts w:ascii="Times New Roman" w:hAnsi="Times New Roman" w:cs="Times New Roman"/>
          <w:sz w:val="24"/>
          <w:szCs w:val="24"/>
        </w:rPr>
        <w:t>argued that the agreement was a nullity and for that reason the application for rectification ought to have failed.  For this stance, he referred to the evidence which he said was placed before the lower court.  Reference was made to the articles of associ</w:t>
      </w:r>
      <w:r>
        <w:rPr>
          <w:rFonts w:ascii="Times New Roman" w:hAnsi="Times New Roman" w:cs="Times New Roman"/>
          <w:sz w:val="24"/>
          <w:szCs w:val="24"/>
        </w:rPr>
        <w:t>ation to support the argument that prior consent by the other shareholders was required. Counsel was at pain to demonstrate a clear provision which required prior written consent by the other shareholders before one could sale one’s shares. He kept on wond</w:t>
      </w:r>
      <w:r>
        <w:rPr>
          <w:rFonts w:ascii="Times New Roman" w:hAnsi="Times New Roman" w:cs="Times New Roman"/>
          <w:sz w:val="24"/>
          <w:szCs w:val="24"/>
        </w:rPr>
        <w:t xml:space="preserve">ering from one clause to the other. In particular, he referred the court to clauses 4 (a) and 4 (b). When he realised their inadequacy, he jumped to clause 3 (b) which too could not clothe him with the comfort he wanted.  He ended up throwing the court to </w:t>
      </w:r>
      <w:r>
        <w:rPr>
          <w:rFonts w:ascii="Times New Roman" w:hAnsi="Times New Roman" w:cs="Times New Roman"/>
          <w:sz w:val="24"/>
          <w:szCs w:val="24"/>
        </w:rPr>
        <w:t>the generality of clauses 3 (b) to 3 (h). In the end, we were not persuaded with this erratic search for evidence to support his line of argument.</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despite such failure, the fact of the matter remains that it is not disputed that prior consent was </w:t>
      </w:r>
      <w:r>
        <w:rPr>
          <w:rFonts w:ascii="Times New Roman" w:hAnsi="Times New Roman" w:cs="Times New Roman"/>
          <w:sz w:val="24"/>
          <w:szCs w:val="24"/>
        </w:rPr>
        <w:t xml:space="preserve">a requirement for the validity of the agreement. This position is common to the parties and cannot otherwise, for the first time, be raised and argued in this court as was raised by Mr </w:t>
      </w:r>
      <w:r>
        <w:rPr>
          <w:rFonts w:ascii="Times New Roman" w:hAnsi="Times New Roman" w:cs="Times New Roman"/>
          <w:i/>
          <w:iCs/>
          <w:sz w:val="24"/>
          <w:szCs w:val="24"/>
        </w:rPr>
        <w:t>Mutima</w:t>
      </w:r>
      <w:r>
        <w:rPr>
          <w:rFonts w:ascii="Times New Roman" w:hAnsi="Times New Roman" w:cs="Times New Roman"/>
          <w:sz w:val="24"/>
          <w:szCs w:val="24"/>
        </w:rPr>
        <w:t>.</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Pr>
          <w:rFonts w:ascii="Times New Roman" w:hAnsi="Times New Roman" w:cs="Times New Roman"/>
          <w:i/>
          <w:iCs/>
          <w:sz w:val="24"/>
          <w:szCs w:val="24"/>
        </w:rPr>
        <w:t>Muparutsa</w:t>
      </w:r>
      <w:r>
        <w:rPr>
          <w:rFonts w:ascii="Times New Roman" w:hAnsi="Times New Roman" w:cs="Times New Roman"/>
          <w:sz w:val="24"/>
          <w:szCs w:val="24"/>
        </w:rPr>
        <w:t xml:space="preserve"> v</w:t>
      </w:r>
      <w:r>
        <w:rPr>
          <w:rFonts w:ascii="Times New Roman" w:hAnsi="Times New Roman" w:cs="Times New Roman"/>
          <w:sz w:val="24"/>
          <w:szCs w:val="24"/>
        </w:rPr>
        <w:t xml:space="preserve"> </w:t>
      </w:r>
      <w:r>
        <w:rPr>
          <w:rFonts w:ascii="Times New Roman" w:hAnsi="Times New Roman" w:cs="Times New Roman"/>
          <w:i/>
          <w:iCs/>
          <w:sz w:val="24"/>
          <w:szCs w:val="24"/>
        </w:rPr>
        <w:t>Muparutsa</w:t>
      </w:r>
      <w:r>
        <w:rPr>
          <w:rFonts w:ascii="Times New Roman" w:hAnsi="Times New Roman" w:cs="Times New Roman"/>
          <w:sz w:val="24"/>
          <w:szCs w:val="24"/>
        </w:rPr>
        <w:t xml:space="preserve"> &amp; Ors HH 688/16 relied upon b</w:t>
      </w:r>
      <w:r>
        <w:rPr>
          <w:rFonts w:ascii="Times New Roman" w:hAnsi="Times New Roman" w:cs="Times New Roman"/>
          <w:sz w:val="24"/>
          <w:szCs w:val="24"/>
        </w:rPr>
        <w:t>y Mr</w:t>
      </w:r>
      <w:r>
        <w:rPr>
          <w:rFonts w:ascii="Times New Roman" w:hAnsi="Times New Roman" w:cs="Times New Roman"/>
          <w:i/>
          <w:iCs/>
          <w:sz w:val="24"/>
          <w:szCs w:val="24"/>
        </w:rPr>
        <w:t xml:space="preserve"> Kachere</w:t>
      </w:r>
      <w:r>
        <w:rPr>
          <w:rFonts w:ascii="Times New Roman" w:hAnsi="Times New Roman" w:cs="Times New Roman"/>
          <w:sz w:val="24"/>
          <w:szCs w:val="24"/>
        </w:rPr>
        <w:t xml:space="preserve"> supports the undisputed fact that rectification is preceded by title to be on the register. It is this title which the lower court ruled in favour of </w:t>
      </w:r>
      <w:r>
        <w:rPr>
          <w:rFonts w:ascii="Times New Roman" w:hAnsi="Times New Roman" w:cs="Times New Roman"/>
          <w:sz w:val="24"/>
          <w:szCs w:val="24"/>
        </w:rPr>
        <w:t>Mavetera</w:t>
      </w:r>
      <w:r>
        <w:rPr>
          <w:rFonts w:ascii="Times New Roman" w:hAnsi="Times New Roman" w:cs="Times New Roman"/>
          <w:sz w:val="24"/>
          <w:szCs w:val="24"/>
        </w:rPr>
        <w:t>, which has become subject of this appeal.</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Kachere</w:t>
      </w:r>
      <w:r>
        <w:rPr>
          <w:rFonts w:ascii="Times New Roman" w:hAnsi="Times New Roman" w:cs="Times New Roman"/>
          <w:sz w:val="24"/>
          <w:szCs w:val="24"/>
        </w:rPr>
        <w:t xml:space="preserve"> said the lower court misdirected itself by the failure to decide on the legality of the agreement or otherwise. We do not think so, because the mere fact that the court granted the application means it found that the agreement was valid. It is the reasons</w:t>
      </w:r>
      <w:r>
        <w:rPr>
          <w:rFonts w:ascii="Times New Roman" w:hAnsi="Times New Roman" w:cs="Times New Roman"/>
          <w:sz w:val="24"/>
          <w:szCs w:val="24"/>
        </w:rPr>
        <w:t xml:space="preserve"> behind this finding which is either right or wrong. If it is found to be right, then the court’s decision will be confirmed and if it is wrong, it vitiates the decision.</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Kachere</w:t>
      </w:r>
      <w:r>
        <w:rPr>
          <w:rFonts w:ascii="Times New Roman" w:hAnsi="Times New Roman" w:cs="Times New Roman"/>
          <w:sz w:val="24"/>
          <w:szCs w:val="24"/>
        </w:rPr>
        <w:t xml:space="preserve"> argued that the finding was wrong and he referred us to the judgment. We w</w:t>
      </w:r>
      <w:r>
        <w:rPr>
          <w:rFonts w:ascii="Times New Roman" w:hAnsi="Times New Roman" w:cs="Times New Roman"/>
          <w:sz w:val="24"/>
          <w:szCs w:val="24"/>
        </w:rPr>
        <w:t>ill come back to his analysis later.</w:t>
      </w:r>
    </w:p>
    <w:p w:rsidR="00CF39A7" w:rsidRDefault="00D206FE">
      <w:pPr>
        <w:spacing w:line="360" w:lineRule="auto"/>
        <w:ind w:firstLine="720"/>
        <w:jc w:val="both"/>
        <w:rPr>
          <w:rFonts w:ascii="Times New Roman" w:hAnsi="Times New Roman" w:cs="Times New Roman"/>
        </w:rPr>
      </w:pPr>
      <w:r>
        <w:rPr>
          <w:rFonts w:ascii="Times New Roman" w:hAnsi="Times New Roman" w:cs="Times New Roman"/>
          <w:sz w:val="24"/>
          <w:szCs w:val="24"/>
        </w:rPr>
        <w:lastRenderedPageBreak/>
        <w:t xml:space="preserve">Mr </w:t>
      </w:r>
      <w:r>
        <w:rPr>
          <w:rFonts w:ascii="Times New Roman" w:hAnsi="Times New Roman" w:cs="Times New Roman"/>
          <w:i/>
          <w:iCs/>
          <w:sz w:val="24"/>
          <w:szCs w:val="24"/>
        </w:rPr>
        <w:t>Mutima</w:t>
      </w:r>
      <w:r>
        <w:rPr>
          <w:rFonts w:ascii="Times New Roman" w:hAnsi="Times New Roman" w:cs="Times New Roman"/>
          <w:sz w:val="24"/>
          <w:szCs w:val="24"/>
        </w:rPr>
        <w:t xml:space="preserve"> defended the judgment of the lower court. He started with reference to the evidence of Takaona which he said was uncontroverted and as such should be taken as the truth. In this regard he relied on </w:t>
      </w:r>
      <w:r>
        <w:rPr>
          <w:rStyle w:val="Emphasis"/>
          <w:rFonts w:ascii="Times New Roman" w:hAnsi="Times New Roman" w:cs="Times New Roman"/>
          <w:bCs/>
          <w:color w:val="5F6368"/>
          <w:shd w:val="clear" w:color="auto" w:fill="FFFFFF"/>
        </w:rPr>
        <w:t>Fawcett Sec</w:t>
      </w:r>
      <w:r>
        <w:rPr>
          <w:rStyle w:val="Emphasis"/>
          <w:rFonts w:ascii="Times New Roman" w:hAnsi="Times New Roman" w:cs="Times New Roman"/>
          <w:bCs/>
          <w:color w:val="5F6368"/>
          <w:shd w:val="clear" w:color="auto" w:fill="FFFFFF"/>
        </w:rPr>
        <w:t>urity</w:t>
      </w:r>
      <w:r>
        <w:rPr>
          <w:rFonts w:ascii="Times New Roman" w:hAnsi="Times New Roman" w:cs="Times New Roman"/>
          <w:i/>
          <w:iCs/>
          <w:color w:val="4D5156"/>
          <w:shd w:val="clear" w:color="auto" w:fill="FFFFFF"/>
        </w:rPr>
        <w:t> Operations</w:t>
      </w:r>
      <w:r>
        <w:rPr>
          <w:rFonts w:ascii="Arial" w:hAnsi="Arial" w:cs="Arial"/>
          <w:color w:val="4D5156"/>
          <w:shd w:val="clear" w:color="auto" w:fill="FFFFFF"/>
        </w:rPr>
        <w:t> </w:t>
      </w:r>
      <w:r>
        <w:rPr>
          <w:rStyle w:val="Emphasis"/>
          <w:rFonts w:ascii="Times New Roman" w:hAnsi="Times New Roman" w:cs="Times New Roman"/>
          <w:b/>
          <w:bCs/>
          <w:i w:val="0"/>
          <w:iCs w:val="0"/>
          <w:color w:val="5F6368"/>
          <w:shd w:val="clear" w:color="auto" w:fill="FFFFFF"/>
        </w:rPr>
        <w:t>v</w:t>
      </w:r>
      <w:r>
        <w:rPr>
          <w:rFonts w:ascii="Times New Roman" w:hAnsi="Times New Roman" w:cs="Times New Roman"/>
          <w:color w:val="4D5156"/>
          <w:shd w:val="clear" w:color="auto" w:fill="FFFFFF"/>
        </w:rPr>
        <w:t> </w:t>
      </w:r>
      <w:r>
        <w:rPr>
          <w:rFonts w:ascii="Times New Roman" w:hAnsi="Times New Roman" w:cs="Times New Roman"/>
          <w:i/>
          <w:iCs/>
          <w:color w:val="4D5156"/>
          <w:shd w:val="clear" w:color="auto" w:fill="FFFFFF"/>
        </w:rPr>
        <w:t>Director of Customs</w:t>
      </w:r>
      <w:r>
        <w:rPr>
          <w:rFonts w:ascii="Times New Roman" w:hAnsi="Times New Roman" w:cs="Times New Roman"/>
          <w:color w:val="4D5156"/>
          <w:shd w:val="clear" w:color="auto" w:fill="FFFFFF"/>
        </w:rPr>
        <w:t xml:space="preserve"> </w:t>
      </w:r>
      <w:r>
        <w:rPr>
          <w:rFonts w:ascii="Times New Roman" w:hAnsi="Times New Roman" w:cs="Times New Roman"/>
          <w:i/>
          <w:iCs/>
          <w:color w:val="4D5156"/>
          <w:shd w:val="clear" w:color="auto" w:fill="FFFFFF"/>
        </w:rPr>
        <w:t>and Ex</w:t>
      </w:r>
      <w:r>
        <w:rPr>
          <w:rFonts w:ascii="Times New Roman" w:hAnsi="Times New Roman" w:cs="Times New Roman"/>
          <w:i/>
          <w:iCs/>
          <w:color w:val="4D5156"/>
          <w:shd w:val="clear" w:color="auto" w:fill="FFFFFF"/>
          <w:lang w:val="en-US"/>
        </w:rPr>
        <w:t>er</w:t>
      </w:r>
      <w:r>
        <w:rPr>
          <w:rFonts w:ascii="Times New Roman" w:hAnsi="Times New Roman" w:cs="Times New Roman"/>
          <w:i/>
          <w:iCs/>
          <w:color w:val="4D5156"/>
          <w:shd w:val="clear" w:color="auto" w:fill="FFFFFF"/>
        </w:rPr>
        <w:t>cise</w:t>
      </w:r>
      <w:r>
        <w:rPr>
          <w:rFonts w:ascii="Times New Roman" w:hAnsi="Times New Roman" w:cs="Times New Roman"/>
          <w:color w:val="4D5156"/>
          <w:shd w:val="clear" w:color="auto" w:fill="FFFFFF"/>
        </w:rPr>
        <w:t> </w:t>
      </w:r>
      <w:r>
        <w:rPr>
          <w:rStyle w:val="Emphasis"/>
          <w:rFonts w:ascii="Times New Roman" w:hAnsi="Times New Roman" w:cs="Times New Roman"/>
          <w:bCs/>
          <w:i w:val="0"/>
          <w:iCs w:val="0"/>
          <w:color w:val="5F6368"/>
          <w:shd w:val="clear" w:color="auto" w:fill="FFFFFF"/>
        </w:rPr>
        <w:t>1993</w:t>
      </w:r>
      <w:r>
        <w:rPr>
          <w:rFonts w:ascii="Times New Roman" w:hAnsi="Times New Roman" w:cs="Times New Roman"/>
          <w:color w:val="4D5156"/>
          <w:shd w:val="clear" w:color="auto" w:fill="FFFFFF"/>
        </w:rPr>
        <w:t> (</w:t>
      </w:r>
      <w:r>
        <w:rPr>
          <w:rStyle w:val="Emphasis"/>
          <w:rFonts w:ascii="Times New Roman" w:hAnsi="Times New Roman" w:cs="Times New Roman"/>
          <w:bCs/>
          <w:i w:val="0"/>
          <w:iCs w:val="0"/>
          <w:color w:val="5F6368"/>
          <w:shd w:val="clear" w:color="auto" w:fill="FFFFFF"/>
        </w:rPr>
        <w:t>2</w:t>
      </w:r>
      <w:r>
        <w:rPr>
          <w:rFonts w:ascii="Times New Roman" w:hAnsi="Times New Roman" w:cs="Times New Roman"/>
          <w:color w:val="4D5156"/>
          <w:shd w:val="clear" w:color="auto" w:fill="FFFFFF"/>
        </w:rPr>
        <w:t>) </w:t>
      </w:r>
      <w:r>
        <w:rPr>
          <w:rStyle w:val="Emphasis"/>
          <w:rFonts w:ascii="Times New Roman" w:hAnsi="Times New Roman" w:cs="Times New Roman"/>
          <w:bCs/>
          <w:i w:val="0"/>
          <w:iCs w:val="0"/>
          <w:color w:val="5F6368"/>
          <w:shd w:val="clear" w:color="auto" w:fill="FFFFFF"/>
        </w:rPr>
        <w:t>ZLR 121</w:t>
      </w:r>
      <w:r>
        <w:rPr>
          <w:rFonts w:ascii="Times New Roman" w:hAnsi="Times New Roman" w:cs="Times New Roman"/>
          <w:color w:val="4D5156"/>
          <w:shd w:val="clear" w:color="auto" w:fill="FFFFFF"/>
        </w:rPr>
        <w:t> (SC)</w:t>
      </w:r>
      <w:r>
        <w:rPr>
          <w:rFonts w:ascii="Times New Roman" w:hAnsi="Times New Roman" w:cs="Times New Roman"/>
        </w:rPr>
        <w:t>.</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Mutima</w:t>
      </w:r>
      <w:r>
        <w:rPr>
          <w:rFonts w:ascii="Times New Roman" w:hAnsi="Times New Roman" w:cs="Times New Roman"/>
          <w:sz w:val="24"/>
          <w:szCs w:val="24"/>
        </w:rPr>
        <w:t xml:space="preserve"> also referred the court to the consent by the shareholders who include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He argued such consent was not withdrawn though signed after the signing of the agreement. Although Mr </w:t>
      </w:r>
      <w:r>
        <w:rPr>
          <w:rFonts w:ascii="Times New Roman" w:hAnsi="Times New Roman" w:cs="Times New Roman"/>
          <w:i/>
          <w:iCs/>
          <w:sz w:val="24"/>
          <w:szCs w:val="24"/>
        </w:rPr>
        <w:t>Kachere</w:t>
      </w:r>
      <w:r>
        <w:rPr>
          <w:rFonts w:ascii="Times New Roman" w:hAnsi="Times New Roman" w:cs="Times New Roman"/>
          <w:sz w:val="24"/>
          <w:szCs w:val="24"/>
        </w:rPr>
        <w:t xml:space="preserve"> said these were not the only shareholders but such were not before the court neither were their evidence placed before the court a q</w:t>
      </w:r>
      <w:r>
        <w:rPr>
          <w:rFonts w:ascii="Times New Roman" w:hAnsi="Times New Roman" w:cs="Times New Roman"/>
          <w:sz w:val="24"/>
          <w:szCs w:val="24"/>
        </w:rPr>
        <w:t xml:space="preserve">uo. </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Mutima</w:t>
      </w:r>
      <w:r>
        <w:rPr>
          <w:rFonts w:ascii="Times New Roman" w:hAnsi="Times New Roman" w:cs="Times New Roman"/>
          <w:sz w:val="24"/>
          <w:szCs w:val="24"/>
        </w:rPr>
        <w:t xml:space="preserve"> further argued that the agreement between Takaona and Mavetera was voidable and was ratified by the written consent of the directors. This, together with the unchallenged averments by Takaona, justified the lower court to make a finding that</w:t>
      </w:r>
      <w:r>
        <w:rPr>
          <w:rFonts w:ascii="Times New Roman" w:hAnsi="Times New Roman" w:cs="Times New Roman"/>
          <w:sz w:val="24"/>
          <w:szCs w:val="24"/>
        </w:rPr>
        <w:t xml:space="preserve"> the agreement was valid, he further reasoned.</w:t>
      </w:r>
    </w:p>
    <w:p w:rsidR="00CF39A7" w:rsidRDefault="00D206F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While in the written heads the respondent raised the application of the Tanquard rule, it was never pursued with.</w:t>
      </w:r>
    </w:p>
    <w:p w:rsidR="00CF39A7" w:rsidRDefault="00D206FE">
      <w:pPr>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THE LAW</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an appellate court will not interfere with the decision of the trial c</w:t>
      </w:r>
      <w:r>
        <w:rPr>
          <w:rFonts w:ascii="Times New Roman" w:hAnsi="Times New Roman" w:cs="Times New Roman"/>
          <w:sz w:val="24"/>
          <w:szCs w:val="24"/>
        </w:rPr>
        <w:t>ourt based purely on a finding of fact, unless it is satisfied that, having regard to the evidence placed before the trial court, the finding complained of is so outrageous in its defiance of logic or of accepted moral standards that no sensible person who</w:t>
      </w:r>
      <w:r>
        <w:rPr>
          <w:rFonts w:ascii="Times New Roman" w:hAnsi="Times New Roman" w:cs="Times New Roman"/>
          <w:sz w:val="24"/>
          <w:szCs w:val="24"/>
        </w:rPr>
        <w:t xml:space="preserve"> had applied his/her mind to the question to be decided could have arrived at such a conclusion. See </w:t>
      </w:r>
      <w:r>
        <w:rPr>
          <w:rFonts w:ascii="Times New Roman" w:hAnsi="Times New Roman" w:cs="Times New Roman"/>
          <w:i/>
          <w:iCs/>
          <w:sz w:val="24"/>
          <w:szCs w:val="24"/>
        </w:rPr>
        <w:t>PF ZAPU</w:t>
      </w:r>
      <w:r>
        <w:rPr>
          <w:rFonts w:ascii="Times New Roman" w:hAnsi="Times New Roman" w:cs="Times New Roman"/>
          <w:sz w:val="24"/>
          <w:szCs w:val="24"/>
        </w:rPr>
        <w:t xml:space="preserve"> v </w:t>
      </w:r>
      <w:r>
        <w:rPr>
          <w:rFonts w:ascii="Times New Roman" w:hAnsi="Times New Roman" w:cs="Times New Roman"/>
          <w:i/>
          <w:iCs/>
          <w:sz w:val="24"/>
          <w:szCs w:val="24"/>
        </w:rPr>
        <w:t>Minister of Justice and Parliamentary Affairs</w:t>
      </w:r>
      <w:r>
        <w:rPr>
          <w:rFonts w:ascii="Times New Roman" w:hAnsi="Times New Roman" w:cs="Times New Roman"/>
          <w:sz w:val="24"/>
          <w:szCs w:val="24"/>
        </w:rPr>
        <w:t>, 1985 (1) ZLR 305 (S).</w:t>
      </w:r>
    </w:p>
    <w:p w:rsidR="00CF39A7" w:rsidRDefault="00D206FE">
      <w:pPr>
        <w:spacing w:line="360" w:lineRule="auto"/>
        <w:jc w:val="both"/>
        <w:rPr>
          <w:rFonts w:ascii="Times New Roman" w:hAnsi="Times New Roman" w:cs="Times New Roman"/>
          <w:sz w:val="24"/>
          <w:szCs w:val="24"/>
        </w:rPr>
      </w:pPr>
      <w:r>
        <w:rPr>
          <w:rFonts w:ascii="Times New Roman" w:hAnsi="Times New Roman" w:cs="Times New Roman"/>
          <w:sz w:val="24"/>
          <w:szCs w:val="24"/>
        </w:rPr>
        <w:t>The test is not whether the appellate court could have come to a different c</w:t>
      </w:r>
      <w:r>
        <w:rPr>
          <w:rFonts w:ascii="Times New Roman" w:hAnsi="Times New Roman" w:cs="Times New Roman"/>
          <w:sz w:val="24"/>
          <w:szCs w:val="24"/>
        </w:rPr>
        <w:t xml:space="preserve">onclusion, but rather whether there was a misdirection on the part of the trial court. In </w:t>
      </w:r>
      <w:r>
        <w:rPr>
          <w:rFonts w:ascii="Times New Roman" w:hAnsi="Times New Roman" w:cs="Times New Roman"/>
          <w:i/>
          <w:sz w:val="24"/>
          <w:szCs w:val="24"/>
        </w:rPr>
        <w:t xml:space="preserve">Barros &amp; Anor </w:t>
      </w:r>
      <w:r>
        <w:rPr>
          <w:rFonts w:ascii="Times New Roman" w:hAnsi="Times New Roman" w:cs="Times New Roman"/>
          <w:iCs/>
          <w:sz w:val="24"/>
          <w:szCs w:val="24"/>
        </w:rPr>
        <w:t>v</w:t>
      </w:r>
      <w:r>
        <w:rPr>
          <w:rFonts w:ascii="Times New Roman" w:hAnsi="Times New Roman" w:cs="Times New Roman"/>
          <w:i/>
          <w:sz w:val="24"/>
          <w:szCs w:val="24"/>
        </w:rPr>
        <w:t xml:space="preserve"> Chimphonda</w:t>
      </w:r>
      <w:r>
        <w:rPr>
          <w:rFonts w:ascii="Times New Roman" w:hAnsi="Times New Roman" w:cs="Times New Roman"/>
          <w:sz w:val="24"/>
          <w:szCs w:val="24"/>
        </w:rPr>
        <w:t xml:space="preserve"> 1999(1) ZLR 58(S) GUBBAY CJ at 62G-63A said:</w:t>
      </w:r>
    </w:p>
    <w:p w:rsidR="00CF39A7" w:rsidRDefault="00D206FE">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It is not enough that the appellate court considers that if it had been in the position of t</w:t>
      </w:r>
      <w:r>
        <w:rPr>
          <w:rFonts w:ascii="Times New Roman" w:hAnsi="Times New Roman" w:cs="Times New Roman"/>
          <w:sz w:val="24"/>
          <w:szCs w:val="24"/>
        </w:rPr>
        <w:t xml:space="preserve">he primary court it would have taken a different course.  It must appear that some error has been made in exercising the discretion.  If the primary court acts upon a wrong principle, if it allows extraneous or irrelevant matters to guide or affect it, if </w:t>
      </w:r>
      <w:r>
        <w:rPr>
          <w:rFonts w:ascii="Times New Roman" w:hAnsi="Times New Roman" w:cs="Times New Roman"/>
          <w:sz w:val="24"/>
          <w:szCs w:val="24"/>
        </w:rPr>
        <w:t>it mistakes the facts, if it does not take into account some relevant consideration, then its determination should be reviewed and the appellate court may exercise its own discretion in substitution provided always it has the materials for so doing.  In sh</w:t>
      </w:r>
      <w:r>
        <w:rPr>
          <w:rFonts w:ascii="Times New Roman" w:hAnsi="Times New Roman" w:cs="Times New Roman"/>
          <w:sz w:val="24"/>
          <w:szCs w:val="24"/>
        </w:rPr>
        <w:t>ort, this Court is not imbued with the same broad discretion as was enjoyed by the trial court.”</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other words, it is not permissible for this court to interfere with the discretionary power vested in the court a quo to grant the application as it did, un</w:t>
      </w:r>
      <w:r>
        <w:rPr>
          <w:rFonts w:ascii="Times New Roman" w:hAnsi="Times New Roman" w:cs="Times New Roman"/>
          <w:sz w:val="24"/>
          <w:szCs w:val="24"/>
        </w:rPr>
        <w:t>less it is shown that it had committed such an irregularity or misdirection, or exercised its discretion so unreasonably or improperly, as to vitiate its decision.</w:t>
      </w:r>
    </w:p>
    <w:p w:rsidR="00CF39A7" w:rsidRDefault="00CF39A7">
      <w:pPr>
        <w:spacing w:line="276" w:lineRule="auto"/>
        <w:jc w:val="both"/>
        <w:rPr>
          <w:rFonts w:ascii="Times New Roman" w:hAnsi="Times New Roman" w:cs="Times New Roman"/>
          <w:sz w:val="24"/>
          <w:szCs w:val="24"/>
        </w:rPr>
      </w:pPr>
    </w:p>
    <w:p w:rsidR="00CF39A7" w:rsidRDefault="00D206FE">
      <w:pPr>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ANALYSIS</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was the lower court’s reasons for saying the agreement was valid? Mr </w:t>
      </w:r>
      <w:r>
        <w:rPr>
          <w:rFonts w:ascii="Times New Roman" w:hAnsi="Times New Roman" w:cs="Times New Roman"/>
          <w:i/>
          <w:iCs/>
          <w:sz w:val="24"/>
          <w:szCs w:val="24"/>
        </w:rPr>
        <w:t xml:space="preserve">Kachere </w:t>
      </w:r>
      <w:r>
        <w:rPr>
          <w:rFonts w:ascii="Times New Roman" w:hAnsi="Times New Roman" w:cs="Times New Roman"/>
          <w:sz w:val="24"/>
          <w:szCs w:val="24"/>
        </w:rPr>
        <w:t>was selective in his attack of the judgment. He picked the portion which said even if the agreement was a nullity it cannot be blamed on the applicant. One needs to read the judgment as a whole to extract what were the influencing factors to the conclusion</w:t>
      </w:r>
      <w:r>
        <w:rPr>
          <w:rFonts w:ascii="Times New Roman" w:hAnsi="Times New Roman" w:cs="Times New Roman"/>
          <w:sz w:val="24"/>
          <w:szCs w:val="24"/>
        </w:rPr>
        <w:t xml:space="preserve">. </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close reading of the judgment will show that it is the uncontroverted evidence of Takaona, the consent document and the events which took place after the agreement was signed which led to the conclusion that the agreement was valid.</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apparent fro</w:t>
      </w:r>
      <w:r>
        <w:rPr>
          <w:rFonts w:ascii="Times New Roman" w:hAnsi="Times New Roman" w:cs="Times New Roman"/>
          <w:sz w:val="24"/>
          <w:szCs w:val="24"/>
        </w:rPr>
        <w:t>m the judgment that the court accepted the evidence of Takaona as the truth in that, she sold her shares after the approval of the other shareholders and even thereafter introduced Mavetera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who were also signatories to the con</w:t>
      </w:r>
      <w:r>
        <w:rPr>
          <w:rFonts w:ascii="Times New Roman" w:hAnsi="Times New Roman" w:cs="Times New Roman"/>
          <w:sz w:val="24"/>
          <w:szCs w:val="24"/>
        </w:rPr>
        <w:t>sent document. Thereafter, Mavetera had attended some of the board meetings before he was segregated.</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find no merit in the first ground in attacking the discretion of the court in its findings.</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is a non-event. The mere fact t</w:t>
      </w:r>
      <w:r>
        <w:rPr>
          <w:rFonts w:ascii="Times New Roman" w:hAnsi="Times New Roman" w:cs="Times New Roman"/>
          <w:sz w:val="24"/>
          <w:szCs w:val="24"/>
        </w:rPr>
        <w:t>hat the appellants say they took action, that on its own is no proof that the agreement was a nullity. There is contrary evidence by Takaona. She introduced Mavetera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appellants in two meetings and the appellants did not protest.  Masaka</w:t>
      </w:r>
      <w:r>
        <w:rPr>
          <w:rFonts w:ascii="Times New Roman" w:hAnsi="Times New Roman" w:cs="Times New Roman"/>
          <w:sz w:val="24"/>
          <w:szCs w:val="24"/>
        </w:rPr>
        <w:t xml:space="preserve"> was even appointed to the position of managing director which position Takaona held before she left. Why would they replace her if they still considered her part of the establishment? </w:t>
      </w:r>
      <w:r>
        <w:rPr>
          <w:rFonts w:ascii="Times New Roman" w:hAnsi="Times New Roman" w:cs="Times New Roman"/>
          <w:sz w:val="24"/>
          <w:szCs w:val="24"/>
        </w:rPr>
        <w:t>Mavetera</w:t>
      </w:r>
      <w:r>
        <w:rPr>
          <w:rFonts w:ascii="Times New Roman" w:hAnsi="Times New Roman" w:cs="Times New Roman"/>
          <w:sz w:val="24"/>
          <w:szCs w:val="24"/>
        </w:rPr>
        <w:t xml:space="preserve"> attended some of the board meetings. Appellants signed a consent document. The conduct of the appellants constitute ratification of the agreement. For them to say at the eleventh hour that the agreement was a nullity, it can only be classified as an after</w:t>
      </w:r>
      <w:r>
        <w:rPr>
          <w:rFonts w:ascii="Times New Roman" w:hAnsi="Times New Roman" w:cs="Times New Roman"/>
          <w:sz w:val="24"/>
          <w:szCs w:val="24"/>
        </w:rPr>
        <w:t xml:space="preserve">thought. </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find no fault with the factual findings of the court a quo. We see no point to disturb the lower court’s decision. The appeal has no merit and must fail.</w:t>
      </w:r>
    </w:p>
    <w:p w:rsidR="00CF39A7" w:rsidRDefault="00D206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costs asked for by the respondent on a higher scale has no justification.</w:t>
      </w:r>
    </w:p>
    <w:p w:rsidR="00CF39A7" w:rsidRDefault="00CF39A7">
      <w:pPr>
        <w:spacing w:line="276" w:lineRule="auto"/>
        <w:jc w:val="both"/>
        <w:rPr>
          <w:rFonts w:ascii="Times New Roman" w:hAnsi="Times New Roman" w:cs="Times New Roman"/>
          <w:sz w:val="24"/>
          <w:szCs w:val="24"/>
        </w:rPr>
      </w:pPr>
    </w:p>
    <w:p w:rsidR="00CF39A7" w:rsidRDefault="00D206FE">
      <w:pPr>
        <w:spacing w:line="276"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DISPOSITIO</w:t>
      </w:r>
      <w:r>
        <w:rPr>
          <w:rFonts w:ascii="Times New Roman" w:hAnsi="Times New Roman" w:cs="Times New Roman"/>
          <w:b/>
          <w:bCs/>
          <w:sz w:val="24"/>
          <w:szCs w:val="24"/>
        </w:rPr>
        <w:t>N</w:t>
      </w:r>
    </w:p>
    <w:p w:rsidR="00CF39A7" w:rsidRDefault="00D206F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w:t>
      </w:r>
    </w:p>
    <w:p w:rsidR="00CF39A7" w:rsidRDefault="00CF39A7">
      <w:pPr>
        <w:spacing w:line="276" w:lineRule="auto"/>
        <w:jc w:val="both"/>
        <w:rPr>
          <w:rFonts w:ascii="Times New Roman" w:hAnsi="Times New Roman" w:cs="Times New Roman"/>
          <w:sz w:val="24"/>
          <w:szCs w:val="24"/>
        </w:rPr>
      </w:pPr>
    </w:p>
    <w:p w:rsidR="00CF39A7" w:rsidRDefault="00CF39A7">
      <w:pPr>
        <w:spacing w:line="276" w:lineRule="auto"/>
        <w:jc w:val="both"/>
        <w:rPr>
          <w:rFonts w:ascii="Times New Roman" w:hAnsi="Times New Roman" w:cs="Times New Roman"/>
          <w:sz w:val="24"/>
          <w:szCs w:val="24"/>
        </w:rPr>
      </w:pPr>
    </w:p>
    <w:p w:rsidR="00CF39A7" w:rsidRDefault="00D206F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CHILIMBE J ……………………………..agrees</w:t>
      </w:r>
    </w:p>
    <w:p w:rsidR="00CF39A7" w:rsidRDefault="00CF39A7">
      <w:pPr>
        <w:spacing w:line="276" w:lineRule="auto"/>
        <w:jc w:val="both"/>
        <w:rPr>
          <w:rFonts w:ascii="Times New Roman" w:hAnsi="Times New Roman" w:cs="Times New Roman"/>
          <w:sz w:val="24"/>
          <w:szCs w:val="24"/>
        </w:rPr>
      </w:pPr>
    </w:p>
    <w:p w:rsidR="00CF39A7" w:rsidRDefault="00CF39A7">
      <w:pPr>
        <w:spacing w:line="276" w:lineRule="auto"/>
        <w:jc w:val="both"/>
        <w:rPr>
          <w:rFonts w:ascii="Times New Roman" w:hAnsi="Times New Roman" w:cs="Times New Roman"/>
          <w:sz w:val="24"/>
          <w:szCs w:val="24"/>
        </w:rPr>
      </w:pPr>
    </w:p>
    <w:p w:rsidR="00CF39A7" w:rsidRDefault="00CF39A7">
      <w:pPr>
        <w:spacing w:line="276" w:lineRule="auto"/>
        <w:jc w:val="both"/>
        <w:rPr>
          <w:rFonts w:ascii="Times New Roman" w:hAnsi="Times New Roman" w:cs="Times New Roman"/>
          <w:sz w:val="24"/>
          <w:szCs w:val="24"/>
        </w:rPr>
      </w:pPr>
    </w:p>
    <w:p w:rsidR="00CF39A7" w:rsidRDefault="00D206FE">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Kachere Legal Practitioners</w:t>
      </w:r>
      <w:r>
        <w:rPr>
          <w:rFonts w:ascii="Times New Roman" w:hAnsi="Times New Roman" w:cs="Times New Roman"/>
          <w:sz w:val="24"/>
          <w:szCs w:val="24"/>
        </w:rPr>
        <w:t>, appellants’ legal practitioners</w:t>
      </w:r>
    </w:p>
    <w:p w:rsidR="00CF39A7" w:rsidRDefault="00D206FE">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Jiti Law Chambers</w:t>
      </w: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CF39A7" w:rsidRDefault="00CF39A7">
      <w:pPr>
        <w:spacing w:line="276" w:lineRule="auto"/>
        <w:jc w:val="both"/>
        <w:rPr>
          <w:rFonts w:ascii="Times New Roman" w:hAnsi="Times New Roman" w:cs="Times New Roman"/>
          <w:sz w:val="24"/>
          <w:szCs w:val="24"/>
        </w:rPr>
      </w:pPr>
    </w:p>
    <w:p w:rsidR="00CF39A7" w:rsidRDefault="00CF39A7">
      <w:pPr>
        <w:spacing w:line="276" w:lineRule="auto"/>
        <w:jc w:val="both"/>
        <w:rPr>
          <w:rFonts w:ascii="Times New Roman" w:hAnsi="Times New Roman" w:cs="Times New Roman"/>
          <w:sz w:val="24"/>
          <w:szCs w:val="24"/>
        </w:rPr>
      </w:pPr>
    </w:p>
    <w:p w:rsidR="00CF39A7" w:rsidRDefault="00D206FE">
      <w:pPr>
        <w:spacing w:line="276" w:lineRule="auto"/>
        <w:jc w:val="both"/>
      </w:pPr>
      <w:r>
        <w:rPr>
          <w:rFonts w:ascii="Times New Roman" w:hAnsi="Times New Roman" w:cs="Times New Roman"/>
          <w:sz w:val="24"/>
          <w:szCs w:val="24"/>
        </w:rPr>
        <w:t xml:space="preserve"> </w:t>
      </w:r>
    </w:p>
    <w:p w:rsidR="00CF39A7" w:rsidRDefault="00CF39A7">
      <w:pPr>
        <w:jc w:val="both"/>
      </w:pPr>
    </w:p>
    <w:sectPr w:rsidR="00CF39A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6FE" w:rsidRDefault="00D206FE">
      <w:pPr>
        <w:spacing w:line="240" w:lineRule="auto"/>
      </w:pPr>
      <w:r>
        <w:separator/>
      </w:r>
    </w:p>
  </w:endnote>
  <w:endnote w:type="continuationSeparator" w:id="0">
    <w:p w:rsidR="00D206FE" w:rsidRDefault="00D206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6FE" w:rsidRDefault="00D206FE">
      <w:pPr>
        <w:spacing w:after="0"/>
      </w:pPr>
      <w:r>
        <w:separator/>
      </w:r>
    </w:p>
  </w:footnote>
  <w:footnote w:type="continuationSeparator" w:id="0">
    <w:p w:rsidR="00D206FE" w:rsidRDefault="00D206F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881612"/>
    </w:sdtPr>
    <w:sdtEndPr/>
    <w:sdtContent>
      <w:p w:rsidR="00CF39A7" w:rsidRDefault="00D206FE">
        <w:pPr>
          <w:pStyle w:val="Header"/>
          <w:jc w:val="right"/>
        </w:pPr>
        <w:r>
          <w:fldChar w:fldCharType="begin"/>
        </w:r>
        <w:r>
          <w:instrText xml:space="preserve"> PAGE   \* MERGEFORMAT </w:instrText>
        </w:r>
        <w:r>
          <w:fldChar w:fldCharType="separate"/>
        </w:r>
        <w:r w:rsidR="00985C97">
          <w:rPr>
            <w:noProof/>
          </w:rPr>
          <w:t>2</w:t>
        </w:r>
        <w:r>
          <w:fldChar w:fldCharType="end"/>
        </w:r>
      </w:p>
      <w:p w:rsidR="00CF39A7" w:rsidRDefault="00D206FE">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rPr>
          <w:t xml:space="preserve"> H</w:t>
        </w:r>
        <w:r>
          <w:rPr>
            <w:rFonts w:ascii="Times New Roman" w:hAnsi="Times New Roman" w:cs="Times New Roman"/>
            <w:sz w:val="24"/>
            <w:szCs w:val="24"/>
            <w:lang w:val="en-US"/>
          </w:rPr>
          <w:t>H 306/24</w:t>
        </w:r>
      </w:p>
      <w:p w:rsidR="00CF39A7" w:rsidRDefault="00D206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HCHC </w:t>
        </w:r>
        <w:r>
          <w:rPr>
            <w:rFonts w:ascii="Times New Roman" w:hAnsi="Times New Roman" w:cs="Times New Roman"/>
            <w:sz w:val="24"/>
            <w:szCs w:val="24"/>
            <w:lang w:val="en-US"/>
          </w:rPr>
          <w:t>488</w:t>
        </w:r>
        <w:r>
          <w:rPr>
            <w:rFonts w:ascii="Times New Roman" w:hAnsi="Times New Roman" w:cs="Times New Roman"/>
            <w:sz w:val="24"/>
            <w:szCs w:val="24"/>
          </w:rPr>
          <w:t>/23</w:t>
        </w:r>
      </w:p>
      <w:p w:rsidR="00CF39A7" w:rsidRDefault="00D206FE">
        <w:pPr>
          <w:pStyle w:val="Header"/>
          <w:jc w:val="right"/>
        </w:pPr>
      </w:p>
    </w:sdtContent>
  </w:sdt>
  <w:p w:rsidR="00CF39A7" w:rsidRDefault="00CF39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02"/>
    <w:rsid w:val="00085802"/>
    <w:rsid w:val="000D57F3"/>
    <w:rsid w:val="001760FE"/>
    <w:rsid w:val="001A6F43"/>
    <w:rsid w:val="001F196A"/>
    <w:rsid w:val="00226BD9"/>
    <w:rsid w:val="0027318E"/>
    <w:rsid w:val="00274426"/>
    <w:rsid w:val="002E03D1"/>
    <w:rsid w:val="004133DE"/>
    <w:rsid w:val="00430C13"/>
    <w:rsid w:val="00454026"/>
    <w:rsid w:val="0047681D"/>
    <w:rsid w:val="005D56A4"/>
    <w:rsid w:val="00656BCC"/>
    <w:rsid w:val="00670CBF"/>
    <w:rsid w:val="006746F8"/>
    <w:rsid w:val="0069482E"/>
    <w:rsid w:val="007C4C47"/>
    <w:rsid w:val="007F537E"/>
    <w:rsid w:val="008411CE"/>
    <w:rsid w:val="00852FD5"/>
    <w:rsid w:val="008577AD"/>
    <w:rsid w:val="008706FD"/>
    <w:rsid w:val="00924AF6"/>
    <w:rsid w:val="00985C97"/>
    <w:rsid w:val="009B0210"/>
    <w:rsid w:val="009B75F4"/>
    <w:rsid w:val="00AC21B2"/>
    <w:rsid w:val="00AF54A6"/>
    <w:rsid w:val="00BA4BF2"/>
    <w:rsid w:val="00BB7B86"/>
    <w:rsid w:val="00BD764D"/>
    <w:rsid w:val="00C63154"/>
    <w:rsid w:val="00CF39A7"/>
    <w:rsid w:val="00D206FE"/>
    <w:rsid w:val="00D4270A"/>
    <w:rsid w:val="00D477C0"/>
    <w:rsid w:val="00DC32F9"/>
    <w:rsid w:val="00DD55DA"/>
    <w:rsid w:val="00E12AC6"/>
    <w:rsid w:val="00EA055C"/>
    <w:rsid w:val="00ED1290"/>
    <w:rsid w:val="00ED5190"/>
    <w:rsid w:val="00F248DB"/>
    <w:rsid w:val="00F35CE0"/>
    <w:rsid w:val="00FC2F91"/>
    <w:rsid w:val="00FD6004"/>
    <w:rsid w:val="023C6A95"/>
    <w:rsid w:val="07913EAA"/>
    <w:rsid w:val="2D8A62E3"/>
    <w:rsid w:val="43C55F6B"/>
    <w:rsid w:val="5D062FBA"/>
    <w:rsid w:val="6BD96ACA"/>
    <w:rsid w:val="6DF307D5"/>
    <w:rsid w:val="7D0F565F"/>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1924"/>
  <w15:docId w15:val="{7E039A2D-4781-4599-B2F4-97F52768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4"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ZW"/>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dcterms:created xsi:type="dcterms:W3CDTF">2024-07-26T10:45:00Z</dcterms:created>
  <dcterms:modified xsi:type="dcterms:W3CDTF">2024-07-26T10:45:00Z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84A8F064337642D8879AD1C97CAE2AB5_13</vt:lpwstr>
  </property>
</Properties>
</file>