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D9E" w:rsidRDefault="00E224ED" w:rsidP="00D602F9">
      <w:pPr>
        <w:tabs>
          <w:tab w:val="left" w:pos="3915"/>
        </w:tabs>
        <w:rPr>
          <w:rFonts w:ascii="Times New Roman" w:hAnsi="Times New Roman" w:cs="Times New Roman"/>
          <w:b/>
          <w:sz w:val="24"/>
          <w:szCs w:val="24"/>
          <w:lang w:val="en-ZW"/>
        </w:rPr>
      </w:pPr>
      <w:bookmarkStart w:id="0" w:name="_GoBack"/>
      <w:bookmarkEnd w:id="0"/>
      <w:r w:rsidRPr="00E224ED">
        <w:rPr>
          <w:rFonts w:ascii="Times New Roman" w:hAnsi="Times New Roman" w:cs="Times New Roman"/>
          <w:b/>
          <w:sz w:val="24"/>
          <w:szCs w:val="24"/>
          <w:u w:val="single"/>
          <w:lang w:val="en-ZW"/>
        </w:rPr>
        <w:t>DISTRIBUTABLE</w:t>
      </w:r>
      <w:r>
        <w:rPr>
          <w:rFonts w:ascii="Times New Roman" w:hAnsi="Times New Roman" w:cs="Times New Roman"/>
          <w:b/>
          <w:sz w:val="24"/>
          <w:szCs w:val="24"/>
          <w:lang w:val="en-ZW"/>
        </w:rPr>
        <w:tab/>
        <w:t>(71)</w:t>
      </w:r>
    </w:p>
    <w:p w:rsidR="00E224ED" w:rsidRDefault="00E224ED" w:rsidP="00E224ED">
      <w:pPr>
        <w:tabs>
          <w:tab w:val="left" w:pos="3915"/>
        </w:tabs>
        <w:spacing w:after="0" w:line="480" w:lineRule="auto"/>
        <w:rPr>
          <w:rFonts w:ascii="Times New Roman" w:hAnsi="Times New Roman" w:cs="Times New Roman"/>
          <w:b/>
          <w:sz w:val="24"/>
          <w:szCs w:val="24"/>
          <w:lang w:val="en-ZW"/>
        </w:rPr>
      </w:pPr>
    </w:p>
    <w:p w:rsidR="00E224ED" w:rsidRPr="00D76405" w:rsidRDefault="00E224ED" w:rsidP="00E224ED">
      <w:pPr>
        <w:tabs>
          <w:tab w:val="left" w:pos="3915"/>
        </w:tabs>
        <w:spacing w:after="0" w:line="480" w:lineRule="auto"/>
        <w:rPr>
          <w:rFonts w:ascii="Times New Roman" w:hAnsi="Times New Roman" w:cs="Times New Roman"/>
          <w:b/>
          <w:sz w:val="24"/>
          <w:szCs w:val="24"/>
          <w:lang w:val="en-ZW"/>
        </w:rPr>
      </w:pPr>
    </w:p>
    <w:p w:rsidR="00D602F9" w:rsidRPr="00D76405" w:rsidRDefault="005A3D9E" w:rsidP="005A3D9E">
      <w:pPr>
        <w:pStyle w:val="ListParagraph"/>
        <w:numPr>
          <w:ilvl w:val="0"/>
          <w:numId w:val="13"/>
        </w:numPr>
        <w:spacing w:after="0" w:line="240" w:lineRule="auto"/>
        <w:ind w:left="0" w:firstLine="0"/>
        <w:jc w:val="center"/>
        <w:rPr>
          <w:rFonts w:ascii="Times New Roman" w:eastAsia="Calibri" w:hAnsi="Times New Roman" w:cs="Times New Roman"/>
          <w:b/>
          <w:sz w:val="24"/>
          <w:szCs w:val="24"/>
          <w:lang w:val="en-ZA"/>
        </w:rPr>
      </w:pPr>
      <w:r w:rsidRPr="00D76405">
        <w:rPr>
          <w:rFonts w:ascii="Times New Roman" w:eastAsia="Calibri" w:hAnsi="Times New Roman" w:cs="Times New Roman"/>
          <w:b/>
          <w:sz w:val="24"/>
          <w:szCs w:val="24"/>
          <w:lang w:val="en-ZA"/>
        </w:rPr>
        <w:t xml:space="preserve">    </w:t>
      </w:r>
      <w:r w:rsidR="00D602F9" w:rsidRPr="00D76405">
        <w:rPr>
          <w:rFonts w:ascii="Times New Roman" w:eastAsia="Calibri" w:hAnsi="Times New Roman" w:cs="Times New Roman"/>
          <w:b/>
          <w:sz w:val="24"/>
          <w:szCs w:val="24"/>
          <w:lang w:val="en-ZA"/>
        </w:rPr>
        <w:t>RESERVE</w:t>
      </w:r>
      <w:r w:rsidRPr="00D76405">
        <w:rPr>
          <w:rFonts w:ascii="Times New Roman" w:eastAsia="Calibri" w:hAnsi="Times New Roman" w:cs="Times New Roman"/>
          <w:b/>
          <w:sz w:val="24"/>
          <w:szCs w:val="24"/>
          <w:lang w:val="en-ZA"/>
        </w:rPr>
        <w:t xml:space="preserve">     </w:t>
      </w:r>
      <w:r w:rsidR="00D602F9" w:rsidRPr="00D76405">
        <w:rPr>
          <w:rFonts w:ascii="Times New Roman" w:eastAsia="Calibri" w:hAnsi="Times New Roman" w:cs="Times New Roman"/>
          <w:b/>
          <w:sz w:val="24"/>
          <w:szCs w:val="24"/>
          <w:lang w:val="en-ZA"/>
        </w:rPr>
        <w:t>BANK</w:t>
      </w:r>
      <w:r w:rsidRPr="00D76405">
        <w:rPr>
          <w:rFonts w:ascii="Times New Roman" w:eastAsia="Calibri" w:hAnsi="Times New Roman" w:cs="Times New Roman"/>
          <w:b/>
          <w:sz w:val="24"/>
          <w:szCs w:val="24"/>
          <w:lang w:val="en-ZA"/>
        </w:rPr>
        <w:t xml:space="preserve">     </w:t>
      </w:r>
      <w:r w:rsidR="00D602F9" w:rsidRPr="00D76405">
        <w:rPr>
          <w:rFonts w:ascii="Times New Roman" w:eastAsia="Calibri" w:hAnsi="Times New Roman" w:cs="Times New Roman"/>
          <w:b/>
          <w:sz w:val="24"/>
          <w:szCs w:val="24"/>
          <w:lang w:val="en-ZA"/>
        </w:rPr>
        <w:t>OF     ZIMBABWE</w:t>
      </w:r>
      <w:r w:rsidRPr="00D76405">
        <w:rPr>
          <w:rFonts w:ascii="Times New Roman" w:eastAsia="Calibri" w:hAnsi="Times New Roman" w:cs="Times New Roman"/>
          <w:b/>
          <w:sz w:val="24"/>
          <w:szCs w:val="24"/>
          <w:lang w:val="en-ZA"/>
        </w:rPr>
        <w:t xml:space="preserve">     (2)     </w:t>
      </w:r>
      <w:r w:rsidR="00D602F9" w:rsidRPr="00D76405">
        <w:rPr>
          <w:rFonts w:ascii="Times New Roman" w:eastAsia="Calibri" w:hAnsi="Times New Roman" w:cs="Times New Roman"/>
          <w:b/>
          <w:sz w:val="24"/>
          <w:szCs w:val="24"/>
          <w:lang w:val="en-ZA"/>
        </w:rPr>
        <w:t>JORAM</w:t>
      </w:r>
      <w:r w:rsidRPr="00D76405">
        <w:rPr>
          <w:rFonts w:ascii="Times New Roman" w:eastAsia="Calibri" w:hAnsi="Times New Roman" w:cs="Times New Roman"/>
          <w:b/>
          <w:sz w:val="24"/>
          <w:szCs w:val="24"/>
          <w:lang w:val="en-ZA"/>
        </w:rPr>
        <w:t xml:space="preserve">     </w:t>
      </w:r>
      <w:r w:rsidR="00D602F9" w:rsidRPr="00D76405">
        <w:rPr>
          <w:rFonts w:ascii="Times New Roman" w:eastAsia="Calibri" w:hAnsi="Times New Roman" w:cs="Times New Roman"/>
          <w:b/>
          <w:sz w:val="24"/>
          <w:szCs w:val="24"/>
          <w:lang w:val="en-ZA"/>
        </w:rPr>
        <w:t>MAKONDE</w:t>
      </w:r>
    </w:p>
    <w:p w:rsidR="005A3D9E" w:rsidRPr="00D76405" w:rsidRDefault="00D602F9" w:rsidP="00D602F9">
      <w:pPr>
        <w:pStyle w:val="ListParagraph"/>
        <w:spacing w:after="0" w:line="240" w:lineRule="auto"/>
        <w:ind w:left="0"/>
        <w:jc w:val="center"/>
        <w:rPr>
          <w:rFonts w:ascii="Times New Roman" w:eastAsia="Calibri" w:hAnsi="Times New Roman" w:cs="Times New Roman"/>
          <w:b/>
          <w:sz w:val="24"/>
          <w:szCs w:val="24"/>
          <w:lang w:val="en-ZA"/>
        </w:rPr>
      </w:pPr>
      <w:r w:rsidRPr="00D76405">
        <w:rPr>
          <w:rFonts w:ascii="Times New Roman" w:eastAsia="Calibri" w:hAnsi="Times New Roman" w:cs="Times New Roman"/>
          <w:b/>
          <w:sz w:val="24"/>
          <w:szCs w:val="24"/>
          <w:lang w:val="en-ZA"/>
        </w:rPr>
        <w:t>v</w:t>
      </w:r>
    </w:p>
    <w:p w:rsidR="00D602F9" w:rsidRPr="00D76405" w:rsidRDefault="00D602F9" w:rsidP="00D602F9">
      <w:pPr>
        <w:spacing w:after="0" w:line="240" w:lineRule="auto"/>
        <w:jc w:val="center"/>
        <w:rPr>
          <w:rFonts w:ascii="Times New Roman" w:hAnsi="Times New Roman" w:cs="Times New Roman"/>
          <w:b/>
          <w:sz w:val="24"/>
          <w:szCs w:val="24"/>
          <w:lang w:val="en-ZW"/>
        </w:rPr>
      </w:pPr>
      <w:r w:rsidRPr="00D76405">
        <w:rPr>
          <w:rFonts w:ascii="Times New Roman" w:hAnsi="Times New Roman" w:cs="Times New Roman"/>
          <w:b/>
          <w:sz w:val="24"/>
          <w:szCs w:val="24"/>
          <w:lang w:val="en-ZW"/>
        </w:rPr>
        <w:t>TIRAN     TRANSPORT     (PRIVATE)     LIMITED</w:t>
      </w:r>
    </w:p>
    <w:p w:rsidR="00BD15B4" w:rsidRPr="00D76405" w:rsidRDefault="00BD15B4" w:rsidP="005A3D9E">
      <w:pPr>
        <w:pStyle w:val="ListParagraph"/>
        <w:jc w:val="center"/>
        <w:rPr>
          <w:rFonts w:ascii="Times New Roman" w:hAnsi="Times New Roman" w:cs="Times New Roman"/>
          <w:b/>
          <w:sz w:val="24"/>
          <w:szCs w:val="24"/>
          <w:lang w:val="en-ZW"/>
        </w:rPr>
      </w:pPr>
    </w:p>
    <w:p w:rsidR="00BD15B4" w:rsidRPr="00D76405" w:rsidRDefault="00BD15B4" w:rsidP="00F54C9F">
      <w:pPr>
        <w:spacing w:after="0" w:line="240" w:lineRule="auto"/>
        <w:jc w:val="both"/>
        <w:rPr>
          <w:rFonts w:ascii="Times New Roman" w:hAnsi="Times New Roman" w:cs="Times New Roman"/>
          <w:b/>
          <w:sz w:val="24"/>
          <w:szCs w:val="24"/>
        </w:rPr>
      </w:pPr>
    </w:p>
    <w:p w:rsidR="00CD7E61" w:rsidRPr="00D76405" w:rsidRDefault="00CD7E61" w:rsidP="00F54C9F">
      <w:pPr>
        <w:spacing w:after="0" w:line="240" w:lineRule="auto"/>
        <w:jc w:val="both"/>
        <w:rPr>
          <w:rFonts w:ascii="Times New Roman" w:hAnsi="Times New Roman" w:cs="Times New Roman"/>
          <w:b/>
          <w:sz w:val="24"/>
          <w:szCs w:val="24"/>
        </w:rPr>
      </w:pPr>
    </w:p>
    <w:p w:rsidR="00BD15B4" w:rsidRPr="00D76405" w:rsidRDefault="00BD15B4" w:rsidP="00F54C9F">
      <w:pPr>
        <w:spacing w:after="0" w:line="240" w:lineRule="auto"/>
        <w:jc w:val="both"/>
        <w:rPr>
          <w:rFonts w:ascii="Times New Roman" w:hAnsi="Times New Roman" w:cs="Times New Roman"/>
          <w:b/>
          <w:sz w:val="24"/>
          <w:szCs w:val="24"/>
        </w:rPr>
      </w:pPr>
      <w:r w:rsidRPr="00D76405">
        <w:rPr>
          <w:rFonts w:ascii="Times New Roman" w:hAnsi="Times New Roman" w:cs="Times New Roman"/>
          <w:b/>
          <w:sz w:val="24"/>
          <w:szCs w:val="24"/>
        </w:rPr>
        <w:t xml:space="preserve">SUPREME COURT OF ZIMBABWE </w:t>
      </w:r>
    </w:p>
    <w:p w:rsidR="00BD15B4" w:rsidRPr="00D76405" w:rsidRDefault="006664A4" w:rsidP="00F54C9F">
      <w:pPr>
        <w:spacing w:after="0" w:line="240" w:lineRule="auto"/>
        <w:jc w:val="both"/>
        <w:rPr>
          <w:rFonts w:ascii="Times New Roman" w:hAnsi="Times New Roman" w:cs="Times New Roman"/>
          <w:b/>
          <w:sz w:val="24"/>
          <w:szCs w:val="24"/>
        </w:rPr>
      </w:pPr>
      <w:r w:rsidRPr="00D76405">
        <w:rPr>
          <w:rFonts w:ascii="Times New Roman" w:hAnsi="Times New Roman" w:cs="Times New Roman"/>
          <w:b/>
          <w:sz w:val="24"/>
          <w:szCs w:val="24"/>
        </w:rPr>
        <w:t>GWAUNZA</w:t>
      </w:r>
      <w:r w:rsidR="00BD15B4" w:rsidRPr="00D76405">
        <w:rPr>
          <w:rFonts w:ascii="Times New Roman" w:hAnsi="Times New Roman" w:cs="Times New Roman"/>
          <w:b/>
          <w:sz w:val="24"/>
          <w:szCs w:val="24"/>
        </w:rPr>
        <w:t xml:space="preserve"> </w:t>
      </w:r>
      <w:r w:rsidRPr="00D76405">
        <w:rPr>
          <w:rFonts w:ascii="Times New Roman" w:hAnsi="Times New Roman" w:cs="Times New Roman"/>
          <w:b/>
          <w:sz w:val="24"/>
          <w:szCs w:val="24"/>
        </w:rPr>
        <w:t>JA</w:t>
      </w:r>
      <w:r w:rsidR="00BD15B4" w:rsidRPr="00D76405">
        <w:rPr>
          <w:rFonts w:ascii="Times New Roman" w:hAnsi="Times New Roman" w:cs="Times New Roman"/>
          <w:b/>
          <w:sz w:val="24"/>
          <w:szCs w:val="24"/>
        </w:rPr>
        <w:t>, G</w:t>
      </w:r>
      <w:r w:rsidRPr="00D76405">
        <w:rPr>
          <w:rFonts w:ascii="Times New Roman" w:hAnsi="Times New Roman" w:cs="Times New Roman"/>
          <w:b/>
          <w:sz w:val="24"/>
          <w:szCs w:val="24"/>
        </w:rPr>
        <w:t>ARWE</w:t>
      </w:r>
      <w:r w:rsidR="00BD15B4" w:rsidRPr="00D76405">
        <w:rPr>
          <w:rFonts w:ascii="Times New Roman" w:hAnsi="Times New Roman" w:cs="Times New Roman"/>
          <w:b/>
          <w:sz w:val="24"/>
          <w:szCs w:val="24"/>
        </w:rPr>
        <w:t xml:space="preserve"> JA &amp; MA</w:t>
      </w:r>
      <w:r w:rsidRPr="00D76405">
        <w:rPr>
          <w:rFonts w:ascii="Times New Roman" w:hAnsi="Times New Roman" w:cs="Times New Roman"/>
          <w:b/>
          <w:sz w:val="24"/>
          <w:szCs w:val="24"/>
        </w:rPr>
        <w:t>KARAU</w:t>
      </w:r>
      <w:r w:rsidR="00BD15B4" w:rsidRPr="00D76405">
        <w:rPr>
          <w:rFonts w:ascii="Times New Roman" w:hAnsi="Times New Roman" w:cs="Times New Roman"/>
          <w:b/>
          <w:sz w:val="24"/>
          <w:szCs w:val="24"/>
        </w:rPr>
        <w:t xml:space="preserve"> JA</w:t>
      </w:r>
    </w:p>
    <w:p w:rsidR="00BD15B4" w:rsidRPr="00D76405" w:rsidRDefault="00BD15B4" w:rsidP="00F54C9F">
      <w:pPr>
        <w:spacing w:after="0" w:line="240" w:lineRule="auto"/>
        <w:jc w:val="both"/>
        <w:rPr>
          <w:rFonts w:ascii="Times New Roman" w:hAnsi="Times New Roman" w:cs="Times New Roman"/>
          <w:sz w:val="24"/>
          <w:szCs w:val="24"/>
        </w:rPr>
      </w:pPr>
      <w:r w:rsidRPr="00D76405">
        <w:rPr>
          <w:rFonts w:ascii="Times New Roman" w:hAnsi="Times New Roman" w:cs="Times New Roman"/>
          <w:b/>
          <w:sz w:val="24"/>
          <w:szCs w:val="24"/>
        </w:rPr>
        <w:t xml:space="preserve">HARARE, </w:t>
      </w:r>
      <w:r w:rsidR="006664A4" w:rsidRPr="00D76405">
        <w:rPr>
          <w:rFonts w:ascii="Times New Roman" w:hAnsi="Times New Roman" w:cs="Times New Roman"/>
          <w:b/>
          <w:sz w:val="24"/>
          <w:szCs w:val="24"/>
        </w:rPr>
        <w:t>MARCH</w:t>
      </w:r>
      <w:r w:rsidR="00AD3149" w:rsidRPr="00D76405">
        <w:rPr>
          <w:rFonts w:ascii="Times New Roman" w:hAnsi="Times New Roman" w:cs="Times New Roman"/>
          <w:b/>
          <w:sz w:val="24"/>
          <w:szCs w:val="24"/>
        </w:rPr>
        <w:t xml:space="preserve"> 1</w:t>
      </w:r>
      <w:r w:rsidR="006664A4" w:rsidRPr="00D76405">
        <w:rPr>
          <w:rFonts w:ascii="Times New Roman" w:hAnsi="Times New Roman" w:cs="Times New Roman"/>
          <w:b/>
          <w:sz w:val="24"/>
          <w:szCs w:val="24"/>
        </w:rPr>
        <w:t>6</w:t>
      </w:r>
      <w:r w:rsidR="00AD3149" w:rsidRPr="00D76405">
        <w:rPr>
          <w:rFonts w:ascii="Times New Roman" w:hAnsi="Times New Roman" w:cs="Times New Roman"/>
          <w:b/>
          <w:sz w:val="24"/>
          <w:szCs w:val="24"/>
        </w:rPr>
        <w:t>, 201</w:t>
      </w:r>
      <w:r w:rsidR="006664A4" w:rsidRPr="00D76405">
        <w:rPr>
          <w:rFonts w:ascii="Times New Roman" w:hAnsi="Times New Roman" w:cs="Times New Roman"/>
          <w:b/>
          <w:sz w:val="24"/>
          <w:szCs w:val="24"/>
        </w:rPr>
        <w:t>8</w:t>
      </w:r>
      <w:r w:rsidR="00AD3149" w:rsidRPr="00D76405">
        <w:rPr>
          <w:rFonts w:ascii="Times New Roman" w:hAnsi="Times New Roman" w:cs="Times New Roman"/>
          <w:b/>
          <w:sz w:val="24"/>
          <w:szCs w:val="24"/>
        </w:rPr>
        <w:t xml:space="preserve"> &amp; </w:t>
      </w:r>
      <w:r w:rsidR="007451A5" w:rsidRPr="00D76405">
        <w:rPr>
          <w:rFonts w:ascii="Times New Roman" w:hAnsi="Times New Roman" w:cs="Times New Roman"/>
          <w:b/>
          <w:sz w:val="24"/>
          <w:szCs w:val="24"/>
        </w:rPr>
        <w:t>SEPTEMBER</w:t>
      </w:r>
      <w:r w:rsidR="007451A5">
        <w:rPr>
          <w:rFonts w:ascii="Times New Roman" w:hAnsi="Times New Roman" w:cs="Times New Roman"/>
          <w:b/>
          <w:sz w:val="24"/>
          <w:szCs w:val="24"/>
        </w:rPr>
        <w:t>, 26</w:t>
      </w:r>
      <w:r w:rsidR="00BD5CC4" w:rsidRPr="00D76405">
        <w:rPr>
          <w:rFonts w:ascii="Times New Roman" w:hAnsi="Times New Roman" w:cs="Times New Roman"/>
          <w:b/>
          <w:sz w:val="24"/>
          <w:szCs w:val="24"/>
        </w:rPr>
        <w:t xml:space="preserve"> 2019</w:t>
      </w:r>
    </w:p>
    <w:p w:rsidR="00BD15B4" w:rsidRPr="00D76405" w:rsidRDefault="00BD15B4" w:rsidP="00F54C9F">
      <w:pPr>
        <w:jc w:val="both"/>
        <w:rPr>
          <w:rFonts w:ascii="Times New Roman" w:hAnsi="Times New Roman" w:cs="Times New Roman"/>
          <w:b/>
          <w:sz w:val="24"/>
          <w:szCs w:val="24"/>
          <w:lang w:val="en-ZW"/>
        </w:rPr>
      </w:pPr>
    </w:p>
    <w:p w:rsidR="00AD3149" w:rsidRPr="00D76405" w:rsidRDefault="00AD3149" w:rsidP="00F54C9F">
      <w:pPr>
        <w:jc w:val="both"/>
        <w:rPr>
          <w:rFonts w:ascii="Times New Roman" w:hAnsi="Times New Roman" w:cs="Times New Roman"/>
          <w:b/>
          <w:sz w:val="24"/>
          <w:szCs w:val="24"/>
          <w:lang w:val="en-ZW"/>
        </w:rPr>
      </w:pPr>
    </w:p>
    <w:p w:rsidR="00AD3149" w:rsidRPr="00D76405" w:rsidRDefault="00AD3149" w:rsidP="00AD3149">
      <w:pPr>
        <w:spacing w:after="0" w:line="240" w:lineRule="auto"/>
        <w:jc w:val="both"/>
        <w:rPr>
          <w:rFonts w:ascii="Times New Roman" w:hAnsi="Times New Roman" w:cs="Times New Roman"/>
          <w:b/>
          <w:sz w:val="24"/>
          <w:szCs w:val="24"/>
          <w:lang w:val="en-ZW"/>
        </w:rPr>
      </w:pPr>
    </w:p>
    <w:p w:rsidR="00BD15B4" w:rsidRPr="00D76405" w:rsidRDefault="00222749" w:rsidP="00F54C9F">
      <w:pPr>
        <w:jc w:val="both"/>
        <w:rPr>
          <w:rFonts w:ascii="Times New Roman" w:hAnsi="Times New Roman" w:cs="Times New Roman"/>
          <w:sz w:val="24"/>
          <w:szCs w:val="24"/>
          <w:lang w:val="en-ZW"/>
        </w:rPr>
      </w:pPr>
      <w:r w:rsidRPr="00D76405">
        <w:rPr>
          <w:rFonts w:ascii="Times New Roman" w:hAnsi="Times New Roman" w:cs="Times New Roman"/>
          <w:i/>
          <w:sz w:val="24"/>
          <w:szCs w:val="24"/>
          <w:lang w:val="en-ZW"/>
        </w:rPr>
        <w:t>T Magwaliba</w:t>
      </w:r>
      <w:r w:rsidR="00BD15B4" w:rsidRPr="00D76405">
        <w:rPr>
          <w:rFonts w:ascii="Times New Roman" w:hAnsi="Times New Roman" w:cs="Times New Roman"/>
          <w:sz w:val="24"/>
          <w:szCs w:val="24"/>
          <w:lang w:val="en-ZW"/>
        </w:rPr>
        <w:t xml:space="preserve">, for the </w:t>
      </w:r>
      <w:r w:rsidR="005B249E" w:rsidRPr="00D76405">
        <w:rPr>
          <w:rFonts w:ascii="Times New Roman" w:hAnsi="Times New Roman" w:cs="Times New Roman"/>
          <w:sz w:val="24"/>
          <w:szCs w:val="24"/>
          <w:lang w:val="en-ZW"/>
        </w:rPr>
        <w:t>a</w:t>
      </w:r>
      <w:r w:rsidR="00BD15B4" w:rsidRPr="00D76405">
        <w:rPr>
          <w:rFonts w:ascii="Times New Roman" w:hAnsi="Times New Roman" w:cs="Times New Roman"/>
          <w:sz w:val="24"/>
          <w:szCs w:val="24"/>
          <w:lang w:val="en-ZW"/>
        </w:rPr>
        <w:t>ppellant</w:t>
      </w:r>
      <w:r w:rsidRPr="00D76405">
        <w:rPr>
          <w:rFonts w:ascii="Times New Roman" w:hAnsi="Times New Roman" w:cs="Times New Roman"/>
          <w:sz w:val="24"/>
          <w:szCs w:val="24"/>
          <w:lang w:val="en-ZW"/>
        </w:rPr>
        <w:t>s</w:t>
      </w:r>
    </w:p>
    <w:p w:rsidR="00BD15B4" w:rsidRPr="00D76405" w:rsidRDefault="00222749" w:rsidP="00F54C9F">
      <w:pPr>
        <w:jc w:val="both"/>
        <w:rPr>
          <w:rFonts w:ascii="Times New Roman" w:hAnsi="Times New Roman" w:cs="Times New Roman"/>
          <w:sz w:val="24"/>
          <w:szCs w:val="24"/>
          <w:lang w:val="en-ZW"/>
        </w:rPr>
      </w:pPr>
      <w:r w:rsidRPr="00D76405">
        <w:rPr>
          <w:rFonts w:ascii="Times New Roman" w:hAnsi="Times New Roman" w:cs="Times New Roman"/>
          <w:i/>
          <w:sz w:val="24"/>
          <w:szCs w:val="24"/>
          <w:lang w:val="en-ZW"/>
        </w:rPr>
        <w:t>T Mpofu</w:t>
      </w:r>
      <w:r w:rsidR="00BD15B4" w:rsidRPr="00D76405">
        <w:rPr>
          <w:rFonts w:ascii="Times New Roman" w:hAnsi="Times New Roman" w:cs="Times New Roman"/>
          <w:sz w:val="24"/>
          <w:szCs w:val="24"/>
          <w:lang w:val="en-ZW"/>
        </w:rPr>
        <w:t xml:space="preserve">, for the </w:t>
      </w:r>
      <w:r w:rsidR="005B249E" w:rsidRPr="00D76405">
        <w:rPr>
          <w:rFonts w:ascii="Times New Roman" w:hAnsi="Times New Roman" w:cs="Times New Roman"/>
          <w:sz w:val="24"/>
          <w:szCs w:val="24"/>
          <w:lang w:val="en-ZW"/>
        </w:rPr>
        <w:t>r</w:t>
      </w:r>
      <w:r w:rsidR="00BD15B4" w:rsidRPr="00D76405">
        <w:rPr>
          <w:rFonts w:ascii="Times New Roman" w:hAnsi="Times New Roman" w:cs="Times New Roman"/>
          <w:sz w:val="24"/>
          <w:szCs w:val="24"/>
          <w:lang w:val="en-ZW"/>
        </w:rPr>
        <w:t>espondent</w:t>
      </w:r>
    </w:p>
    <w:p w:rsidR="00BD15B4" w:rsidRPr="00D76405" w:rsidRDefault="00BD15B4" w:rsidP="00F54C9F">
      <w:pPr>
        <w:jc w:val="both"/>
        <w:rPr>
          <w:rFonts w:ascii="Times New Roman" w:hAnsi="Times New Roman" w:cs="Times New Roman"/>
          <w:b/>
          <w:sz w:val="24"/>
          <w:szCs w:val="24"/>
          <w:lang w:val="en-ZW"/>
        </w:rPr>
      </w:pPr>
    </w:p>
    <w:p w:rsidR="00BD15B4" w:rsidRPr="00D76405" w:rsidRDefault="00BD15B4" w:rsidP="00F54C9F">
      <w:pPr>
        <w:jc w:val="both"/>
        <w:rPr>
          <w:rFonts w:ascii="Times New Roman" w:hAnsi="Times New Roman" w:cs="Times New Roman"/>
          <w:b/>
          <w:sz w:val="24"/>
          <w:szCs w:val="24"/>
          <w:lang w:val="en-ZW"/>
        </w:rPr>
      </w:pPr>
    </w:p>
    <w:p w:rsidR="00D450F4" w:rsidRPr="00D76405" w:rsidRDefault="00BD15B4" w:rsidP="00F54C9F">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b/>
          <w:sz w:val="24"/>
          <w:szCs w:val="24"/>
          <w:lang w:val="en-ZW"/>
        </w:rPr>
        <w:t>MA</w:t>
      </w:r>
      <w:r w:rsidR="001A6E2D" w:rsidRPr="00D76405">
        <w:rPr>
          <w:rFonts w:ascii="Times New Roman" w:hAnsi="Times New Roman" w:cs="Times New Roman"/>
          <w:b/>
          <w:sz w:val="24"/>
          <w:szCs w:val="24"/>
          <w:lang w:val="en-ZW"/>
        </w:rPr>
        <w:t>KARAU</w:t>
      </w:r>
      <w:r w:rsidRPr="00D76405">
        <w:rPr>
          <w:rFonts w:ascii="Times New Roman" w:hAnsi="Times New Roman" w:cs="Times New Roman"/>
          <w:b/>
          <w:sz w:val="24"/>
          <w:szCs w:val="24"/>
          <w:lang w:val="en-ZW"/>
        </w:rPr>
        <w:t xml:space="preserve"> JA: </w:t>
      </w:r>
      <w:r w:rsidRPr="00D76405">
        <w:rPr>
          <w:rFonts w:ascii="Times New Roman" w:hAnsi="Times New Roman" w:cs="Times New Roman"/>
          <w:sz w:val="24"/>
          <w:szCs w:val="24"/>
          <w:lang w:val="en-ZW"/>
        </w:rPr>
        <w:t xml:space="preserve"> </w:t>
      </w:r>
      <w:r w:rsidR="00D450F4" w:rsidRPr="00D76405">
        <w:rPr>
          <w:rFonts w:ascii="Times New Roman" w:hAnsi="Times New Roman" w:cs="Times New Roman"/>
          <w:sz w:val="24"/>
          <w:szCs w:val="24"/>
        </w:rPr>
        <w:t xml:space="preserve">This is an appeal against </w:t>
      </w:r>
      <w:r w:rsidR="001A6E2D" w:rsidRPr="00D76405">
        <w:rPr>
          <w:rFonts w:ascii="Times New Roman" w:hAnsi="Times New Roman" w:cs="Times New Roman"/>
          <w:sz w:val="24"/>
          <w:szCs w:val="24"/>
        </w:rPr>
        <w:t>the whole judgment of the High Court handed down on 12 October 2016</w:t>
      </w:r>
      <w:r w:rsidR="00080A9C" w:rsidRPr="00D76405">
        <w:rPr>
          <w:rFonts w:ascii="Times New Roman" w:hAnsi="Times New Roman" w:cs="Times New Roman"/>
          <w:sz w:val="24"/>
          <w:szCs w:val="24"/>
        </w:rPr>
        <w:t>. In the judgment, the High Court found</w:t>
      </w:r>
      <w:r w:rsidR="001A6E2D" w:rsidRPr="00D76405">
        <w:rPr>
          <w:rFonts w:ascii="Times New Roman" w:hAnsi="Times New Roman" w:cs="Times New Roman"/>
          <w:sz w:val="24"/>
          <w:szCs w:val="24"/>
        </w:rPr>
        <w:t xml:space="preserve"> the appellants liable to the respondent in the sum of US$33 </w:t>
      </w:r>
      <w:r w:rsidR="002F50DA" w:rsidRPr="00D76405">
        <w:rPr>
          <w:rFonts w:ascii="Times New Roman" w:hAnsi="Times New Roman" w:cs="Times New Roman"/>
          <w:sz w:val="24"/>
          <w:szCs w:val="24"/>
        </w:rPr>
        <w:t>552.50</w:t>
      </w:r>
      <w:r w:rsidR="009D109B" w:rsidRPr="00D76405">
        <w:rPr>
          <w:rFonts w:ascii="Times New Roman" w:hAnsi="Times New Roman" w:cs="Times New Roman"/>
          <w:sz w:val="24"/>
          <w:szCs w:val="24"/>
        </w:rPr>
        <w:t xml:space="preserve"> as damag</w:t>
      </w:r>
      <w:r w:rsidR="002F50DA" w:rsidRPr="00D76405">
        <w:rPr>
          <w:rFonts w:ascii="Times New Roman" w:hAnsi="Times New Roman" w:cs="Times New Roman"/>
          <w:sz w:val="24"/>
          <w:szCs w:val="24"/>
        </w:rPr>
        <w:t>e</w:t>
      </w:r>
      <w:r w:rsidR="009D109B" w:rsidRPr="00D76405">
        <w:rPr>
          <w:rFonts w:ascii="Times New Roman" w:hAnsi="Times New Roman" w:cs="Times New Roman"/>
          <w:sz w:val="24"/>
          <w:szCs w:val="24"/>
        </w:rPr>
        <w:t xml:space="preserve">s arising out of a motor vehicle accident.  </w:t>
      </w:r>
    </w:p>
    <w:p w:rsidR="00795F39" w:rsidRPr="00D76405" w:rsidRDefault="00795F39" w:rsidP="005B249E">
      <w:pPr>
        <w:spacing w:line="480" w:lineRule="auto"/>
        <w:ind w:left="414" w:hanging="414"/>
        <w:jc w:val="both"/>
        <w:rPr>
          <w:rFonts w:ascii="Times New Roman" w:hAnsi="Times New Roman" w:cs="Times New Roman"/>
          <w:b/>
          <w:sz w:val="24"/>
          <w:szCs w:val="24"/>
          <w:lang w:val="en-ZW"/>
        </w:rPr>
      </w:pPr>
    </w:p>
    <w:p w:rsidR="00D450F4" w:rsidRPr="00D76405" w:rsidRDefault="003F5759" w:rsidP="005B249E">
      <w:pPr>
        <w:spacing w:line="480" w:lineRule="auto"/>
        <w:ind w:left="414" w:hanging="414"/>
        <w:jc w:val="both"/>
        <w:rPr>
          <w:rFonts w:ascii="Times New Roman" w:hAnsi="Times New Roman" w:cs="Times New Roman"/>
          <w:b/>
          <w:sz w:val="24"/>
          <w:szCs w:val="24"/>
          <w:lang w:val="en-ZW"/>
        </w:rPr>
      </w:pPr>
      <w:r w:rsidRPr="00D76405">
        <w:rPr>
          <w:rFonts w:ascii="Times New Roman" w:hAnsi="Times New Roman" w:cs="Times New Roman"/>
          <w:b/>
          <w:sz w:val="24"/>
          <w:szCs w:val="24"/>
          <w:lang w:val="en-ZW"/>
        </w:rPr>
        <w:t xml:space="preserve">Background  </w:t>
      </w:r>
      <w:r w:rsidR="001E21C5" w:rsidRPr="00D76405">
        <w:rPr>
          <w:rFonts w:ascii="Times New Roman" w:hAnsi="Times New Roman" w:cs="Times New Roman"/>
          <w:b/>
          <w:sz w:val="24"/>
          <w:szCs w:val="24"/>
          <w:lang w:val="en-ZW"/>
        </w:rPr>
        <w:t xml:space="preserve"> </w:t>
      </w:r>
      <w:r w:rsidR="00A1436A" w:rsidRPr="00D76405">
        <w:rPr>
          <w:rFonts w:ascii="Times New Roman" w:hAnsi="Times New Roman" w:cs="Times New Roman"/>
          <w:b/>
          <w:sz w:val="24"/>
          <w:szCs w:val="24"/>
          <w:lang w:val="en-ZW"/>
        </w:rPr>
        <w:t xml:space="preserve"> </w:t>
      </w:r>
      <w:r w:rsidR="0071225D" w:rsidRPr="00D76405">
        <w:rPr>
          <w:rFonts w:ascii="Times New Roman" w:hAnsi="Times New Roman" w:cs="Times New Roman"/>
          <w:b/>
          <w:sz w:val="24"/>
          <w:szCs w:val="24"/>
          <w:lang w:val="en-ZW"/>
        </w:rPr>
        <w:t xml:space="preserve"> </w:t>
      </w:r>
      <w:r w:rsidR="0071431B" w:rsidRPr="00D76405">
        <w:rPr>
          <w:rFonts w:ascii="Times New Roman" w:hAnsi="Times New Roman" w:cs="Times New Roman"/>
          <w:b/>
          <w:sz w:val="24"/>
          <w:szCs w:val="24"/>
          <w:lang w:val="en-ZW"/>
        </w:rPr>
        <w:t xml:space="preserve"> </w:t>
      </w:r>
      <w:r w:rsidR="00BD0FEF" w:rsidRPr="00D76405">
        <w:rPr>
          <w:rFonts w:ascii="Times New Roman" w:hAnsi="Times New Roman" w:cs="Times New Roman"/>
          <w:b/>
          <w:sz w:val="24"/>
          <w:szCs w:val="24"/>
          <w:lang w:val="en-ZW"/>
        </w:rPr>
        <w:t xml:space="preserve"> </w:t>
      </w:r>
      <w:r w:rsidR="008448AC" w:rsidRPr="00D76405">
        <w:rPr>
          <w:rFonts w:ascii="Times New Roman" w:hAnsi="Times New Roman" w:cs="Times New Roman"/>
          <w:b/>
          <w:sz w:val="24"/>
          <w:szCs w:val="24"/>
          <w:lang w:val="en-ZW"/>
        </w:rPr>
        <w:t xml:space="preserve"> </w:t>
      </w:r>
    </w:p>
    <w:p w:rsidR="006D1F0A" w:rsidRPr="003C660D" w:rsidRDefault="00F457F6" w:rsidP="003C660D">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On 27 August 2008 and at the 28 </w:t>
      </w:r>
      <w:r w:rsidR="00FB3EB4" w:rsidRPr="00D76405">
        <w:rPr>
          <w:rFonts w:ascii="Times New Roman" w:hAnsi="Times New Roman" w:cs="Times New Roman"/>
          <w:sz w:val="24"/>
          <w:szCs w:val="24"/>
        </w:rPr>
        <w:t>kilometer</w:t>
      </w:r>
      <w:r w:rsidRPr="00D76405">
        <w:rPr>
          <w:rFonts w:ascii="Times New Roman" w:hAnsi="Times New Roman" w:cs="Times New Roman"/>
          <w:sz w:val="24"/>
          <w:szCs w:val="24"/>
        </w:rPr>
        <w:t xml:space="preserve"> peg along the </w:t>
      </w:r>
      <w:r w:rsidR="008B3E31" w:rsidRPr="00D76405">
        <w:rPr>
          <w:rFonts w:ascii="Times New Roman" w:hAnsi="Times New Roman" w:cs="Times New Roman"/>
          <w:sz w:val="24"/>
          <w:szCs w:val="24"/>
        </w:rPr>
        <w:t>Harare-</w:t>
      </w:r>
      <w:r w:rsidRPr="00D76405">
        <w:rPr>
          <w:rFonts w:ascii="Times New Roman" w:hAnsi="Times New Roman" w:cs="Times New Roman"/>
          <w:sz w:val="24"/>
          <w:szCs w:val="24"/>
        </w:rPr>
        <w:t>Masvingo Road, a vehicle belonging to the first appellant was involved in an accident with a vehicle belonging to the respondent. The accident occurred in the correct lane of travel of the respondent’s vehicle.  At the time of the accident, the second appellant was driving the first appellant’s vehicle.</w:t>
      </w:r>
    </w:p>
    <w:p w:rsidR="000B7316" w:rsidRPr="00D76405" w:rsidRDefault="000B7316" w:rsidP="000B7316">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lastRenderedPageBreak/>
        <w:t>Alleging negligence on the part of the second appellant</w:t>
      </w:r>
      <w:r w:rsidR="002A1C26" w:rsidRPr="00D76405">
        <w:rPr>
          <w:rFonts w:ascii="Times New Roman" w:hAnsi="Times New Roman" w:cs="Times New Roman"/>
          <w:sz w:val="24"/>
          <w:szCs w:val="24"/>
        </w:rPr>
        <w:t xml:space="preserve"> in the court </w:t>
      </w:r>
      <w:r w:rsidR="002A1C26" w:rsidRPr="00D76405">
        <w:rPr>
          <w:rFonts w:ascii="Times New Roman" w:hAnsi="Times New Roman" w:cs="Times New Roman"/>
          <w:i/>
          <w:sz w:val="24"/>
          <w:szCs w:val="24"/>
        </w:rPr>
        <w:t>a quo</w:t>
      </w:r>
      <w:r w:rsidRPr="00D76405">
        <w:rPr>
          <w:rFonts w:ascii="Times New Roman" w:hAnsi="Times New Roman" w:cs="Times New Roman"/>
          <w:i/>
          <w:sz w:val="24"/>
          <w:szCs w:val="24"/>
        </w:rPr>
        <w:t>,</w:t>
      </w:r>
      <w:r w:rsidRPr="00D76405">
        <w:rPr>
          <w:rFonts w:ascii="Times New Roman" w:hAnsi="Times New Roman" w:cs="Times New Roman"/>
          <w:sz w:val="24"/>
          <w:szCs w:val="24"/>
        </w:rPr>
        <w:t xml:space="preserve"> the respondent sued the first appellant vicariously and the second appellant directly</w:t>
      </w:r>
      <w:r w:rsidR="00D075A2" w:rsidRPr="00D76405">
        <w:rPr>
          <w:rFonts w:ascii="Times New Roman" w:hAnsi="Times New Roman" w:cs="Times New Roman"/>
          <w:sz w:val="24"/>
          <w:szCs w:val="24"/>
        </w:rPr>
        <w:t>,</w:t>
      </w:r>
      <w:r w:rsidRPr="00D76405">
        <w:rPr>
          <w:rFonts w:ascii="Times New Roman" w:hAnsi="Times New Roman" w:cs="Times New Roman"/>
          <w:sz w:val="24"/>
          <w:szCs w:val="24"/>
        </w:rPr>
        <w:t xml:space="preserve"> for the damages suffered. In particular, the respondent alleged that the second appellant drove at an excessive speed, failed to exercise due care and attention and failed to control his vehicle when an accident seemed imminent.</w:t>
      </w:r>
    </w:p>
    <w:p w:rsidR="000B7316" w:rsidRPr="00D76405" w:rsidRDefault="000B7316" w:rsidP="000B7316">
      <w:pPr>
        <w:spacing w:after="0" w:line="480" w:lineRule="auto"/>
        <w:ind w:firstLine="1134"/>
        <w:jc w:val="both"/>
        <w:rPr>
          <w:rFonts w:ascii="Times New Roman" w:hAnsi="Times New Roman" w:cs="Times New Roman"/>
          <w:sz w:val="24"/>
          <w:szCs w:val="24"/>
        </w:rPr>
      </w:pPr>
    </w:p>
    <w:p w:rsidR="000B7316" w:rsidRPr="00D76405" w:rsidRDefault="000B7316" w:rsidP="000B7316">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In defending the claim, the appellants denied the alleged negligence on the part of the second appellant. They averred instead, that the second appellant was faced with a sudden emergency in that </w:t>
      </w:r>
      <w:r w:rsidR="006179EC" w:rsidRPr="00D76405">
        <w:rPr>
          <w:rFonts w:ascii="Times New Roman" w:hAnsi="Times New Roman" w:cs="Times New Roman"/>
          <w:sz w:val="24"/>
          <w:szCs w:val="24"/>
        </w:rPr>
        <w:t xml:space="preserve">a </w:t>
      </w:r>
      <w:r w:rsidRPr="00D76405">
        <w:rPr>
          <w:rFonts w:ascii="Times New Roman" w:hAnsi="Times New Roman" w:cs="Times New Roman"/>
          <w:sz w:val="24"/>
          <w:szCs w:val="24"/>
        </w:rPr>
        <w:t xml:space="preserve">tyre on the vehicle burst resulting in him losing control of the vehicle </w:t>
      </w:r>
      <w:r w:rsidR="006179EC" w:rsidRPr="00D76405">
        <w:rPr>
          <w:rFonts w:ascii="Times New Roman" w:hAnsi="Times New Roman" w:cs="Times New Roman"/>
          <w:sz w:val="24"/>
          <w:szCs w:val="24"/>
        </w:rPr>
        <w:t xml:space="preserve">which </w:t>
      </w:r>
      <w:r w:rsidRPr="00D76405">
        <w:rPr>
          <w:rFonts w:ascii="Times New Roman" w:hAnsi="Times New Roman" w:cs="Times New Roman"/>
          <w:sz w:val="24"/>
          <w:szCs w:val="24"/>
        </w:rPr>
        <w:t>collid</w:t>
      </w:r>
      <w:r w:rsidR="006179EC" w:rsidRPr="00D76405">
        <w:rPr>
          <w:rFonts w:ascii="Times New Roman" w:hAnsi="Times New Roman" w:cs="Times New Roman"/>
          <w:sz w:val="24"/>
          <w:szCs w:val="24"/>
        </w:rPr>
        <w:t>ed</w:t>
      </w:r>
      <w:r w:rsidRPr="00D76405">
        <w:rPr>
          <w:rFonts w:ascii="Times New Roman" w:hAnsi="Times New Roman" w:cs="Times New Roman"/>
          <w:sz w:val="24"/>
          <w:szCs w:val="24"/>
        </w:rPr>
        <w:t xml:space="preserve"> with the respondent’s vehicle. The appellants also averred that the respondent’s driver did not take any evasive action when the accident appeared imminent</w:t>
      </w:r>
      <w:r w:rsidR="001E6622" w:rsidRPr="00D76405">
        <w:rPr>
          <w:rFonts w:ascii="Times New Roman" w:hAnsi="Times New Roman" w:cs="Times New Roman"/>
          <w:sz w:val="24"/>
          <w:szCs w:val="24"/>
        </w:rPr>
        <w:t>.</w:t>
      </w:r>
      <w:r w:rsidR="006179EC" w:rsidRPr="00D76405">
        <w:rPr>
          <w:rFonts w:ascii="Times New Roman" w:hAnsi="Times New Roman" w:cs="Times New Roman"/>
          <w:sz w:val="24"/>
          <w:szCs w:val="24"/>
        </w:rPr>
        <w:t xml:space="preserve"> </w:t>
      </w:r>
      <w:r w:rsidRPr="00D76405">
        <w:rPr>
          <w:rFonts w:ascii="Times New Roman" w:hAnsi="Times New Roman" w:cs="Times New Roman"/>
          <w:sz w:val="24"/>
          <w:szCs w:val="24"/>
        </w:rPr>
        <w:t>They did not however file a counterclaim alleging contributory negligence on the part of the respondent’s driver.</w:t>
      </w:r>
    </w:p>
    <w:p w:rsidR="00143477" w:rsidRPr="00D76405" w:rsidRDefault="00143477" w:rsidP="000B7316">
      <w:pPr>
        <w:spacing w:after="0" w:line="480" w:lineRule="auto"/>
        <w:ind w:firstLine="1134"/>
        <w:jc w:val="both"/>
        <w:rPr>
          <w:rFonts w:ascii="Times New Roman" w:hAnsi="Times New Roman" w:cs="Times New Roman"/>
          <w:sz w:val="24"/>
          <w:szCs w:val="24"/>
        </w:rPr>
      </w:pPr>
    </w:p>
    <w:p w:rsidR="000B7316" w:rsidRPr="00D76405" w:rsidRDefault="000B7316" w:rsidP="00143477">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At the trial of the matter, the parties agreed on the </w:t>
      </w:r>
      <w:r w:rsidRPr="00D76405">
        <w:rPr>
          <w:rFonts w:ascii="Times New Roman" w:hAnsi="Times New Roman" w:cs="Times New Roman"/>
          <w:i/>
          <w:sz w:val="24"/>
          <w:szCs w:val="24"/>
        </w:rPr>
        <w:t>quantum</w:t>
      </w:r>
      <w:r w:rsidRPr="00D76405">
        <w:rPr>
          <w:rFonts w:ascii="Times New Roman" w:hAnsi="Times New Roman" w:cs="Times New Roman"/>
          <w:sz w:val="24"/>
          <w:szCs w:val="24"/>
        </w:rPr>
        <w:t xml:space="preserve"> of damages payable. As a result, the sole issue before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was whether or not the accident occurred as a result of the second appellant’s alleged negligence.</w:t>
      </w:r>
    </w:p>
    <w:p w:rsidR="005660D2" w:rsidRPr="00D76405" w:rsidRDefault="005660D2" w:rsidP="00143477">
      <w:pPr>
        <w:spacing w:after="0" w:line="480" w:lineRule="auto"/>
        <w:ind w:firstLine="1134"/>
        <w:jc w:val="both"/>
        <w:rPr>
          <w:rFonts w:ascii="Times New Roman" w:hAnsi="Times New Roman" w:cs="Times New Roman"/>
          <w:sz w:val="24"/>
          <w:szCs w:val="24"/>
        </w:rPr>
      </w:pPr>
    </w:p>
    <w:p w:rsidR="000B7316" w:rsidRPr="00D76405" w:rsidRDefault="000B7316" w:rsidP="005660D2">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The respondent called two witnesses. These were the driver of the vehicle and one other person who was a passenger in the vehicle. The appellants called three witnesses. These were the second appellant, a passenger in the</w:t>
      </w:r>
      <w:r w:rsidR="002A1C26" w:rsidRPr="00D76405">
        <w:rPr>
          <w:rFonts w:ascii="Times New Roman" w:hAnsi="Times New Roman" w:cs="Times New Roman"/>
          <w:sz w:val="24"/>
          <w:szCs w:val="24"/>
        </w:rPr>
        <w:t xml:space="preserve"> car and the first appellant’s transport m</w:t>
      </w:r>
      <w:r w:rsidRPr="00D76405">
        <w:rPr>
          <w:rFonts w:ascii="Times New Roman" w:hAnsi="Times New Roman" w:cs="Times New Roman"/>
          <w:sz w:val="24"/>
          <w:szCs w:val="24"/>
        </w:rPr>
        <w:t>anager.</w:t>
      </w:r>
    </w:p>
    <w:p w:rsidR="00E60CB7" w:rsidRPr="00D76405" w:rsidRDefault="00E60CB7" w:rsidP="005660D2">
      <w:pPr>
        <w:spacing w:after="0" w:line="480" w:lineRule="auto"/>
        <w:ind w:firstLine="1134"/>
        <w:jc w:val="both"/>
        <w:rPr>
          <w:rFonts w:ascii="Times New Roman" w:hAnsi="Times New Roman" w:cs="Times New Roman"/>
          <w:sz w:val="24"/>
          <w:szCs w:val="24"/>
        </w:rPr>
      </w:pPr>
    </w:p>
    <w:p w:rsidR="000B7316" w:rsidRPr="00D76405" w:rsidRDefault="000B7316" w:rsidP="00E60CB7">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Believing the evidence of its two witnesses,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found for the respondent. In particular,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believed the evidence of the two witnesses that there was a second passenger in the first appellants’ vehicle in addition to the one who was called as </w:t>
      </w:r>
      <w:r w:rsidRPr="00D76405">
        <w:rPr>
          <w:rFonts w:ascii="Times New Roman" w:hAnsi="Times New Roman" w:cs="Times New Roman"/>
          <w:sz w:val="24"/>
          <w:szCs w:val="24"/>
        </w:rPr>
        <w:lastRenderedPageBreak/>
        <w:t>a witness. Th</w:t>
      </w:r>
      <w:r w:rsidR="00B176C6" w:rsidRPr="00D76405">
        <w:rPr>
          <w:rFonts w:ascii="Times New Roman" w:hAnsi="Times New Roman" w:cs="Times New Roman"/>
          <w:sz w:val="24"/>
          <w:szCs w:val="24"/>
        </w:rPr>
        <w:t xml:space="preserve">is </w:t>
      </w:r>
      <w:r w:rsidR="00C05A46" w:rsidRPr="00D76405">
        <w:rPr>
          <w:rFonts w:ascii="Times New Roman" w:hAnsi="Times New Roman" w:cs="Times New Roman"/>
          <w:sz w:val="24"/>
          <w:szCs w:val="24"/>
        </w:rPr>
        <w:t>second passenger, a policeman,</w:t>
      </w:r>
      <w:r w:rsidRPr="00D76405">
        <w:rPr>
          <w:rFonts w:ascii="Times New Roman" w:hAnsi="Times New Roman" w:cs="Times New Roman"/>
          <w:sz w:val="24"/>
          <w:szCs w:val="24"/>
        </w:rPr>
        <w:t xml:space="preserve"> was heard </w:t>
      </w:r>
      <w:r w:rsidR="00C05A46" w:rsidRPr="00D76405">
        <w:rPr>
          <w:rFonts w:ascii="Times New Roman" w:hAnsi="Times New Roman" w:cs="Times New Roman"/>
          <w:sz w:val="24"/>
          <w:szCs w:val="24"/>
        </w:rPr>
        <w:t xml:space="preserve">immediately after the accident </w:t>
      </w:r>
      <w:r w:rsidRPr="00D76405">
        <w:rPr>
          <w:rFonts w:ascii="Times New Roman" w:hAnsi="Times New Roman" w:cs="Times New Roman"/>
          <w:sz w:val="24"/>
          <w:szCs w:val="24"/>
        </w:rPr>
        <w:t xml:space="preserve">saying that the second </w:t>
      </w:r>
      <w:r w:rsidR="00863F63" w:rsidRPr="00D76405">
        <w:rPr>
          <w:rFonts w:ascii="Times New Roman" w:hAnsi="Times New Roman" w:cs="Times New Roman"/>
          <w:sz w:val="24"/>
          <w:szCs w:val="24"/>
        </w:rPr>
        <w:t xml:space="preserve">appellant </w:t>
      </w:r>
      <w:r w:rsidRPr="00D76405">
        <w:rPr>
          <w:rFonts w:ascii="Times New Roman" w:hAnsi="Times New Roman" w:cs="Times New Roman"/>
          <w:sz w:val="24"/>
          <w:szCs w:val="24"/>
        </w:rPr>
        <w:t>had been sleeping whilst driving.</w:t>
      </w:r>
    </w:p>
    <w:p w:rsidR="00E60CB7" w:rsidRPr="00D76405" w:rsidRDefault="00E60CB7" w:rsidP="00E60CB7">
      <w:pPr>
        <w:spacing w:after="0" w:line="480" w:lineRule="auto"/>
        <w:ind w:firstLine="1134"/>
        <w:jc w:val="both"/>
        <w:rPr>
          <w:rFonts w:ascii="Times New Roman" w:hAnsi="Times New Roman" w:cs="Times New Roman"/>
          <w:sz w:val="24"/>
          <w:szCs w:val="24"/>
        </w:rPr>
      </w:pPr>
    </w:p>
    <w:p w:rsidR="000B7316" w:rsidRPr="00D76405" w:rsidRDefault="000B7316" w:rsidP="00E60CB7">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The policeman was not called as a witness</w:t>
      </w:r>
      <w:r w:rsidR="00F37344" w:rsidRPr="00D76405">
        <w:rPr>
          <w:rFonts w:ascii="Times New Roman" w:hAnsi="Times New Roman" w:cs="Times New Roman"/>
          <w:sz w:val="24"/>
          <w:szCs w:val="24"/>
        </w:rPr>
        <w:t>.</w:t>
      </w:r>
      <w:r w:rsidRPr="00D76405">
        <w:rPr>
          <w:rFonts w:ascii="Times New Roman" w:hAnsi="Times New Roman" w:cs="Times New Roman"/>
          <w:sz w:val="24"/>
          <w:szCs w:val="24"/>
        </w:rPr>
        <w:t xml:space="preserve"> </w:t>
      </w:r>
      <w:r w:rsidR="00F37344" w:rsidRPr="00D76405">
        <w:rPr>
          <w:rFonts w:ascii="Times New Roman" w:hAnsi="Times New Roman" w:cs="Times New Roman"/>
          <w:sz w:val="24"/>
          <w:szCs w:val="24"/>
        </w:rPr>
        <w:t>His</w:t>
      </w:r>
      <w:r w:rsidRPr="00D76405">
        <w:rPr>
          <w:rFonts w:ascii="Times New Roman" w:hAnsi="Times New Roman" w:cs="Times New Roman"/>
          <w:sz w:val="24"/>
          <w:szCs w:val="24"/>
        </w:rPr>
        <w:t xml:space="preserve"> details were not captured by the police who attended the scene of the accident. He </w:t>
      </w:r>
      <w:r w:rsidR="00F37344" w:rsidRPr="00D76405">
        <w:rPr>
          <w:rFonts w:ascii="Times New Roman" w:hAnsi="Times New Roman" w:cs="Times New Roman"/>
          <w:sz w:val="24"/>
          <w:szCs w:val="24"/>
        </w:rPr>
        <w:t xml:space="preserve">was unidentified and </w:t>
      </w:r>
      <w:r w:rsidRPr="00D76405">
        <w:rPr>
          <w:rFonts w:ascii="Times New Roman" w:hAnsi="Times New Roman" w:cs="Times New Roman"/>
          <w:sz w:val="24"/>
          <w:szCs w:val="24"/>
        </w:rPr>
        <w:t xml:space="preserve">remains </w:t>
      </w:r>
      <w:r w:rsidR="00F37344" w:rsidRPr="00D76405">
        <w:rPr>
          <w:rFonts w:ascii="Times New Roman" w:hAnsi="Times New Roman" w:cs="Times New Roman"/>
          <w:sz w:val="24"/>
          <w:szCs w:val="24"/>
        </w:rPr>
        <w:t xml:space="preserve">not only </w:t>
      </w:r>
      <w:r w:rsidRPr="00D76405">
        <w:rPr>
          <w:rFonts w:ascii="Times New Roman" w:hAnsi="Times New Roman" w:cs="Times New Roman"/>
          <w:sz w:val="24"/>
          <w:szCs w:val="24"/>
        </w:rPr>
        <w:t>unknown</w:t>
      </w:r>
      <w:r w:rsidR="00F37344" w:rsidRPr="00D76405">
        <w:rPr>
          <w:rFonts w:ascii="Times New Roman" w:hAnsi="Times New Roman" w:cs="Times New Roman"/>
          <w:sz w:val="24"/>
          <w:szCs w:val="24"/>
        </w:rPr>
        <w:t xml:space="preserve"> but unidentifiable</w:t>
      </w:r>
      <w:r w:rsidRPr="00D76405">
        <w:rPr>
          <w:rFonts w:ascii="Times New Roman" w:hAnsi="Times New Roman" w:cs="Times New Roman"/>
          <w:sz w:val="24"/>
          <w:szCs w:val="24"/>
        </w:rPr>
        <w:t>.</w:t>
      </w:r>
    </w:p>
    <w:p w:rsidR="00120DC6" w:rsidRPr="00D76405" w:rsidRDefault="00120DC6" w:rsidP="000B7316">
      <w:pPr>
        <w:spacing w:after="0" w:line="480" w:lineRule="auto"/>
        <w:jc w:val="both"/>
        <w:rPr>
          <w:rFonts w:ascii="Times New Roman" w:hAnsi="Times New Roman" w:cs="Times New Roman"/>
          <w:sz w:val="24"/>
          <w:szCs w:val="24"/>
        </w:rPr>
      </w:pPr>
    </w:p>
    <w:p w:rsidR="000B7316" w:rsidRPr="00D76405" w:rsidRDefault="000B7316" w:rsidP="00120DC6">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Aggrieved by the decision of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the appellants noted an appeal to this </w:t>
      </w:r>
      <w:r w:rsidR="00FB3EB4" w:rsidRPr="00D76405">
        <w:rPr>
          <w:rFonts w:ascii="Times New Roman" w:hAnsi="Times New Roman" w:cs="Times New Roman"/>
          <w:sz w:val="24"/>
          <w:szCs w:val="24"/>
        </w:rPr>
        <w:t>C</w:t>
      </w:r>
      <w:r w:rsidRPr="00D76405">
        <w:rPr>
          <w:rFonts w:ascii="Times New Roman" w:hAnsi="Times New Roman" w:cs="Times New Roman"/>
          <w:sz w:val="24"/>
          <w:szCs w:val="24"/>
        </w:rPr>
        <w:t>ourt, raising four grounds of appeal. In the first and second grounds, the appellants raised three challenges. Firstly</w:t>
      </w:r>
      <w:r w:rsidR="007B51D9" w:rsidRPr="00D76405">
        <w:rPr>
          <w:rFonts w:ascii="Times New Roman" w:hAnsi="Times New Roman" w:cs="Times New Roman"/>
          <w:sz w:val="24"/>
          <w:szCs w:val="24"/>
        </w:rPr>
        <w:t>,</w:t>
      </w:r>
      <w:r w:rsidRPr="00D76405">
        <w:rPr>
          <w:rFonts w:ascii="Times New Roman" w:hAnsi="Times New Roman" w:cs="Times New Roman"/>
          <w:sz w:val="24"/>
          <w:szCs w:val="24"/>
        </w:rPr>
        <w:t xml:space="preserve"> they challenged the finding by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that a policeman did indeed ride in the firs</w:t>
      </w:r>
      <w:r w:rsidR="005866E7" w:rsidRPr="00D76405">
        <w:rPr>
          <w:rFonts w:ascii="Times New Roman" w:hAnsi="Times New Roman" w:cs="Times New Roman"/>
          <w:sz w:val="24"/>
          <w:szCs w:val="24"/>
        </w:rPr>
        <w:t>t appellant’s car on the</w:t>
      </w:r>
      <w:r w:rsidRPr="00D76405">
        <w:rPr>
          <w:rFonts w:ascii="Times New Roman" w:hAnsi="Times New Roman" w:cs="Times New Roman"/>
          <w:sz w:val="24"/>
          <w:szCs w:val="24"/>
        </w:rPr>
        <w:t xml:space="preserve"> day</w:t>
      </w:r>
      <w:r w:rsidR="005866E7" w:rsidRPr="00D76405">
        <w:rPr>
          <w:rFonts w:ascii="Times New Roman" w:hAnsi="Times New Roman" w:cs="Times New Roman"/>
          <w:sz w:val="24"/>
          <w:szCs w:val="24"/>
        </w:rPr>
        <w:t>. S</w:t>
      </w:r>
      <w:r w:rsidRPr="00D76405">
        <w:rPr>
          <w:rFonts w:ascii="Times New Roman" w:hAnsi="Times New Roman" w:cs="Times New Roman"/>
          <w:sz w:val="24"/>
          <w:szCs w:val="24"/>
        </w:rPr>
        <w:t xml:space="preserve">econdly, </w:t>
      </w:r>
      <w:r w:rsidR="005866E7" w:rsidRPr="00D76405">
        <w:rPr>
          <w:rFonts w:ascii="Times New Roman" w:hAnsi="Times New Roman" w:cs="Times New Roman"/>
          <w:sz w:val="24"/>
          <w:szCs w:val="24"/>
        </w:rPr>
        <w:t xml:space="preserve">they challenged the finding </w:t>
      </w:r>
      <w:r w:rsidRPr="00D76405">
        <w:rPr>
          <w:rFonts w:ascii="Times New Roman" w:hAnsi="Times New Roman" w:cs="Times New Roman"/>
          <w:sz w:val="24"/>
          <w:szCs w:val="24"/>
        </w:rPr>
        <w:t xml:space="preserve">that the policeman made the utterances attributed to him and, finally, </w:t>
      </w:r>
      <w:r w:rsidR="0095316D" w:rsidRPr="00D76405">
        <w:rPr>
          <w:rFonts w:ascii="Times New Roman" w:hAnsi="Times New Roman" w:cs="Times New Roman"/>
          <w:sz w:val="24"/>
          <w:szCs w:val="24"/>
        </w:rPr>
        <w:t xml:space="preserve">they maintained </w:t>
      </w:r>
      <w:r w:rsidRPr="00D76405">
        <w:rPr>
          <w:rFonts w:ascii="Times New Roman" w:hAnsi="Times New Roman" w:cs="Times New Roman"/>
          <w:sz w:val="24"/>
          <w:szCs w:val="24"/>
        </w:rPr>
        <w:t xml:space="preserve">that such utterances could </w:t>
      </w:r>
      <w:r w:rsidR="0095316D" w:rsidRPr="00D76405">
        <w:rPr>
          <w:rFonts w:ascii="Times New Roman" w:hAnsi="Times New Roman" w:cs="Times New Roman"/>
          <w:sz w:val="24"/>
          <w:szCs w:val="24"/>
        </w:rPr>
        <w:t xml:space="preserve">not </w:t>
      </w:r>
      <w:r w:rsidRPr="00D76405">
        <w:rPr>
          <w:rFonts w:ascii="Times New Roman" w:hAnsi="Times New Roman" w:cs="Times New Roman"/>
          <w:sz w:val="24"/>
          <w:szCs w:val="24"/>
        </w:rPr>
        <w:t xml:space="preserve">form the </w:t>
      </w:r>
      <w:r w:rsidR="005866E7" w:rsidRPr="00D76405">
        <w:rPr>
          <w:rFonts w:ascii="Times New Roman" w:hAnsi="Times New Roman" w:cs="Times New Roman"/>
          <w:sz w:val="24"/>
          <w:szCs w:val="24"/>
        </w:rPr>
        <w:t xml:space="preserve">sole </w:t>
      </w:r>
      <w:r w:rsidRPr="00D76405">
        <w:rPr>
          <w:rFonts w:ascii="Times New Roman" w:hAnsi="Times New Roman" w:cs="Times New Roman"/>
          <w:sz w:val="24"/>
          <w:szCs w:val="24"/>
        </w:rPr>
        <w:t xml:space="preserve">basis of the court’s decision finding the appellants liable. In the third ground of appeal, the appellants contended that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erred in failing to find that the proximate cause of the accident was the burst tyre as alleged </w:t>
      </w:r>
      <w:r w:rsidR="00E91B7A" w:rsidRPr="00D76405">
        <w:rPr>
          <w:rFonts w:ascii="Times New Roman" w:hAnsi="Times New Roman" w:cs="Times New Roman"/>
          <w:sz w:val="24"/>
          <w:szCs w:val="24"/>
        </w:rPr>
        <w:t>by the second appellant. In the last ground of appeal</w:t>
      </w:r>
      <w:r w:rsidRPr="00D76405">
        <w:rPr>
          <w:rFonts w:ascii="Times New Roman" w:hAnsi="Times New Roman" w:cs="Times New Roman"/>
          <w:sz w:val="24"/>
          <w:szCs w:val="24"/>
        </w:rPr>
        <w:t xml:space="preserve">, the appellants contended that the court erred in placing the onus on the appellants to produce a forensic report proving that the tyre of the first appellant’s vehicle burst prior to </w:t>
      </w:r>
      <w:r w:rsidR="00B8007F" w:rsidRPr="00D76405">
        <w:rPr>
          <w:rFonts w:ascii="Times New Roman" w:hAnsi="Times New Roman" w:cs="Times New Roman"/>
          <w:sz w:val="24"/>
          <w:szCs w:val="24"/>
        </w:rPr>
        <w:t xml:space="preserve">the </w:t>
      </w:r>
      <w:r w:rsidRPr="00D76405">
        <w:rPr>
          <w:rFonts w:ascii="Times New Roman" w:hAnsi="Times New Roman" w:cs="Times New Roman"/>
          <w:sz w:val="24"/>
          <w:szCs w:val="24"/>
        </w:rPr>
        <w:t>impact.</w:t>
      </w:r>
    </w:p>
    <w:p w:rsidR="00E64F8C" w:rsidRPr="00D76405" w:rsidRDefault="00E64F8C" w:rsidP="000B7316">
      <w:pPr>
        <w:spacing w:after="0" w:line="480" w:lineRule="auto"/>
        <w:jc w:val="both"/>
        <w:rPr>
          <w:rFonts w:ascii="Times New Roman" w:hAnsi="Times New Roman" w:cs="Times New Roman"/>
          <w:b/>
          <w:sz w:val="24"/>
          <w:szCs w:val="24"/>
        </w:rPr>
      </w:pPr>
    </w:p>
    <w:p w:rsidR="000B7316" w:rsidRPr="00D76405" w:rsidRDefault="003F5759" w:rsidP="000B7316">
      <w:pPr>
        <w:spacing w:after="0" w:line="480" w:lineRule="auto"/>
        <w:jc w:val="both"/>
        <w:rPr>
          <w:rFonts w:ascii="Times New Roman" w:hAnsi="Times New Roman" w:cs="Times New Roman"/>
          <w:b/>
          <w:sz w:val="24"/>
          <w:szCs w:val="24"/>
        </w:rPr>
      </w:pPr>
      <w:r w:rsidRPr="00D76405">
        <w:rPr>
          <w:rFonts w:ascii="Times New Roman" w:hAnsi="Times New Roman" w:cs="Times New Roman"/>
          <w:b/>
          <w:sz w:val="24"/>
          <w:szCs w:val="24"/>
        </w:rPr>
        <w:t>Analysis</w:t>
      </w:r>
    </w:p>
    <w:p w:rsidR="000B7316" w:rsidRPr="00D76405" w:rsidRDefault="000B7316" w:rsidP="000B7316">
      <w:pPr>
        <w:spacing w:after="0" w:line="480" w:lineRule="auto"/>
        <w:jc w:val="both"/>
        <w:rPr>
          <w:rFonts w:ascii="Times New Roman" w:hAnsi="Times New Roman" w:cs="Times New Roman"/>
          <w:sz w:val="24"/>
          <w:szCs w:val="24"/>
        </w:rPr>
      </w:pPr>
      <w:r w:rsidRPr="00D76405">
        <w:rPr>
          <w:rFonts w:ascii="Times New Roman" w:hAnsi="Times New Roman" w:cs="Times New Roman"/>
          <w:sz w:val="24"/>
          <w:szCs w:val="24"/>
        </w:rPr>
        <w:t xml:space="preserve">This is a matter that largely turns on the nature and quality of the evidence that was led before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In particular, the appeal turns on whether </w:t>
      </w:r>
      <w:r w:rsidR="00FA6331" w:rsidRPr="00D76405">
        <w:rPr>
          <w:rFonts w:ascii="Times New Roman" w:hAnsi="Times New Roman" w:cs="Times New Roman"/>
          <w:sz w:val="24"/>
          <w:szCs w:val="24"/>
        </w:rPr>
        <w:t xml:space="preserve">or not </w:t>
      </w:r>
      <w:r w:rsidRPr="00D76405">
        <w:rPr>
          <w:rFonts w:ascii="Times New Roman" w:hAnsi="Times New Roman" w:cs="Times New Roman"/>
          <w:sz w:val="24"/>
          <w:szCs w:val="24"/>
        </w:rPr>
        <w:t xml:space="preserve">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had sufficient evidence before it, upon which it could find for the respondent.  Thus, in broad terms, the appeal raises the following issues:</w:t>
      </w:r>
    </w:p>
    <w:p w:rsidR="000B7316" w:rsidRPr="00D76405" w:rsidRDefault="000B7316" w:rsidP="006A53F2">
      <w:pPr>
        <w:pStyle w:val="ListParagraph"/>
        <w:numPr>
          <w:ilvl w:val="0"/>
          <w:numId w:val="15"/>
        </w:numPr>
        <w:spacing w:after="0" w:line="480" w:lineRule="auto"/>
        <w:ind w:left="851" w:hanging="567"/>
        <w:jc w:val="both"/>
        <w:rPr>
          <w:rFonts w:ascii="Times New Roman" w:hAnsi="Times New Roman" w:cs="Times New Roman"/>
          <w:sz w:val="24"/>
          <w:szCs w:val="24"/>
        </w:rPr>
      </w:pPr>
      <w:r w:rsidRPr="00D76405">
        <w:rPr>
          <w:rFonts w:ascii="Times New Roman" w:hAnsi="Times New Roman" w:cs="Times New Roman"/>
          <w:sz w:val="24"/>
          <w:szCs w:val="24"/>
        </w:rPr>
        <w:lastRenderedPageBreak/>
        <w:t>Whether or not a policeman rode in the appellants’ motor vehicle on the day of the accident and made certain remarks concerning the</w:t>
      </w:r>
      <w:r w:rsidR="00E96790" w:rsidRPr="00D76405">
        <w:rPr>
          <w:rFonts w:ascii="Times New Roman" w:hAnsi="Times New Roman" w:cs="Times New Roman"/>
          <w:sz w:val="24"/>
          <w:szCs w:val="24"/>
        </w:rPr>
        <w:t xml:space="preserve"> manner of the second appellant</w:t>
      </w:r>
      <w:r w:rsidRPr="00D76405">
        <w:rPr>
          <w:rFonts w:ascii="Times New Roman" w:hAnsi="Times New Roman" w:cs="Times New Roman"/>
          <w:sz w:val="24"/>
          <w:szCs w:val="24"/>
        </w:rPr>
        <w:t>’s driving,</w:t>
      </w:r>
    </w:p>
    <w:p w:rsidR="000B7316" w:rsidRPr="00D76405" w:rsidRDefault="000B7316" w:rsidP="006A53F2">
      <w:pPr>
        <w:pStyle w:val="ListParagraph"/>
        <w:numPr>
          <w:ilvl w:val="0"/>
          <w:numId w:val="15"/>
        </w:numPr>
        <w:spacing w:after="0" w:line="480" w:lineRule="auto"/>
        <w:ind w:left="851" w:hanging="567"/>
        <w:jc w:val="both"/>
        <w:rPr>
          <w:rFonts w:ascii="Times New Roman" w:hAnsi="Times New Roman" w:cs="Times New Roman"/>
          <w:sz w:val="24"/>
          <w:szCs w:val="24"/>
        </w:rPr>
      </w:pPr>
      <w:r w:rsidRPr="00D76405">
        <w:rPr>
          <w:rFonts w:ascii="Times New Roman" w:hAnsi="Times New Roman" w:cs="Times New Roman"/>
          <w:sz w:val="24"/>
          <w:szCs w:val="24"/>
        </w:rPr>
        <w:t xml:space="preserve">Whether the remarks by the unidentified policeman constituted sufficient evidence upon which </w:t>
      </w:r>
      <w:r w:rsidR="00C754B0" w:rsidRPr="00D76405">
        <w:rPr>
          <w:rFonts w:ascii="Times New Roman" w:hAnsi="Times New Roman" w:cs="Times New Roman"/>
          <w:sz w:val="24"/>
          <w:szCs w:val="24"/>
        </w:rPr>
        <w:t xml:space="preserve">solely </w:t>
      </w:r>
      <w:r w:rsidRPr="00D76405">
        <w:rPr>
          <w:rFonts w:ascii="Times New Roman" w:hAnsi="Times New Roman" w:cs="Times New Roman"/>
          <w:sz w:val="24"/>
          <w:szCs w:val="24"/>
        </w:rPr>
        <w:t xml:space="preserve">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could base its decision and,</w:t>
      </w:r>
    </w:p>
    <w:p w:rsidR="000B7316" w:rsidRPr="00D76405" w:rsidRDefault="000B7316" w:rsidP="006A53F2">
      <w:pPr>
        <w:pStyle w:val="ListParagraph"/>
        <w:numPr>
          <w:ilvl w:val="0"/>
          <w:numId w:val="15"/>
        </w:numPr>
        <w:spacing w:after="0" w:line="480" w:lineRule="auto"/>
        <w:ind w:left="851" w:hanging="567"/>
        <w:jc w:val="both"/>
        <w:rPr>
          <w:rFonts w:ascii="Times New Roman" w:hAnsi="Times New Roman" w:cs="Times New Roman"/>
          <w:sz w:val="24"/>
          <w:szCs w:val="24"/>
        </w:rPr>
      </w:pPr>
      <w:r w:rsidRPr="00D76405">
        <w:rPr>
          <w:rFonts w:ascii="Times New Roman" w:hAnsi="Times New Roman" w:cs="Times New Roman"/>
          <w:sz w:val="24"/>
          <w:szCs w:val="24"/>
        </w:rPr>
        <w:t>Whether, in the circumstances, the respondents proved that the proximate cause of the accident</w:t>
      </w:r>
      <w:r w:rsidR="007B51D9" w:rsidRPr="00D76405">
        <w:rPr>
          <w:rFonts w:ascii="Times New Roman" w:hAnsi="Times New Roman" w:cs="Times New Roman"/>
          <w:sz w:val="24"/>
          <w:szCs w:val="24"/>
        </w:rPr>
        <w:t xml:space="preserve"> was the alleged negligence of the second appellant</w:t>
      </w:r>
      <w:r w:rsidRPr="00D76405">
        <w:rPr>
          <w:rFonts w:ascii="Times New Roman" w:hAnsi="Times New Roman" w:cs="Times New Roman"/>
          <w:sz w:val="24"/>
          <w:szCs w:val="24"/>
        </w:rPr>
        <w:t>.</w:t>
      </w:r>
    </w:p>
    <w:p w:rsidR="003F5759" w:rsidRPr="00D76405" w:rsidRDefault="003F5759" w:rsidP="003F5759">
      <w:pPr>
        <w:pStyle w:val="ListParagraph"/>
        <w:spacing w:after="0" w:line="480" w:lineRule="auto"/>
        <w:ind w:left="851"/>
        <w:jc w:val="both"/>
        <w:rPr>
          <w:rFonts w:ascii="Times New Roman" w:hAnsi="Times New Roman" w:cs="Times New Roman"/>
          <w:sz w:val="24"/>
          <w:szCs w:val="24"/>
        </w:rPr>
      </w:pPr>
    </w:p>
    <w:p w:rsidR="000B7316" w:rsidRPr="00D76405" w:rsidRDefault="000B7316" w:rsidP="003F5759">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As indicated above, the appellants challenged the finding by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that there was a policeman who disembarked from the appellant’s vehicle after the accident and made certain utterances concerning the manner of the second appellant’s driving. </w:t>
      </w:r>
    </w:p>
    <w:p w:rsidR="003F5759" w:rsidRPr="00D76405" w:rsidRDefault="003F5759" w:rsidP="003F5759">
      <w:pPr>
        <w:spacing w:after="0" w:line="480" w:lineRule="auto"/>
        <w:ind w:firstLine="1134"/>
        <w:jc w:val="both"/>
        <w:rPr>
          <w:rFonts w:ascii="Times New Roman" w:hAnsi="Times New Roman" w:cs="Times New Roman"/>
          <w:sz w:val="24"/>
          <w:szCs w:val="24"/>
        </w:rPr>
      </w:pPr>
    </w:p>
    <w:p w:rsidR="00B123B7" w:rsidRPr="00D76405" w:rsidRDefault="000B7316" w:rsidP="003F5759">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The presence of the unidentified policeman was denied by the appellant’s witnesses.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disbelieved the appellant’s witnesses </w:t>
      </w:r>
      <w:r w:rsidR="00B123B7" w:rsidRPr="00D76405">
        <w:rPr>
          <w:rFonts w:ascii="Times New Roman" w:hAnsi="Times New Roman" w:cs="Times New Roman"/>
          <w:sz w:val="24"/>
          <w:szCs w:val="24"/>
        </w:rPr>
        <w:t xml:space="preserve">in this regard </w:t>
      </w:r>
      <w:r w:rsidRPr="00D76405">
        <w:rPr>
          <w:rFonts w:ascii="Times New Roman" w:hAnsi="Times New Roman" w:cs="Times New Roman"/>
          <w:sz w:val="24"/>
          <w:szCs w:val="24"/>
        </w:rPr>
        <w:t xml:space="preserve">and found that there was indeed a policeman who was riding in the first appellant’s vehicle </w:t>
      </w:r>
      <w:r w:rsidR="00B123B7" w:rsidRPr="00D76405">
        <w:rPr>
          <w:rFonts w:ascii="Times New Roman" w:hAnsi="Times New Roman" w:cs="Times New Roman"/>
          <w:sz w:val="24"/>
          <w:szCs w:val="24"/>
        </w:rPr>
        <w:t xml:space="preserve">immediately </w:t>
      </w:r>
      <w:r w:rsidRPr="00D76405">
        <w:rPr>
          <w:rFonts w:ascii="Times New Roman" w:hAnsi="Times New Roman" w:cs="Times New Roman"/>
          <w:sz w:val="24"/>
          <w:szCs w:val="24"/>
        </w:rPr>
        <w:t xml:space="preserve">before the accident. In making this finding,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relied on the evidence of the respondent’s two witnesses </w:t>
      </w:r>
      <w:r w:rsidR="00B123B7" w:rsidRPr="00D76405">
        <w:rPr>
          <w:rFonts w:ascii="Times New Roman" w:hAnsi="Times New Roman" w:cs="Times New Roman"/>
          <w:sz w:val="24"/>
          <w:szCs w:val="24"/>
        </w:rPr>
        <w:t xml:space="preserve">whom it found </w:t>
      </w:r>
      <w:r w:rsidRPr="00D76405">
        <w:rPr>
          <w:rFonts w:ascii="Times New Roman" w:hAnsi="Times New Roman" w:cs="Times New Roman"/>
          <w:sz w:val="24"/>
          <w:szCs w:val="24"/>
        </w:rPr>
        <w:t>credible.</w:t>
      </w:r>
      <w:r w:rsidR="00507E13" w:rsidRPr="00D76405">
        <w:rPr>
          <w:rFonts w:ascii="Times New Roman" w:hAnsi="Times New Roman" w:cs="Times New Roman"/>
          <w:sz w:val="24"/>
          <w:szCs w:val="24"/>
        </w:rPr>
        <w:t xml:space="preserve"> </w:t>
      </w:r>
    </w:p>
    <w:p w:rsidR="00B123B7" w:rsidRPr="00D76405" w:rsidRDefault="00B123B7" w:rsidP="003F5759">
      <w:pPr>
        <w:spacing w:after="0" w:line="480" w:lineRule="auto"/>
        <w:ind w:firstLine="1134"/>
        <w:jc w:val="both"/>
        <w:rPr>
          <w:rFonts w:ascii="Times New Roman" w:hAnsi="Times New Roman" w:cs="Times New Roman"/>
          <w:sz w:val="24"/>
          <w:szCs w:val="24"/>
        </w:rPr>
      </w:pPr>
    </w:p>
    <w:p w:rsidR="00355DD7" w:rsidRPr="00D76405" w:rsidRDefault="00927BFB" w:rsidP="003F5759">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The conclusion that a policeman rode</w:t>
      </w:r>
      <w:r w:rsidR="00507E13" w:rsidRPr="00D76405">
        <w:rPr>
          <w:rFonts w:ascii="Times New Roman" w:hAnsi="Times New Roman" w:cs="Times New Roman"/>
          <w:sz w:val="24"/>
          <w:szCs w:val="24"/>
        </w:rPr>
        <w:t xml:space="preserve"> in the appellants’ vehicle is a finding of fact. It was </w:t>
      </w:r>
      <w:r w:rsidR="000D09C1" w:rsidRPr="00D76405">
        <w:rPr>
          <w:rFonts w:ascii="Times New Roman" w:hAnsi="Times New Roman" w:cs="Times New Roman"/>
          <w:sz w:val="24"/>
          <w:szCs w:val="24"/>
        </w:rPr>
        <w:t xml:space="preserve">a finding </w:t>
      </w:r>
      <w:r w:rsidR="00507E13" w:rsidRPr="00D76405">
        <w:rPr>
          <w:rFonts w:ascii="Times New Roman" w:hAnsi="Times New Roman" w:cs="Times New Roman"/>
          <w:sz w:val="24"/>
          <w:szCs w:val="24"/>
        </w:rPr>
        <w:t xml:space="preserve">made </w:t>
      </w:r>
      <w:r w:rsidR="00B32D51" w:rsidRPr="00D76405">
        <w:rPr>
          <w:rFonts w:ascii="Times New Roman" w:hAnsi="Times New Roman" w:cs="Times New Roman"/>
          <w:sz w:val="24"/>
          <w:szCs w:val="24"/>
        </w:rPr>
        <w:t xml:space="preserve">on the basis of direct evidence from the respondent’s witnesses. </w:t>
      </w:r>
      <w:r w:rsidR="000B7316" w:rsidRPr="00D76405">
        <w:rPr>
          <w:rFonts w:ascii="Times New Roman" w:hAnsi="Times New Roman" w:cs="Times New Roman"/>
          <w:sz w:val="24"/>
          <w:szCs w:val="24"/>
        </w:rPr>
        <w:t xml:space="preserve">Thus, unless the finding of the court </w:t>
      </w:r>
      <w:r w:rsidR="000B7316" w:rsidRPr="00D76405">
        <w:rPr>
          <w:rFonts w:ascii="Times New Roman" w:hAnsi="Times New Roman" w:cs="Times New Roman"/>
          <w:i/>
          <w:sz w:val="24"/>
          <w:szCs w:val="24"/>
        </w:rPr>
        <w:t>a quo</w:t>
      </w:r>
      <w:r w:rsidR="000B7316" w:rsidRPr="00D76405">
        <w:rPr>
          <w:rFonts w:ascii="Times New Roman" w:hAnsi="Times New Roman" w:cs="Times New Roman"/>
          <w:sz w:val="24"/>
          <w:szCs w:val="24"/>
        </w:rPr>
        <w:t xml:space="preserve"> </w:t>
      </w:r>
      <w:r w:rsidR="000D09C1" w:rsidRPr="00D76405">
        <w:rPr>
          <w:rFonts w:ascii="Times New Roman" w:hAnsi="Times New Roman" w:cs="Times New Roman"/>
          <w:sz w:val="24"/>
          <w:szCs w:val="24"/>
        </w:rPr>
        <w:t xml:space="preserve">that the respondent’s witnesses were credible </w:t>
      </w:r>
      <w:r w:rsidR="006064ED" w:rsidRPr="00D76405">
        <w:rPr>
          <w:rFonts w:ascii="Times New Roman" w:hAnsi="Times New Roman" w:cs="Times New Roman"/>
          <w:sz w:val="24"/>
          <w:szCs w:val="24"/>
        </w:rPr>
        <w:t>is set aside</w:t>
      </w:r>
      <w:r w:rsidR="000B7316" w:rsidRPr="00D76405">
        <w:rPr>
          <w:rFonts w:ascii="Times New Roman" w:hAnsi="Times New Roman" w:cs="Times New Roman"/>
          <w:sz w:val="24"/>
          <w:szCs w:val="24"/>
        </w:rPr>
        <w:t>, there is no basis upon which I can interfere with this finding.</w:t>
      </w:r>
    </w:p>
    <w:p w:rsidR="000B7316" w:rsidRPr="00D76405" w:rsidRDefault="000B7316" w:rsidP="003F5759">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 </w:t>
      </w:r>
    </w:p>
    <w:p w:rsidR="000B7316" w:rsidRPr="00D76405" w:rsidRDefault="000B7316" w:rsidP="00355DD7">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In arguing that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erred in finding that there was a policeman who rode with the second appellant in addition to the passenger who testified, </w:t>
      </w:r>
      <w:r w:rsidRPr="00D76405">
        <w:rPr>
          <w:rFonts w:ascii="Times New Roman" w:hAnsi="Times New Roman" w:cs="Times New Roman"/>
          <w:i/>
          <w:sz w:val="24"/>
          <w:szCs w:val="24"/>
        </w:rPr>
        <w:t>Mr Magwaliba</w:t>
      </w:r>
      <w:r w:rsidRPr="00D76405">
        <w:rPr>
          <w:rFonts w:ascii="Times New Roman" w:hAnsi="Times New Roman" w:cs="Times New Roman"/>
          <w:sz w:val="24"/>
          <w:szCs w:val="24"/>
        </w:rPr>
        <w:t xml:space="preserve"> submitted </w:t>
      </w:r>
      <w:r w:rsidRPr="00D76405">
        <w:rPr>
          <w:rFonts w:ascii="Times New Roman" w:hAnsi="Times New Roman" w:cs="Times New Roman"/>
          <w:sz w:val="24"/>
          <w:szCs w:val="24"/>
        </w:rPr>
        <w:lastRenderedPageBreak/>
        <w:t>that apart from the testimonies of the two witnesses, there was no other independent evidence corroborating the presence of the unid</w:t>
      </w:r>
      <w:r w:rsidR="002A63D1" w:rsidRPr="00D76405">
        <w:rPr>
          <w:rFonts w:ascii="Times New Roman" w:hAnsi="Times New Roman" w:cs="Times New Roman"/>
          <w:sz w:val="24"/>
          <w:szCs w:val="24"/>
        </w:rPr>
        <w:t>entified policeman.  I am unaware of a</w:t>
      </w:r>
      <w:r w:rsidRPr="00D76405">
        <w:rPr>
          <w:rFonts w:ascii="Times New Roman" w:hAnsi="Times New Roman" w:cs="Times New Roman"/>
          <w:sz w:val="24"/>
          <w:szCs w:val="24"/>
        </w:rPr>
        <w:t xml:space="preserve"> law t</w:t>
      </w:r>
      <w:r w:rsidR="002A63D1" w:rsidRPr="00D76405">
        <w:rPr>
          <w:rFonts w:ascii="Times New Roman" w:hAnsi="Times New Roman" w:cs="Times New Roman"/>
          <w:sz w:val="24"/>
          <w:szCs w:val="24"/>
        </w:rPr>
        <w:t>hat requires</w:t>
      </w:r>
      <w:r w:rsidRPr="00D76405">
        <w:rPr>
          <w:rFonts w:ascii="Times New Roman" w:hAnsi="Times New Roman" w:cs="Times New Roman"/>
          <w:sz w:val="24"/>
          <w:szCs w:val="24"/>
        </w:rPr>
        <w:t xml:space="preserve"> corroboration of direct evidence from two competent witnesses</w:t>
      </w:r>
      <w:r w:rsidR="002A63D1" w:rsidRPr="00D76405">
        <w:rPr>
          <w:rFonts w:ascii="Times New Roman" w:hAnsi="Times New Roman" w:cs="Times New Roman"/>
          <w:sz w:val="24"/>
          <w:szCs w:val="24"/>
        </w:rPr>
        <w:t xml:space="preserve"> in an accident damages claim</w:t>
      </w:r>
      <w:r w:rsidRPr="00D76405">
        <w:rPr>
          <w:rFonts w:ascii="Times New Roman" w:hAnsi="Times New Roman" w:cs="Times New Roman"/>
          <w:sz w:val="24"/>
          <w:szCs w:val="24"/>
        </w:rPr>
        <w:t xml:space="preserve">. </w:t>
      </w:r>
      <w:r w:rsidRPr="00D76405">
        <w:rPr>
          <w:rFonts w:ascii="Times New Roman" w:hAnsi="Times New Roman" w:cs="Times New Roman"/>
          <w:i/>
          <w:sz w:val="24"/>
          <w:szCs w:val="24"/>
        </w:rPr>
        <w:t>Mr Magwaliba</w:t>
      </w:r>
      <w:r w:rsidRPr="00D76405">
        <w:rPr>
          <w:rFonts w:ascii="Times New Roman" w:hAnsi="Times New Roman" w:cs="Times New Roman"/>
          <w:sz w:val="24"/>
          <w:szCs w:val="24"/>
        </w:rPr>
        <w:t xml:space="preserve"> did not point to any.</w:t>
      </w:r>
    </w:p>
    <w:p w:rsidR="00273065" w:rsidRPr="00D76405" w:rsidRDefault="00273065" w:rsidP="00355DD7">
      <w:pPr>
        <w:spacing w:after="0" w:line="480" w:lineRule="auto"/>
        <w:ind w:firstLine="1134"/>
        <w:jc w:val="both"/>
        <w:rPr>
          <w:rFonts w:ascii="Times New Roman" w:hAnsi="Times New Roman" w:cs="Times New Roman"/>
          <w:sz w:val="24"/>
          <w:szCs w:val="24"/>
        </w:rPr>
      </w:pPr>
    </w:p>
    <w:p w:rsidR="000B7316" w:rsidRPr="00D76405" w:rsidRDefault="000B7316" w:rsidP="00273065">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No valid basis having been raised and </w:t>
      </w:r>
      <w:r w:rsidR="0019782B" w:rsidRPr="00D76405">
        <w:rPr>
          <w:rFonts w:ascii="Times New Roman" w:hAnsi="Times New Roman" w:cs="Times New Roman"/>
          <w:sz w:val="24"/>
          <w:szCs w:val="24"/>
        </w:rPr>
        <w:t>sustained</w:t>
      </w:r>
      <w:r w:rsidR="006064ED" w:rsidRPr="00D76405">
        <w:rPr>
          <w:rFonts w:ascii="Times New Roman" w:hAnsi="Times New Roman" w:cs="Times New Roman"/>
          <w:sz w:val="24"/>
          <w:szCs w:val="24"/>
        </w:rPr>
        <w:t xml:space="preserve"> for setting aside</w:t>
      </w:r>
      <w:r w:rsidRPr="00D76405">
        <w:rPr>
          <w:rFonts w:ascii="Times New Roman" w:hAnsi="Times New Roman" w:cs="Times New Roman"/>
          <w:sz w:val="24"/>
          <w:szCs w:val="24"/>
        </w:rPr>
        <w:t xml:space="preserve"> the finding of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on the credibility of</w:t>
      </w:r>
      <w:r w:rsidR="00E407BC" w:rsidRPr="00D76405">
        <w:rPr>
          <w:rFonts w:ascii="Times New Roman" w:hAnsi="Times New Roman" w:cs="Times New Roman"/>
          <w:sz w:val="24"/>
          <w:szCs w:val="24"/>
        </w:rPr>
        <w:t xml:space="preserve"> the respondent’s witnesses, the</w:t>
      </w:r>
      <w:r w:rsidRPr="00D76405">
        <w:rPr>
          <w:rFonts w:ascii="Times New Roman" w:hAnsi="Times New Roman" w:cs="Times New Roman"/>
          <w:sz w:val="24"/>
          <w:szCs w:val="24"/>
        </w:rPr>
        <w:t xml:space="preserve"> finding that there was a policeman who was also a passenger in the first appellant’s vehicle before the accident, cannot be impugned. </w:t>
      </w:r>
    </w:p>
    <w:p w:rsidR="00941433" w:rsidRPr="00D76405" w:rsidRDefault="00941433" w:rsidP="00273065">
      <w:pPr>
        <w:spacing w:after="0" w:line="480" w:lineRule="auto"/>
        <w:ind w:firstLine="1134"/>
        <w:jc w:val="both"/>
        <w:rPr>
          <w:rFonts w:ascii="Times New Roman" w:hAnsi="Times New Roman" w:cs="Times New Roman"/>
          <w:sz w:val="24"/>
          <w:szCs w:val="24"/>
        </w:rPr>
      </w:pPr>
    </w:p>
    <w:p w:rsidR="000B7316" w:rsidRPr="00D76405" w:rsidRDefault="000B7316" w:rsidP="00941433">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Again, evidence of what the policeman allegedly said about the manner of the second appellant’ driving, was given by the two witnesses for the respondent. Having found the witnesses credible, the court </w:t>
      </w:r>
      <w:r w:rsidRPr="00D76405">
        <w:rPr>
          <w:rFonts w:ascii="Times New Roman" w:hAnsi="Times New Roman" w:cs="Times New Roman"/>
          <w:i/>
          <w:sz w:val="24"/>
          <w:szCs w:val="24"/>
        </w:rPr>
        <w:t xml:space="preserve">a quo </w:t>
      </w:r>
      <w:r w:rsidRPr="00D76405">
        <w:rPr>
          <w:rFonts w:ascii="Times New Roman" w:hAnsi="Times New Roman" w:cs="Times New Roman"/>
          <w:sz w:val="24"/>
          <w:szCs w:val="24"/>
        </w:rPr>
        <w:t xml:space="preserve">accepted their </w:t>
      </w:r>
      <w:r w:rsidR="001831DC" w:rsidRPr="00D76405">
        <w:rPr>
          <w:rFonts w:ascii="Times New Roman" w:hAnsi="Times New Roman" w:cs="Times New Roman"/>
          <w:sz w:val="24"/>
          <w:szCs w:val="24"/>
        </w:rPr>
        <w:t xml:space="preserve">respective </w:t>
      </w:r>
      <w:r w:rsidRPr="00D76405">
        <w:rPr>
          <w:rFonts w:ascii="Times New Roman" w:hAnsi="Times New Roman" w:cs="Times New Roman"/>
          <w:sz w:val="24"/>
          <w:szCs w:val="24"/>
        </w:rPr>
        <w:t>evidence regarding the statement made by the unidentified policema</w:t>
      </w:r>
      <w:r w:rsidR="001831DC" w:rsidRPr="00D76405">
        <w:rPr>
          <w:rFonts w:ascii="Times New Roman" w:hAnsi="Times New Roman" w:cs="Times New Roman"/>
          <w:sz w:val="24"/>
          <w:szCs w:val="24"/>
        </w:rPr>
        <w:t>n</w:t>
      </w:r>
      <w:r w:rsidRPr="00D76405">
        <w:rPr>
          <w:rFonts w:ascii="Times New Roman" w:hAnsi="Times New Roman" w:cs="Times New Roman"/>
          <w:sz w:val="24"/>
          <w:szCs w:val="24"/>
        </w:rPr>
        <w:t>.</w:t>
      </w:r>
      <w:r w:rsidR="0061297F" w:rsidRPr="00D76405">
        <w:rPr>
          <w:rFonts w:ascii="Times New Roman" w:hAnsi="Times New Roman" w:cs="Times New Roman"/>
          <w:sz w:val="24"/>
          <w:szCs w:val="24"/>
        </w:rPr>
        <w:t xml:space="preserve"> The court a quo’s finding </w:t>
      </w:r>
      <w:r w:rsidR="001831DC" w:rsidRPr="00D76405">
        <w:rPr>
          <w:rFonts w:ascii="Times New Roman" w:hAnsi="Times New Roman" w:cs="Times New Roman"/>
          <w:sz w:val="24"/>
          <w:szCs w:val="24"/>
        </w:rPr>
        <w:t xml:space="preserve">that the policeman made a statement regarding the manner of the second appellant’s driving </w:t>
      </w:r>
      <w:r w:rsidR="0061297F" w:rsidRPr="00D76405">
        <w:rPr>
          <w:rFonts w:ascii="Times New Roman" w:hAnsi="Times New Roman" w:cs="Times New Roman"/>
          <w:sz w:val="24"/>
          <w:szCs w:val="24"/>
        </w:rPr>
        <w:t>cannot be impugned.</w:t>
      </w:r>
    </w:p>
    <w:p w:rsidR="007A52D4" w:rsidRPr="00D76405" w:rsidRDefault="007A52D4" w:rsidP="00941433">
      <w:pPr>
        <w:spacing w:after="0" w:line="480" w:lineRule="auto"/>
        <w:ind w:firstLine="1134"/>
        <w:jc w:val="both"/>
        <w:rPr>
          <w:rFonts w:ascii="Times New Roman" w:hAnsi="Times New Roman" w:cs="Times New Roman"/>
          <w:sz w:val="24"/>
          <w:szCs w:val="24"/>
        </w:rPr>
      </w:pPr>
    </w:p>
    <w:p w:rsidR="000B7316" w:rsidRPr="00D76405" w:rsidRDefault="000B7316" w:rsidP="007A52D4">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admitted the statement by the unidentified policeman as secondary hearsay evid</w:t>
      </w:r>
      <w:r w:rsidR="0061297F" w:rsidRPr="00D76405">
        <w:rPr>
          <w:rFonts w:ascii="Times New Roman" w:hAnsi="Times New Roman" w:cs="Times New Roman"/>
          <w:sz w:val="24"/>
          <w:szCs w:val="24"/>
        </w:rPr>
        <w:t>ence. In this regard, it</w:t>
      </w:r>
      <w:r w:rsidRPr="00D76405">
        <w:rPr>
          <w:rFonts w:ascii="Times New Roman" w:hAnsi="Times New Roman" w:cs="Times New Roman"/>
          <w:sz w:val="24"/>
          <w:szCs w:val="24"/>
        </w:rPr>
        <w:t xml:space="preserve"> relied on the provisions of </w:t>
      </w:r>
      <w:r w:rsidR="002C15D0" w:rsidRPr="00D76405">
        <w:rPr>
          <w:rFonts w:ascii="Times New Roman" w:hAnsi="Times New Roman" w:cs="Times New Roman"/>
          <w:sz w:val="24"/>
          <w:szCs w:val="24"/>
        </w:rPr>
        <w:t>s</w:t>
      </w:r>
      <w:r w:rsidRPr="00D76405">
        <w:rPr>
          <w:rFonts w:ascii="Times New Roman" w:hAnsi="Times New Roman" w:cs="Times New Roman"/>
          <w:sz w:val="24"/>
          <w:szCs w:val="24"/>
        </w:rPr>
        <w:t xml:space="preserve"> 27 of the Civil Evidence Act [</w:t>
      </w:r>
      <w:r w:rsidRPr="00D76405">
        <w:rPr>
          <w:rFonts w:ascii="Times New Roman" w:hAnsi="Times New Roman" w:cs="Times New Roman"/>
          <w:i/>
          <w:sz w:val="24"/>
          <w:szCs w:val="24"/>
        </w:rPr>
        <w:t>Chapter 8.01</w:t>
      </w:r>
      <w:r w:rsidRPr="00D76405">
        <w:rPr>
          <w:rFonts w:ascii="Times New Roman" w:hAnsi="Times New Roman" w:cs="Times New Roman"/>
          <w:sz w:val="24"/>
          <w:szCs w:val="24"/>
        </w:rPr>
        <w:t xml:space="preserve">]. This section provides that evidence of a statement made by a person whether orally or otherwise shall be admissible in civil proceedings as evidence of any fact mentioned or described in the statement if direct oral evidence by that person, of that fact, would be admissible in those proceedings. </w:t>
      </w:r>
    </w:p>
    <w:p w:rsidR="001F0B25" w:rsidRPr="00D76405" w:rsidRDefault="001F0B25" w:rsidP="007A52D4">
      <w:pPr>
        <w:spacing w:after="0" w:line="480" w:lineRule="auto"/>
        <w:ind w:firstLine="1134"/>
        <w:jc w:val="both"/>
        <w:rPr>
          <w:rFonts w:ascii="Times New Roman" w:hAnsi="Times New Roman" w:cs="Times New Roman"/>
          <w:sz w:val="24"/>
          <w:szCs w:val="24"/>
        </w:rPr>
      </w:pPr>
    </w:p>
    <w:p w:rsidR="000B7316" w:rsidRPr="00D76405" w:rsidRDefault="000B7316" w:rsidP="001F0B25">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The issue that immediately presents itself in the circumstances of this matter is whether or not the provisions of s27 of the Act apply</w:t>
      </w:r>
      <w:r w:rsidR="007C135F" w:rsidRPr="00D76405">
        <w:rPr>
          <w:rFonts w:ascii="Times New Roman" w:hAnsi="Times New Roman" w:cs="Times New Roman"/>
          <w:sz w:val="24"/>
          <w:szCs w:val="24"/>
        </w:rPr>
        <w:t xml:space="preserve">. </w:t>
      </w:r>
      <w:r w:rsidR="00F80B86" w:rsidRPr="00D76405">
        <w:rPr>
          <w:rFonts w:ascii="Times New Roman" w:hAnsi="Times New Roman" w:cs="Times New Roman"/>
          <w:sz w:val="24"/>
          <w:szCs w:val="24"/>
        </w:rPr>
        <w:t>T</w:t>
      </w:r>
      <w:r w:rsidRPr="00D76405">
        <w:rPr>
          <w:rFonts w:ascii="Times New Roman" w:hAnsi="Times New Roman" w:cs="Times New Roman"/>
          <w:sz w:val="24"/>
          <w:szCs w:val="24"/>
        </w:rPr>
        <w:t>he maker of the statement</w:t>
      </w:r>
      <w:r w:rsidR="007C135F" w:rsidRPr="00D76405">
        <w:rPr>
          <w:rFonts w:ascii="Times New Roman" w:hAnsi="Times New Roman" w:cs="Times New Roman"/>
          <w:sz w:val="24"/>
          <w:szCs w:val="24"/>
        </w:rPr>
        <w:t>,</w:t>
      </w:r>
      <w:r w:rsidRPr="00D76405">
        <w:rPr>
          <w:rFonts w:ascii="Times New Roman" w:hAnsi="Times New Roman" w:cs="Times New Roman"/>
          <w:sz w:val="24"/>
          <w:szCs w:val="24"/>
        </w:rPr>
        <w:t xml:space="preserve"> although </w:t>
      </w:r>
      <w:r w:rsidRPr="00D76405">
        <w:rPr>
          <w:rFonts w:ascii="Times New Roman" w:hAnsi="Times New Roman" w:cs="Times New Roman"/>
          <w:sz w:val="24"/>
          <w:szCs w:val="24"/>
        </w:rPr>
        <w:lastRenderedPageBreak/>
        <w:t xml:space="preserve">identified as </w:t>
      </w:r>
      <w:r w:rsidR="007C135F" w:rsidRPr="00D76405">
        <w:rPr>
          <w:rFonts w:ascii="Times New Roman" w:hAnsi="Times New Roman" w:cs="Times New Roman"/>
          <w:sz w:val="24"/>
          <w:szCs w:val="24"/>
        </w:rPr>
        <w:t>a policeman</w:t>
      </w:r>
      <w:r w:rsidRPr="00D76405">
        <w:rPr>
          <w:rFonts w:ascii="Times New Roman" w:hAnsi="Times New Roman" w:cs="Times New Roman"/>
          <w:sz w:val="24"/>
          <w:szCs w:val="24"/>
        </w:rPr>
        <w:t xml:space="preserve"> who was a passenger in the appellants’ vehicle, is to all intents and purposes unknown and cannot be identified. Thus, </w:t>
      </w:r>
      <w:r w:rsidR="00084BDB" w:rsidRPr="00D76405">
        <w:rPr>
          <w:rFonts w:ascii="Times New Roman" w:hAnsi="Times New Roman" w:cs="Times New Roman"/>
          <w:sz w:val="24"/>
          <w:szCs w:val="24"/>
        </w:rPr>
        <w:t xml:space="preserve">in practical terms, </w:t>
      </w:r>
      <w:r w:rsidRPr="00D76405">
        <w:rPr>
          <w:rFonts w:ascii="Times New Roman" w:hAnsi="Times New Roman" w:cs="Times New Roman"/>
          <w:sz w:val="24"/>
          <w:szCs w:val="24"/>
        </w:rPr>
        <w:t xml:space="preserve">the maker of the statement could not have testified in the proceedings </w:t>
      </w:r>
      <w:r w:rsidR="00084BDB" w:rsidRPr="00D76405">
        <w:rPr>
          <w:rFonts w:ascii="Times New Roman" w:hAnsi="Times New Roman" w:cs="Times New Roman"/>
          <w:i/>
          <w:sz w:val="24"/>
          <w:szCs w:val="24"/>
        </w:rPr>
        <w:t>a quo</w:t>
      </w:r>
      <w:r w:rsidR="00084BDB" w:rsidRPr="00D76405">
        <w:rPr>
          <w:rFonts w:ascii="Times New Roman" w:hAnsi="Times New Roman" w:cs="Times New Roman"/>
          <w:sz w:val="24"/>
          <w:szCs w:val="24"/>
        </w:rPr>
        <w:t xml:space="preserve"> </w:t>
      </w:r>
      <w:r w:rsidRPr="00D76405">
        <w:rPr>
          <w:rFonts w:ascii="Times New Roman" w:hAnsi="Times New Roman" w:cs="Times New Roman"/>
          <w:sz w:val="24"/>
          <w:szCs w:val="24"/>
        </w:rPr>
        <w:t xml:space="preserve">at all as he </w:t>
      </w:r>
      <w:r w:rsidR="00084BDB" w:rsidRPr="00D76405">
        <w:rPr>
          <w:rFonts w:ascii="Times New Roman" w:hAnsi="Times New Roman" w:cs="Times New Roman"/>
          <w:sz w:val="24"/>
          <w:szCs w:val="24"/>
        </w:rPr>
        <w:t>remained unknown and unidentifiable.</w:t>
      </w:r>
    </w:p>
    <w:p w:rsidR="001F0B25" w:rsidRPr="00D76405" w:rsidRDefault="001F0B25" w:rsidP="001F0B25">
      <w:pPr>
        <w:spacing w:after="0" w:line="480" w:lineRule="auto"/>
        <w:ind w:firstLine="1134"/>
        <w:jc w:val="both"/>
        <w:rPr>
          <w:rFonts w:ascii="Times New Roman" w:hAnsi="Times New Roman" w:cs="Times New Roman"/>
          <w:sz w:val="24"/>
          <w:szCs w:val="24"/>
        </w:rPr>
      </w:pPr>
    </w:p>
    <w:p w:rsidR="000B7316" w:rsidRPr="00D76405" w:rsidRDefault="000B7316" w:rsidP="001F0B25">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I raise th</w:t>
      </w:r>
      <w:r w:rsidR="001F0B25" w:rsidRPr="00D76405">
        <w:rPr>
          <w:rFonts w:ascii="Times New Roman" w:hAnsi="Times New Roman" w:cs="Times New Roman"/>
          <w:sz w:val="24"/>
          <w:szCs w:val="24"/>
        </w:rPr>
        <w:t xml:space="preserve">is issue at this stage because </w:t>
      </w:r>
      <w:r w:rsidR="00A47A9B" w:rsidRPr="00D76405">
        <w:rPr>
          <w:rFonts w:ascii="Times New Roman" w:hAnsi="Times New Roman" w:cs="Times New Roman"/>
          <w:sz w:val="24"/>
          <w:szCs w:val="24"/>
        </w:rPr>
        <w:t xml:space="preserve">the </w:t>
      </w:r>
      <w:r w:rsidRPr="00D76405">
        <w:rPr>
          <w:rFonts w:ascii="Times New Roman" w:hAnsi="Times New Roman" w:cs="Times New Roman"/>
          <w:sz w:val="24"/>
          <w:szCs w:val="24"/>
        </w:rPr>
        <w:t xml:space="preserve">position at law </w:t>
      </w:r>
      <w:r w:rsidR="00930EF7" w:rsidRPr="00D76405">
        <w:rPr>
          <w:rFonts w:ascii="Times New Roman" w:hAnsi="Times New Roman" w:cs="Times New Roman"/>
          <w:sz w:val="24"/>
          <w:szCs w:val="24"/>
        </w:rPr>
        <w:t xml:space="preserve">appears to be </w:t>
      </w:r>
      <w:r w:rsidRPr="00D76405">
        <w:rPr>
          <w:rFonts w:ascii="Times New Roman" w:hAnsi="Times New Roman" w:cs="Times New Roman"/>
          <w:sz w:val="24"/>
          <w:szCs w:val="24"/>
        </w:rPr>
        <w:t xml:space="preserve">that for the statement to be admitted as secondary hearsay evidence, the maker of the statement must be </w:t>
      </w:r>
      <w:r w:rsidR="00507D9F" w:rsidRPr="00D76405">
        <w:rPr>
          <w:rFonts w:ascii="Times New Roman" w:hAnsi="Times New Roman" w:cs="Times New Roman"/>
          <w:sz w:val="24"/>
          <w:szCs w:val="24"/>
        </w:rPr>
        <w:t xml:space="preserve">sufficiently </w:t>
      </w:r>
      <w:r w:rsidRPr="00D76405">
        <w:rPr>
          <w:rFonts w:ascii="Times New Roman" w:hAnsi="Times New Roman" w:cs="Times New Roman"/>
          <w:sz w:val="24"/>
          <w:szCs w:val="24"/>
        </w:rPr>
        <w:t xml:space="preserve">identified. The issue that </w:t>
      </w:r>
      <w:r w:rsidR="00973346" w:rsidRPr="00D76405">
        <w:rPr>
          <w:rFonts w:ascii="Times New Roman" w:hAnsi="Times New Roman" w:cs="Times New Roman"/>
          <w:sz w:val="24"/>
          <w:szCs w:val="24"/>
        </w:rPr>
        <w:t xml:space="preserve">then </w:t>
      </w:r>
      <w:r w:rsidRPr="00D76405">
        <w:rPr>
          <w:rFonts w:ascii="Times New Roman" w:hAnsi="Times New Roman" w:cs="Times New Roman"/>
          <w:sz w:val="24"/>
          <w:szCs w:val="24"/>
        </w:rPr>
        <w:t xml:space="preserve">falls to be determined </w:t>
      </w:r>
      <w:r w:rsidR="00973346" w:rsidRPr="00D76405">
        <w:rPr>
          <w:rFonts w:ascii="Times New Roman" w:hAnsi="Times New Roman" w:cs="Times New Roman"/>
          <w:sz w:val="24"/>
          <w:szCs w:val="24"/>
        </w:rPr>
        <w:t>in casu,</w:t>
      </w:r>
      <w:r w:rsidRPr="00D76405">
        <w:rPr>
          <w:rFonts w:ascii="Times New Roman" w:hAnsi="Times New Roman" w:cs="Times New Roman"/>
          <w:sz w:val="24"/>
          <w:szCs w:val="24"/>
        </w:rPr>
        <w:t xml:space="preserve"> is whether the identification of the maker of the statement in </w:t>
      </w:r>
      <w:r w:rsidR="008D2671" w:rsidRPr="00D76405">
        <w:rPr>
          <w:rFonts w:ascii="Times New Roman" w:hAnsi="Times New Roman" w:cs="Times New Roman"/>
          <w:sz w:val="24"/>
          <w:szCs w:val="24"/>
        </w:rPr>
        <w:t>casu,</w:t>
      </w:r>
      <w:r w:rsidRPr="00D76405">
        <w:rPr>
          <w:rFonts w:ascii="Times New Roman" w:hAnsi="Times New Roman" w:cs="Times New Roman"/>
          <w:sz w:val="24"/>
          <w:szCs w:val="24"/>
        </w:rPr>
        <w:t xml:space="preserve"> is sufficient for the purposes of law. </w:t>
      </w:r>
    </w:p>
    <w:p w:rsidR="00852866" w:rsidRPr="00D76405" w:rsidRDefault="00852866" w:rsidP="001F0B25">
      <w:pPr>
        <w:spacing w:after="0" w:line="480" w:lineRule="auto"/>
        <w:ind w:firstLine="1134"/>
        <w:jc w:val="both"/>
        <w:rPr>
          <w:rFonts w:ascii="Times New Roman" w:hAnsi="Times New Roman" w:cs="Times New Roman"/>
          <w:sz w:val="24"/>
          <w:szCs w:val="24"/>
        </w:rPr>
      </w:pPr>
    </w:p>
    <w:p w:rsidR="000B7316" w:rsidRPr="00D76405" w:rsidRDefault="000B7316" w:rsidP="00BE2803">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In </w:t>
      </w:r>
      <w:r w:rsidRPr="00D76405">
        <w:rPr>
          <w:rFonts w:ascii="Times New Roman" w:hAnsi="Times New Roman" w:cs="Times New Roman"/>
          <w:i/>
          <w:sz w:val="24"/>
          <w:szCs w:val="24"/>
        </w:rPr>
        <w:t>Hiltumen v Hiltumen</w:t>
      </w:r>
      <w:r w:rsidRPr="00D76405">
        <w:rPr>
          <w:rFonts w:ascii="Times New Roman" w:hAnsi="Times New Roman" w:cs="Times New Roman"/>
          <w:sz w:val="24"/>
          <w:szCs w:val="24"/>
        </w:rPr>
        <w:t xml:space="preserve"> 2008 (2) ZLR 296 (H), it was held that for first hand hearsay evidence to be admissible under the Act, the person who made the statement must be identified. This is what the court had to say:</w:t>
      </w:r>
    </w:p>
    <w:p w:rsidR="000B7316" w:rsidRPr="00D76405" w:rsidRDefault="000B7316" w:rsidP="00F474E5">
      <w:pPr>
        <w:ind w:left="1418"/>
        <w:jc w:val="both"/>
        <w:rPr>
          <w:rFonts w:ascii="Times New Roman" w:hAnsi="Times New Roman" w:cs="Times New Roman"/>
          <w:sz w:val="24"/>
          <w:szCs w:val="24"/>
        </w:rPr>
      </w:pPr>
      <w:r w:rsidRPr="00D76405">
        <w:rPr>
          <w:rFonts w:ascii="Times New Roman" w:hAnsi="Times New Roman" w:cs="Times New Roman"/>
          <w:sz w:val="24"/>
          <w:szCs w:val="24"/>
        </w:rPr>
        <w:t>“For first hand evidence to be admissible under the Act, the evidence must be about a statement made orally or in writing by another person. The person who made the statement must be identified and it must also appear from the nature of the evidence that the contents of the statement would have been admissible from the mouth of that person were he or she present and testifying.”</w:t>
      </w:r>
    </w:p>
    <w:p w:rsidR="0029579A" w:rsidRPr="00D76405" w:rsidRDefault="0029579A" w:rsidP="00F474E5">
      <w:pPr>
        <w:ind w:left="1418"/>
        <w:jc w:val="both"/>
        <w:rPr>
          <w:rFonts w:ascii="Times New Roman" w:hAnsi="Times New Roman" w:cs="Times New Roman"/>
          <w:sz w:val="24"/>
          <w:szCs w:val="24"/>
        </w:rPr>
      </w:pPr>
    </w:p>
    <w:p w:rsidR="000B7316" w:rsidRPr="00D76405" w:rsidRDefault="000B7316" w:rsidP="0029579A">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The </w:t>
      </w:r>
      <w:r w:rsidR="00101598" w:rsidRPr="00D76405">
        <w:rPr>
          <w:rFonts w:ascii="Times New Roman" w:hAnsi="Times New Roman" w:cs="Times New Roman"/>
          <w:sz w:val="24"/>
          <w:szCs w:val="24"/>
        </w:rPr>
        <w:t xml:space="preserve">same </w:t>
      </w:r>
      <w:r w:rsidR="00274835" w:rsidRPr="00D76405">
        <w:rPr>
          <w:rFonts w:ascii="Times New Roman" w:hAnsi="Times New Roman" w:cs="Times New Roman"/>
          <w:sz w:val="24"/>
          <w:szCs w:val="24"/>
        </w:rPr>
        <w:t>consideration</w:t>
      </w:r>
      <w:r w:rsidR="00101598" w:rsidRPr="00D76405">
        <w:rPr>
          <w:rFonts w:ascii="Times New Roman" w:hAnsi="Times New Roman" w:cs="Times New Roman"/>
          <w:sz w:val="24"/>
          <w:szCs w:val="24"/>
        </w:rPr>
        <w:t xml:space="preserve"> appears to have weighed with the </w:t>
      </w:r>
      <w:r w:rsidRPr="00D76405">
        <w:rPr>
          <w:rFonts w:ascii="Times New Roman" w:hAnsi="Times New Roman" w:cs="Times New Roman"/>
          <w:sz w:val="24"/>
          <w:szCs w:val="24"/>
        </w:rPr>
        <w:t xml:space="preserve">court in </w:t>
      </w:r>
      <w:r w:rsidRPr="00D76405">
        <w:rPr>
          <w:rFonts w:ascii="Times New Roman" w:hAnsi="Times New Roman" w:cs="Times New Roman"/>
          <w:i/>
          <w:sz w:val="24"/>
          <w:szCs w:val="24"/>
        </w:rPr>
        <w:t>Church of the Province of Central Africa v Jakazi &amp; Others</w:t>
      </w:r>
      <w:r w:rsidRPr="00D76405">
        <w:rPr>
          <w:rFonts w:ascii="Times New Roman" w:hAnsi="Times New Roman" w:cs="Times New Roman"/>
          <w:sz w:val="24"/>
          <w:szCs w:val="24"/>
        </w:rPr>
        <w:t xml:space="preserve"> HH70/10 </w:t>
      </w:r>
      <w:r w:rsidR="00101598" w:rsidRPr="00D76405">
        <w:rPr>
          <w:rFonts w:ascii="Times New Roman" w:hAnsi="Times New Roman" w:cs="Times New Roman"/>
          <w:sz w:val="24"/>
          <w:szCs w:val="24"/>
        </w:rPr>
        <w:t>where UCHENA J ( as he then was),</w:t>
      </w:r>
      <w:r w:rsidRPr="00D76405">
        <w:rPr>
          <w:rFonts w:ascii="Times New Roman" w:hAnsi="Times New Roman" w:cs="Times New Roman"/>
          <w:sz w:val="24"/>
          <w:szCs w:val="24"/>
        </w:rPr>
        <w:t xml:space="preserve"> in useful </w:t>
      </w:r>
      <w:r w:rsidRPr="00D76405">
        <w:rPr>
          <w:rFonts w:ascii="Times New Roman" w:hAnsi="Times New Roman" w:cs="Times New Roman"/>
          <w:i/>
          <w:sz w:val="24"/>
          <w:szCs w:val="24"/>
        </w:rPr>
        <w:t>obiter,</w:t>
      </w:r>
      <w:r w:rsidR="00101598" w:rsidRPr="00D76405">
        <w:rPr>
          <w:rFonts w:ascii="Times New Roman" w:hAnsi="Times New Roman" w:cs="Times New Roman"/>
          <w:sz w:val="24"/>
          <w:szCs w:val="24"/>
        </w:rPr>
        <w:t xml:space="preserve"> </w:t>
      </w:r>
      <w:r w:rsidRPr="00D76405">
        <w:rPr>
          <w:rFonts w:ascii="Times New Roman" w:hAnsi="Times New Roman" w:cs="Times New Roman"/>
          <w:sz w:val="24"/>
          <w:szCs w:val="24"/>
        </w:rPr>
        <w:t xml:space="preserve"> expressed the view that </w:t>
      </w:r>
      <w:r w:rsidR="00101598" w:rsidRPr="00D76405">
        <w:rPr>
          <w:rFonts w:ascii="Times New Roman" w:hAnsi="Times New Roman" w:cs="Times New Roman"/>
          <w:sz w:val="24"/>
          <w:szCs w:val="24"/>
        </w:rPr>
        <w:t xml:space="preserve">since </w:t>
      </w:r>
      <w:r w:rsidRPr="00D76405">
        <w:rPr>
          <w:rFonts w:ascii="Times New Roman" w:hAnsi="Times New Roman" w:cs="Times New Roman"/>
          <w:sz w:val="24"/>
          <w:szCs w:val="24"/>
        </w:rPr>
        <w:t xml:space="preserve">the source of the statement </w:t>
      </w:r>
      <w:r w:rsidR="00101598" w:rsidRPr="00D76405">
        <w:rPr>
          <w:rFonts w:ascii="Times New Roman" w:hAnsi="Times New Roman" w:cs="Times New Roman"/>
          <w:sz w:val="24"/>
          <w:szCs w:val="24"/>
        </w:rPr>
        <w:t xml:space="preserve">tendered before him </w:t>
      </w:r>
      <w:r w:rsidRPr="00D76405">
        <w:rPr>
          <w:rFonts w:ascii="Times New Roman" w:hAnsi="Times New Roman" w:cs="Times New Roman"/>
          <w:sz w:val="24"/>
          <w:szCs w:val="24"/>
        </w:rPr>
        <w:t>was not properly disclosed</w:t>
      </w:r>
      <w:r w:rsidR="00101598" w:rsidRPr="00D76405">
        <w:rPr>
          <w:rFonts w:ascii="Times New Roman" w:hAnsi="Times New Roman" w:cs="Times New Roman"/>
          <w:sz w:val="24"/>
          <w:szCs w:val="24"/>
        </w:rPr>
        <w:t>, the statement would have been inadmissible on that basis</w:t>
      </w:r>
      <w:r w:rsidRPr="00D76405">
        <w:rPr>
          <w:rFonts w:ascii="Times New Roman" w:hAnsi="Times New Roman" w:cs="Times New Roman"/>
          <w:sz w:val="24"/>
          <w:szCs w:val="24"/>
        </w:rPr>
        <w:t xml:space="preserve">. </w:t>
      </w:r>
    </w:p>
    <w:p w:rsidR="007F05FE" w:rsidRPr="00D76405" w:rsidRDefault="007F05FE" w:rsidP="0029579A">
      <w:pPr>
        <w:spacing w:after="0" w:line="480" w:lineRule="auto"/>
        <w:ind w:firstLine="1134"/>
        <w:jc w:val="both"/>
        <w:rPr>
          <w:rFonts w:ascii="Times New Roman" w:hAnsi="Times New Roman" w:cs="Times New Roman"/>
          <w:sz w:val="24"/>
          <w:szCs w:val="24"/>
        </w:rPr>
      </w:pPr>
    </w:p>
    <w:p w:rsidR="000B7316" w:rsidRPr="00D76405" w:rsidRDefault="00101598" w:rsidP="000B7316">
      <w:pPr>
        <w:jc w:val="both"/>
        <w:rPr>
          <w:rFonts w:ascii="Times New Roman" w:hAnsi="Times New Roman" w:cs="Times New Roman"/>
          <w:sz w:val="24"/>
          <w:szCs w:val="24"/>
        </w:rPr>
      </w:pPr>
      <w:r w:rsidRPr="00D76405">
        <w:rPr>
          <w:rFonts w:ascii="Times New Roman" w:hAnsi="Times New Roman" w:cs="Times New Roman"/>
          <w:sz w:val="24"/>
          <w:szCs w:val="24"/>
        </w:rPr>
        <w:t>T</w:t>
      </w:r>
      <w:r w:rsidR="000B7316" w:rsidRPr="00D76405">
        <w:rPr>
          <w:rFonts w:ascii="Times New Roman" w:hAnsi="Times New Roman" w:cs="Times New Roman"/>
          <w:sz w:val="24"/>
          <w:szCs w:val="24"/>
        </w:rPr>
        <w:t>his is what the court had to say:</w:t>
      </w:r>
    </w:p>
    <w:p w:rsidR="000B7316" w:rsidRPr="00D76405" w:rsidRDefault="000B7316" w:rsidP="007F05FE">
      <w:pPr>
        <w:spacing w:after="0" w:line="240" w:lineRule="auto"/>
        <w:ind w:firstLine="1418"/>
        <w:jc w:val="both"/>
        <w:rPr>
          <w:rFonts w:ascii="Times New Roman" w:hAnsi="Times New Roman" w:cs="Times New Roman"/>
          <w:sz w:val="24"/>
          <w:szCs w:val="24"/>
        </w:rPr>
      </w:pPr>
      <w:r w:rsidRPr="00D76405">
        <w:rPr>
          <w:rFonts w:ascii="Times New Roman" w:hAnsi="Times New Roman" w:cs="Times New Roman"/>
          <w:sz w:val="24"/>
          <w:szCs w:val="24"/>
        </w:rPr>
        <w:t xml:space="preserve">“In this case, the source of the statement is not properly disclosed. He is merely referred to as a member of the public. This means the evidence of the caller’s statement is </w:t>
      </w:r>
      <w:r w:rsidRPr="00D76405">
        <w:rPr>
          <w:rFonts w:ascii="Times New Roman" w:hAnsi="Times New Roman" w:cs="Times New Roman"/>
          <w:sz w:val="24"/>
          <w:szCs w:val="24"/>
        </w:rPr>
        <w:lastRenderedPageBreak/>
        <w:t>inadmissible hearsay. Such hearsay evidence is only admissible if the source of the information is disclosed.”</w:t>
      </w:r>
    </w:p>
    <w:p w:rsidR="007F05FE" w:rsidRPr="00D76405" w:rsidRDefault="007F05FE" w:rsidP="007F05FE">
      <w:pPr>
        <w:spacing w:after="0" w:line="240" w:lineRule="auto"/>
        <w:ind w:firstLine="1418"/>
        <w:jc w:val="both"/>
        <w:rPr>
          <w:rFonts w:ascii="Times New Roman" w:hAnsi="Times New Roman" w:cs="Times New Roman"/>
          <w:sz w:val="24"/>
          <w:szCs w:val="24"/>
        </w:rPr>
      </w:pPr>
    </w:p>
    <w:p w:rsidR="007F05FE" w:rsidRPr="00D76405" w:rsidRDefault="007F05FE" w:rsidP="007F05FE">
      <w:pPr>
        <w:spacing w:after="0" w:line="240" w:lineRule="auto"/>
        <w:ind w:firstLine="1418"/>
        <w:jc w:val="both"/>
        <w:rPr>
          <w:rFonts w:ascii="Times New Roman" w:hAnsi="Times New Roman" w:cs="Times New Roman"/>
          <w:sz w:val="24"/>
          <w:szCs w:val="24"/>
        </w:rPr>
      </w:pPr>
    </w:p>
    <w:p w:rsidR="007F05FE" w:rsidRPr="00D76405" w:rsidRDefault="007F05FE" w:rsidP="007F05FE">
      <w:pPr>
        <w:spacing w:after="0" w:line="240" w:lineRule="auto"/>
        <w:ind w:firstLine="1418"/>
        <w:jc w:val="both"/>
        <w:rPr>
          <w:rFonts w:ascii="Times New Roman" w:hAnsi="Times New Roman" w:cs="Times New Roman"/>
          <w:sz w:val="24"/>
          <w:szCs w:val="24"/>
        </w:rPr>
      </w:pPr>
    </w:p>
    <w:p w:rsidR="000B7316" w:rsidRPr="00D76405" w:rsidRDefault="000B7316" w:rsidP="007F05FE">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 I </w:t>
      </w:r>
      <w:r w:rsidR="008977CE" w:rsidRPr="00D76405">
        <w:rPr>
          <w:rFonts w:ascii="Times New Roman" w:hAnsi="Times New Roman" w:cs="Times New Roman"/>
          <w:sz w:val="24"/>
          <w:szCs w:val="24"/>
        </w:rPr>
        <w:t xml:space="preserve">however </w:t>
      </w:r>
      <w:r w:rsidRPr="00D76405">
        <w:rPr>
          <w:rFonts w:ascii="Times New Roman" w:hAnsi="Times New Roman" w:cs="Times New Roman"/>
          <w:sz w:val="24"/>
          <w:szCs w:val="24"/>
        </w:rPr>
        <w:t>withhold passing a</w:t>
      </w:r>
      <w:r w:rsidR="00AE4C67" w:rsidRPr="00D76405">
        <w:rPr>
          <w:rFonts w:ascii="Times New Roman" w:hAnsi="Times New Roman" w:cs="Times New Roman"/>
          <w:sz w:val="24"/>
          <w:szCs w:val="24"/>
        </w:rPr>
        <w:t xml:space="preserve"> definitive finding on </w:t>
      </w:r>
      <w:r w:rsidR="008977CE" w:rsidRPr="00D76405">
        <w:rPr>
          <w:rFonts w:ascii="Times New Roman" w:hAnsi="Times New Roman" w:cs="Times New Roman"/>
          <w:sz w:val="24"/>
          <w:szCs w:val="24"/>
        </w:rPr>
        <w:t xml:space="preserve">this issue </w:t>
      </w:r>
      <w:r w:rsidRPr="00D76405">
        <w:rPr>
          <w:rFonts w:ascii="Times New Roman" w:hAnsi="Times New Roman" w:cs="Times New Roman"/>
          <w:sz w:val="24"/>
          <w:szCs w:val="24"/>
        </w:rPr>
        <w:t xml:space="preserve">as </w:t>
      </w:r>
      <w:r w:rsidR="00835E60" w:rsidRPr="00D76405">
        <w:rPr>
          <w:rFonts w:ascii="Times New Roman" w:hAnsi="Times New Roman" w:cs="Times New Roman"/>
          <w:sz w:val="24"/>
          <w:szCs w:val="24"/>
        </w:rPr>
        <w:t xml:space="preserve">this appeal </w:t>
      </w:r>
      <w:r w:rsidRPr="00D76405">
        <w:rPr>
          <w:rFonts w:ascii="Times New Roman" w:hAnsi="Times New Roman" w:cs="Times New Roman"/>
          <w:sz w:val="24"/>
          <w:szCs w:val="24"/>
        </w:rPr>
        <w:t xml:space="preserve">can </w:t>
      </w:r>
      <w:r w:rsidR="00835E60" w:rsidRPr="00D76405">
        <w:rPr>
          <w:rFonts w:ascii="Times New Roman" w:hAnsi="Times New Roman" w:cs="Times New Roman"/>
          <w:sz w:val="24"/>
          <w:szCs w:val="24"/>
        </w:rPr>
        <w:t xml:space="preserve">be </w:t>
      </w:r>
      <w:r w:rsidRPr="00D76405">
        <w:rPr>
          <w:rFonts w:ascii="Times New Roman" w:hAnsi="Times New Roman" w:cs="Times New Roman"/>
          <w:sz w:val="24"/>
          <w:szCs w:val="24"/>
        </w:rPr>
        <w:t>dispose</w:t>
      </w:r>
      <w:r w:rsidR="00835E60" w:rsidRPr="00D76405">
        <w:rPr>
          <w:rFonts w:ascii="Times New Roman" w:hAnsi="Times New Roman" w:cs="Times New Roman"/>
          <w:sz w:val="24"/>
          <w:szCs w:val="24"/>
        </w:rPr>
        <w:t>d</w:t>
      </w:r>
      <w:r w:rsidRPr="00D76405">
        <w:rPr>
          <w:rFonts w:ascii="Times New Roman" w:hAnsi="Times New Roman" w:cs="Times New Roman"/>
          <w:sz w:val="24"/>
          <w:szCs w:val="24"/>
        </w:rPr>
        <w:t xml:space="preserve"> of on another basis.</w:t>
      </w:r>
    </w:p>
    <w:p w:rsidR="007F05FE" w:rsidRPr="00D76405" w:rsidRDefault="007F05FE" w:rsidP="007F05FE">
      <w:pPr>
        <w:spacing w:after="0" w:line="480" w:lineRule="auto"/>
        <w:ind w:firstLine="1134"/>
        <w:jc w:val="both"/>
        <w:rPr>
          <w:rFonts w:ascii="Times New Roman" w:hAnsi="Times New Roman" w:cs="Times New Roman"/>
          <w:sz w:val="24"/>
          <w:szCs w:val="24"/>
        </w:rPr>
      </w:pPr>
    </w:p>
    <w:p w:rsidR="000B7316" w:rsidRPr="00D76405" w:rsidRDefault="000B7316" w:rsidP="007F05FE">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Assuming that the court </w:t>
      </w:r>
      <w:r w:rsidR="002778D7" w:rsidRPr="00D76405">
        <w:rPr>
          <w:rFonts w:ascii="Times New Roman" w:hAnsi="Times New Roman" w:cs="Times New Roman"/>
          <w:i/>
          <w:sz w:val="24"/>
          <w:szCs w:val="24"/>
        </w:rPr>
        <w:t>a quo</w:t>
      </w:r>
      <w:r w:rsidR="002778D7" w:rsidRPr="00D76405">
        <w:rPr>
          <w:rFonts w:ascii="Times New Roman" w:hAnsi="Times New Roman" w:cs="Times New Roman"/>
          <w:sz w:val="24"/>
          <w:szCs w:val="24"/>
        </w:rPr>
        <w:t xml:space="preserve"> </w:t>
      </w:r>
      <w:r w:rsidRPr="00D76405">
        <w:rPr>
          <w:rFonts w:ascii="Times New Roman" w:hAnsi="Times New Roman" w:cs="Times New Roman"/>
          <w:sz w:val="24"/>
          <w:szCs w:val="24"/>
        </w:rPr>
        <w:t xml:space="preserve">correctly admitted the statement made by the unidentified policeman as evidence before it, the issue that has to be determined is whether or not </w:t>
      </w:r>
      <w:r w:rsidR="002778D7" w:rsidRPr="00D76405">
        <w:rPr>
          <w:rFonts w:ascii="Times New Roman" w:hAnsi="Times New Roman" w:cs="Times New Roman"/>
          <w:sz w:val="24"/>
          <w:szCs w:val="24"/>
        </w:rPr>
        <w:t xml:space="preserve">it </w:t>
      </w:r>
      <w:r w:rsidRPr="00D76405">
        <w:rPr>
          <w:rFonts w:ascii="Times New Roman" w:hAnsi="Times New Roman" w:cs="Times New Roman"/>
          <w:sz w:val="24"/>
          <w:szCs w:val="24"/>
        </w:rPr>
        <w:t>was correct in relying solely upon such evidence to find the appellants liable as it did.</w:t>
      </w:r>
      <w:r w:rsidR="00D8300C" w:rsidRPr="00D76405">
        <w:rPr>
          <w:rFonts w:ascii="Times New Roman" w:hAnsi="Times New Roman" w:cs="Times New Roman"/>
          <w:sz w:val="24"/>
          <w:szCs w:val="24"/>
        </w:rPr>
        <w:t xml:space="preserve"> Expressed differently, was the evidence of the statement alone sufficiently cogent to found liability.</w:t>
      </w:r>
    </w:p>
    <w:p w:rsidR="007F05FE" w:rsidRPr="00D76405" w:rsidRDefault="007F05FE" w:rsidP="007F05FE">
      <w:pPr>
        <w:spacing w:after="0" w:line="480" w:lineRule="auto"/>
        <w:jc w:val="both"/>
        <w:rPr>
          <w:rFonts w:ascii="Times New Roman" w:hAnsi="Times New Roman" w:cs="Times New Roman"/>
          <w:sz w:val="24"/>
          <w:szCs w:val="24"/>
        </w:rPr>
      </w:pPr>
    </w:p>
    <w:p w:rsidR="009F5790" w:rsidRPr="00D76405" w:rsidRDefault="000B7316" w:rsidP="007F05FE">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As indicated above, s</w:t>
      </w:r>
      <w:r w:rsidR="007F05FE" w:rsidRPr="00D76405">
        <w:rPr>
          <w:rFonts w:ascii="Times New Roman" w:hAnsi="Times New Roman" w:cs="Times New Roman"/>
          <w:sz w:val="24"/>
          <w:szCs w:val="24"/>
        </w:rPr>
        <w:t xml:space="preserve"> </w:t>
      </w:r>
      <w:r w:rsidRPr="00D76405">
        <w:rPr>
          <w:rFonts w:ascii="Times New Roman" w:hAnsi="Times New Roman" w:cs="Times New Roman"/>
          <w:sz w:val="24"/>
          <w:szCs w:val="24"/>
        </w:rPr>
        <w:t xml:space="preserve">27 of the Civil Evidence Act merely provides for the admissibility of secondary hearsay evidence in limited circumstances. It does not change the nature of the evidence so admitted, which remains hearsay evidence. </w:t>
      </w:r>
    </w:p>
    <w:p w:rsidR="009F5790" w:rsidRPr="00D76405" w:rsidRDefault="009F5790" w:rsidP="007F05FE">
      <w:pPr>
        <w:spacing w:after="0" w:line="480" w:lineRule="auto"/>
        <w:ind w:firstLine="1134"/>
        <w:jc w:val="both"/>
        <w:rPr>
          <w:rFonts w:ascii="Times New Roman" w:hAnsi="Times New Roman" w:cs="Times New Roman"/>
          <w:sz w:val="24"/>
          <w:szCs w:val="24"/>
        </w:rPr>
      </w:pPr>
    </w:p>
    <w:p w:rsidR="000B7316" w:rsidRPr="00D76405" w:rsidRDefault="00E432F6" w:rsidP="007F05FE">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T</w:t>
      </w:r>
      <w:r w:rsidR="000B7316" w:rsidRPr="00D76405">
        <w:rPr>
          <w:rFonts w:ascii="Times New Roman" w:hAnsi="Times New Roman" w:cs="Times New Roman"/>
          <w:sz w:val="24"/>
          <w:szCs w:val="24"/>
        </w:rPr>
        <w:t xml:space="preserve">he evidence admitted under the section remains evidence whose trustworthiness </w:t>
      </w:r>
      <w:r w:rsidR="000E2FD5" w:rsidRPr="00D76405">
        <w:rPr>
          <w:rFonts w:ascii="Times New Roman" w:hAnsi="Times New Roman" w:cs="Times New Roman"/>
          <w:sz w:val="24"/>
          <w:szCs w:val="24"/>
        </w:rPr>
        <w:t xml:space="preserve">is </w:t>
      </w:r>
      <w:r w:rsidR="009F5790" w:rsidRPr="00D76405">
        <w:rPr>
          <w:rFonts w:ascii="Times New Roman" w:hAnsi="Times New Roman" w:cs="Times New Roman"/>
          <w:sz w:val="24"/>
          <w:szCs w:val="24"/>
        </w:rPr>
        <w:t xml:space="preserve">very low as it </w:t>
      </w:r>
      <w:r w:rsidR="000B7316" w:rsidRPr="00D76405">
        <w:rPr>
          <w:rFonts w:ascii="Times New Roman" w:hAnsi="Times New Roman" w:cs="Times New Roman"/>
          <w:sz w:val="24"/>
          <w:szCs w:val="24"/>
        </w:rPr>
        <w:t xml:space="preserve">is not tested by cross-examination. It remains evidence whose admissibility relies solely on the credibility, not of the maker of the statement, but of the witness who heard the statement. It remains afflicted by all the </w:t>
      </w:r>
      <w:r w:rsidR="009F5790" w:rsidRPr="00D76405">
        <w:rPr>
          <w:rFonts w:ascii="Times New Roman" w:hAnsi="Times New Roman" w:cs="Times New Roman"/>
          <w:sz w:val="24"/>
          <w:szCs w:val="24"/>
        </w:rPr>
        <w:t xml:space="preserve">deficiencies and </w:t>
      </w:r>
      <w:r w:rsidR="000B7316" w:rsidRPr="00D76405">
        <w:rPr>
          <w:rFonts w:ascii="Times New Roman" w:hAnsi="Times New Roman" w:cs="Times New Roman"/>
          <w:sz w:val="24"/>
          <w:szCs w:val="24"/>
        </w:rPr>
        <w:t xml:space="preserve">maladies that </w:t>
      </w:r>
      <w:r w:rsidR="009F5790" w:rsidRPr="00D76405">
        <w:rPr>
          <w:rFonts w:ascii="Times New Roman" w:hAnsi="Times New Roman" w:cs="Times New Roman"/>
          <w:sz w:val="24"/>
          <w:szCs w:val="24"/>
        </w:rPr>
        <w:t xml:space="preserve">led to the adoption of </w:t>
      </w:r>
      <w:r w:rsidR="000B7316" w:rsidRPr="00D76405">
        <w:rPr>
          <w:rFonts w:ascii="Times New Roman" w:hAnsi="Times New Roman" w:cs="Times New Roman"/>
          <w:sz w:val="24"/>
          <w:szCs w:val="24"/>
        </w:rPr>
        <w:t>the rule against the admissibility of hearsay evidence</w:t>
      </w:r>
      <w:r w:rsidR="009F5790" w:rsidRPr="00D76405">
        <w:rPr>
          <w:rFonts w:ascii="Times New Roman" w:hAnsi="Times New Roman" w:cs="Times New Roman"/>
          <w:sz w:val="24"/>
          <w:szCs w:val="24"/>
        </w:rPr>
        <w:t>.</w:t>
      </w:r>
      <w:r w:rsidR="009A79F9" w:rsidRPr="00D76405">
        <w:rPr>
          <w:rFonts w:ascii="Times New Roman" w:hAnsi="Times New Roman" w:cs="Times New Roman"/>
          <w:sz w:val="24"/>
          <w:szCs w:val="24"/>
        </w:rPr>
        <w:t xml:space="preserve"> </w:t>
      </w:r>
      <w:r w:rsidR="000B7316" w:rsidRPr="00D76405">
        <w:rPr>
          <w:rFonts w:ascii="Times New Roman" w:hAnsi="Times New Roman" w:cs="Times New Roman"/>
          <w:sz w:val="24"/>
          <w:szCs w:val="24"/>
        </w:rPr>
        <w:t>(</w:t>
      </w:r>
      <w:r w:rsidR="000B7316" w:rsidRPr="00D76405">
        <w:rPr>
          <w:rFonts w:ascii="Times New Roman" w:hAnsi="Times New Roman" w:cs="Times New Roman"/>
          <w:i/>
          <w:sz w:val="24"/>
          <w:szCs w:val="24"/>
        </w:rPr>
        <w:t>See Bearmans, Ltd v Metropolitan Police District Receiver</w:t>
      </w:r>
      <w:r w:rsidR="000B7316" w:rsidRPr="00D76405">
        <w:rPr>
          <w:rFonts w:ascii="Times New Roman" w:hAnsi="Times New Roman" w:cs="Times New Roman"/>
          <w:sz w:val="24"/>
          <w:szCs w:val="24"/>
        </w:rPr>
        <w:t xml:space="preserve"> [1961] 1 All ER 384</w:t>
      </w:r>
      <w:r w:rsidR="00AB463F" w:rsidRPr="00D76405">
        <w:rPr>
          <w:rFonts w:ascii="Times New Roman" w:hAnsi="Times New Roman" w:cs="Times New Roman"/>
          <w:sz w:val="24"/>
          <w:szCs w:val="24"/>
        </w:rPr>
        <w:t xml:space="preserve"> for a discussion of the deficiencies of hearsay evidence.</w:t>
      </w:r>
      <w:r w:rsidR="00E563E0" w:rsidRPr="00D76405">
        <w:rPr>
          <w:rFonts w:ascii="Times New Roman" w:hAnsi="Times New Roman" w:cs="Times New Roman"/>
          <w:sz w:val="24"/>
          <w:szCs w:val="24"/>
        </w:rPr>
        <w:t xml:space="preserve"> </w:t>
      </w:r>
      <w:r w:rsidR="000B7316" w:rsidRPr="00D76405">
        <w:rPr>
          <w:rFonts w:ascii="Times New Roman" w:hAnsi="Times New Roman" w:cs="Times New Roman"/>
          <w:sz w:val="24"/>
          <w:szCs w:val="24"/>
        </w:rPr>
        <w:t xml:space="preserve">Thus, </w:t>
      </w:r>
      <w:r w:rsidR="00E563E0" w:rsidRPr="00D76405">
        <w:rPr>
          <w:rFonts w:ascii="Times New Roman" w:hAnsi="Times New Roman" w:cs="Times New Roman"/>
          <w:sz w:val="24"/>
          <w:szCs w:val="24"/>
        </w:rPr>
        <w:t>such evidence, whilst admissible,</w:t>
      </w:r>
      <w:r w:rsidR="000B7316" w:rsidRPr="00D76405">
        <w:rPr>
          <w:rFonts w:ascii="Times New Roman" w:hAnsi="Times New Roman" w:cs="Times New Roman"/>
          <w:sz w:val="24"/>
          <w:szCs w:val="24"/>
        </w:rPr>
        <w:t xml:space="preserve"> remains in</w:t>
      </w:r>
      <w:r w:rsidR="00722AC1" w:rsidRPr="00D76405">
        <w:rPr>
          <w:rFonts w:ascii="Times New Roman" w:hAnsi="Times New Roman" w:cs="Times New Roman"/>
          <w:sz w:val="24"/>
          <w:szCs w:val="24"/>
        </w:rPr>
        <w:t xml:space="preserve">herently weak in quality and </w:t>
      </w:r>
      <w:r w:rsidR="000B7316" w:rsidRPr="00D76405">
        <w:rPr>
          <w:rFonts w:ascii="Times New Roman" w:hAnsi="Times New Roman" w:cs="Times New Roman"/>
          <w:sz w:val="24"/>
          <w:szCs w:val="24"/>
        </w:rPr>
        <w:t xml:space="preserve">probative value. Accordingly, a court admitting hearsay evidence under the </w:t>
      </w:r>
      <w:r w:rsidR="00494895" w:rsidRPr="00D76405">
        <w:rPr>
          <w:rFonts w:ascii="Times New Roman" w:hAnsi="Times New Roman" w:cs="Times New Roman"/>
          <w:sz w:val="24"/>
          <w:szCs w:val="24"/>
        </w:rPr>
        <w:t>Act</w:t>
      </w:r>
      <w:r w:rsidR="000B7316" w:rsidRPr="00D76405">
        <w:rPr>
          <w:rFonts w:ascii="Times New Roman" w:hAnsi="Times New Roman" w:cs="Times New Roman"/>
          <w:sz w:val="24"/>
          <w:szCs w:val="24"/>
        </w:rPr>
        <w:t xml:space="preserve"> remains duty bound to assess such evidence as primarily hearsay evidence and </w:t>
      </w:r>
      <w:r w:rsidR="004A0FD1" w:rsidRPr="00D76405">
        <w:rPr>
          <w:rFonts w:ascii="Times New Roman" w:hAnsi="Times New Roman" w:cs="Times New Roman"/>
          <w:sz w:val="24"/>
          <w:szCs w:val="24"/>
        </w:rPr>
        <w:t xml:space="preserve">to </w:t>
      </w:r>
      <w:r w:rsidR="000B7316" w:rsidRPr="00D76405">
        <w:rPr>
          <w:rFonts w:ascii="Times New Roman" w:hAnsi="Times New Roman" w:cs="Times New Roman"/>
          <w:sz w:val="24"/>
          <w:szCs w:val="24"/>
        </w:rPr>
        <w:t xml:space="preserve">accord it the appropriate </w:t>
      </w:r>
      <w:r w:rsidR="000B7316" w:rsidRPr="00D76405">
        <w:rPr>
          <w:rFonts w:ascii="Times New Roman" w:hAnsi="Times New Roman" w:cs="Times New Roman"/>
          <w:sz w:val="24"/>
          <w:szCs w:val="24"/>
        </w:rPr>
        <w:lastRenderedPageBreak/>
        <w:t xml:space="preserve">probative value if any. </w:t>
      </w:r>
      <w:r w:rsidR="00D43EAF" w:rsidRPr="00D76405">
        <w:rPr>
          <w:rFonts w:ascii="Times New Roman" w:hAnsi="Times New Roman" w:cs="Times New Roman"/>
          <w:sz w:val="24"/>
          <w:szCs w:val="24"/>
        </w:rPr>
        <w:t xml:space="preserve">It cannot </w:t>
      </w:r>
      <w:r w:rsidR="005D1AFF" w:rsidRPr="00D76405">
        <w:rPr>
          <w:rFonts w:ascii="Times New Roman" w:hAnsi="Times New Roman" w:cs="Times New Roman"/>
          <w:sz w:val="24"/>
          <w:szCs w:val="24"/>
        </w:rPr>
        <w:t xml:space="preserve">and should not </w:t>
      </w:r>
      <w:r w:rsidR="00D43EAF" w:rsidRPr="00D76405">
        <w:rPr>
          <w:rFonts w:ascii="Times New Roman" w:hAnsi="Times New Roman" w:cs="Times New Roman"/>
          <w:sz w:val="24"/>
          <w:szCs w:val="24"/>
        </w:rPr>
        <w:t>command the same probative value as direct evidence.</w:t>
      </w:r>
    </w:p>
    <w:p w:rsidR="00BD5CC4" w:rsidRPr="00D76405" w:rsidRDefault="00BD5CC4" w:rsidP="00BD5CC4">
      <w:pPr>
        <w:spacing w:after="0" w:line="240" w:lineRule="auto"/>
        <w:ind w:left="720"/>
        <w:jc w:val="both"/>
        <w:rPr>
          <w:rFonts w:ascii="Times New Roman" w:hAnsi="Times New Roman" w:cs="Times New Roman"/>
          <w:sz w:val="24"/>
          <w:szCs w:val="24"/>
          <w:lang w:val="en-ZW"/>
        </w:rPr>
      </w:pPr>
    </w:p>
    <w:p w:rsidR="000C04FF" w:rsidRPr="00D76405" w:rsidRDefault="000C04FF" w:rsidP="00BF3DCF">
      <w:pPr>
        <w:spacing w:after="0" w:line="240" w:lineRule="auto"/>
        <w:ind w:firstLine="1134"/>
        <w:jc w:val="both"/>
        <w:rPr>
          <w:rFonts w:ascii="Times New Roman" w:hAnsi="Times New Roman" w:cs="Times New Roman"/>
          <w:sz w:val="24"/>
          <w:szCs w:val="24"/>
          <w:lang w:val="en-ZW"/>
        </w:rPr>
      </w:pPr>
    </w:p>
    <w:p w:rsidR="007D51BE" w:rsidRPr="00D76405" w:rsidRDefault="00822B09" w:rsidP="007D51BE">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Recognizing </w:t>
      </w:r>
      <w:r w:rsidR="007D51BE" w:rsidRPr="00D76405">
        <w:rPr>
          <w:rFonts w:ascii="Times New Roman" w:hAnsi="Times New Roman" w:cs="Times New Roman"/>
          <w:sz w:val="24"/>
          <w:szCs w:val="24"/>
        </w:rPr>
        <w:t>the inherent weaknesses of hearsay evidence, the Act in s 27 (4), provides that in assessing the weight if any, that is to be accorded to secondary hearsay evidence, the court must have regard to all the circumstances affecting its accuracy or otherwise. In particular, the court shall have regard to whether or not the statement was made at a time when the facts contained in it were</w:t>
      </w:r>
      <w:r w:rsidR="00675098" w:rsidRPr="00D76405">
        <w:rPr>
          <w:rFonts w:ascii="Times New Roman" w:hAnsi="Times New Roman" w:cs="Times New Roman"/>
          <w:sz w:val="24"/>
          <w:szCs w:val="24"/>
        </w:rPr>
        <w:t>,</w:t>
      </w:r>
      <w:r w:rsidR="007D51BE" w:rsidRPr="00D76405">
        <w:rPr>
          <w:rFonts w:ascii="Times New Roman" w:hAnsi="Times New Roman" w:cs="Times New Roman"/>
          <w:sz w:val="24"/>
          <w:szCs w:val="24"/>
        </w:rPr>
        <w:t xml:space="preserve"> or may reasonably be</w:t>
      </w:r>
      <w:r w:rsidR="00675098" w:rsidRPr="00D76405">
        <w:rPr>
          <w:rFonts w:ascii="Times New Roman" w:hAnsi="Times New Roman" w:cs="Times New Roman"/>
          <w:sz w:val="24"/>
          <w:szCs w:val="24"/>
        </w:rPr>
        <w:t>,</w:t>
      </w:r>
      <w:r w:rsidR="007D51BE" w:rsidRPr="00D76405">
        <w:rPr>
          <w:rFonts w:ascii="Times New Roman" w:hAnsi="Times New Roman" w:cs="Times New Roman"/>
          <w:sz w:val="24"/>
          <w:szCs w:val="24"/>
        </w:rPr>
        <w:t xml:space="preserve"> supposed to have been fresh in the mind of the person who made the statement; and whether or not the person who made the statement had any incentive, or might have been affected by the circumstances, to conceal or misrepresent any fact.</w:t>
      </w:r>
    </w:p>
    <w:p w:rsidR="007D51BE" w:rsidRPr="00D76405" w:rsidRDefault="007D51BE" w:rsidP="007D51BE">
      <w:pPr>
        <w:autoSpaceDE w:val="0"/>
        <w:autoSpaceDN w:val="0"/>
        <w:adjustRightInd w:val="0"/>
        <w:spacing w:after="0" w:line="480" w:lineRule="auto"/>
        <w:jc w:val="both"/>
        <w:rPr>
          <w:rFonts w:ascii="Times New Roman" w:hAnsi="Times New Roman" w:cs="Times New Roman"/>
          <w:sz w:val="24"/>
          <w:szCs w:val="24"/>
        </w:rPr>
      </w:pPr>
    </w:p>
    <w:p w:rsidR="007D51BE" w:rsidRPr="00D76405" w:rsidRDefault="005F6BAB" w:rsidP="007D51BE">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Whilst it </w:t>
      </w:r>
      <w:r w:rsidR="007D51BE" w:rsidRPr="00D76405">
        <w:rPr>
          <w:rFonts w:ascii="Times New Roman" w:hAnsi="Times New Roman" w:cs="Times New Roman"/>
          <w:sz w:val="24"/>
          <w:szCs w:val="24"/>
        </w:rPr>
        <w:t>is not in dispute that the statement was made contemporaneously with the accident</w:t>
      </w:r>
      <w:r w:rsidRPr="00D76405">
        <w:rPr>
          <w:rFonts w:ascii="Times New Roman" w:hAnsi="Times New Roman" w:cs="Times New Roman"/>
          <w:sz w:val="24"/>
          <w:szCs w:val="24"/>
        </w:rPr>
        <w:t>, this is all that can be said in favour of the statement.</w:t>
      </w:r>
    </w:p>
    <w:p w:rsidR="007D51BE" w:rsidRPr="00D76405" w:rsidRDefault="007D51BE" w:rsidP="007D51BE">
      <w:pPr>
        <w:autoSpaceDE w:val="0"/>
        <w:autoSpaceDN w:val="0"/>
        <w:adjustRightInd w:val="0"/>
        <w:spacing w:after="0" w:line="480" w:lineRule="auto"/>
        <w:jc w:val="both"/>
        <w:rPr>
          <w:rFonts w:ascii="Times New Roman" w:hAnsi="Times New Roman" w:cs="Times New Roman"/>
          <w:sz w:val="24"/>
          <w:szCs w:val="24"/>
        </w:rPr>
      </w:pPr>
    </w:p>
    <w:p w:rsidR="005F6BAB" w:rsidRPr="00D76405" w:rsidRDefault="005F6BAB" w:rsidP="009313F2">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There was no evidence before the court a quo to prove that the policeman had no incentive or might have been</w:t>
      </w:r>
      <w:r w:rsidR="00B83492" w:rsidRPr="00D76405">
        <w:rPr>
          <w:rFonts w:ascii="Times New Roman" w:hAnsi="Times New Roman" w:cs="Times New Roman"/>
          <w:sz w:val="24"/>
          <w:szCs w:val="24"/>
        </w:rPr>
        <w:t xml:space="preserve"> affected by the circumstances o</w:t>
      </w:r>
      <w:r w:rsidRPr="00D76405">
        <w:rPr>
          <w:rFonts w:ascii="Times New Roman" w:hAnsi="Times New Roman" w:cs="Times New Roman"/>
          <w:sz w:val="24"/>
          <w:szCs w:val="24"/>
        </w:rPr>
        <w:t xml:space="preserve">f the accident to conceal or misrepresent any fact. </w:t>
      </w:r>
    </w:p>
    <w:p w:rsidR="005F6BAB" w:rsidRPr="00D76405" w:rsidRDefault="005F6BAB" w:rsidP="009313F2">
      <w:pPr>
        <w:autoSpaceDE w:val="0"/>
        <w:autoSpaceDN w:val="0"/>
        <w:adjustRightInd w:val="0"/>
        <w:spacing w:after="0" w:line="480" w:lineRule="auto"/>
        <w:ind w:firstLine="1134"/>
        <w:jc w:val="both"/>
        <w:rPr>
          <w:rFonts w:ascii="Times New Roman" w:hAnsi="Times New Roman" w:cs="Times New Roman"/>
          <w:sz w:val="24"/>
          <w:szCs w:val="24"/>
        </w:rPr>
      </w:pPr>
    </w:p>
    <w:p w:rsidR="00E55166" w:rsidRPr="00D76405" w:rsidRDefault="005F6BAB" w:rsidP="009313F2">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T</w:t>
      </w:r>
      <w:r w:rsidR="007D51BE" w:rsidRPr="00D76405">
        <w:rPr>
          <w:rFonts w:ascii="Times New Roman" w:hAnsi="Times New Roman" w:cs="Times New Roman"/>
          <w:sz w:val="24"/>
          <w:szCs w:val="24"/>
        </w:rPr>
        <w:t xml:space="preserve">he court a quo fell into </w:t>
      </w:r>
      <w:r w:rsidRPr="00D76405">
        <w:rPr>
          <w:rFonts w:ascii="Times New Roman" w:hAnsi="Times New Roman" w:cs="Times New Roman"/>
          <w:sz w:val="24"/>
          <w:szCs w:val="24"/>
        </w:rPr>
        <w:t xml:space="preserve">grave </w:t>
      </w:r>
      <w:r w:rsidR="007D51BE" w:rsidRPr="00D76405">
        <w:rPr>
          <w:rFonts w:ascii="Times New Roman" w:hAnsi="Times New Roman" w:cs="Times New Roman"/>
          <w:sz w:val="24"/>
          <w:szCs w:val="24"/>
        </w:rPr>
        <w:t>error</w:t>
      </w:r>
      <w:r w:rsidRPr="00D76405">
        <w:rPr>
          <w:rFonts w:ascii="Times New Roman" w:hAnsi="Times New Roman" w:cs="Times New Roman"/>
          <w:sz w:val="24"/>
          <w:szCs w:val="24"/>
        </w:rPr>
        <w:t xml:space="preserve"> in making a specific finding that </w:t>
      </w:r>
      <w:r w:rsidR="007D51BE" w:rsidRPr="00D76405">
        <w:rPr>
          <w:rFonts w:ascii="Times New Roman" w:hAnsi="Times New Roman" w:cs="Times New Roman"/>
          <w:sz w:val="24"/>
          <w:szCs w:val="24"/>
        </w:rPr>
        <w:t>there was no motive for the policeman to lie. In making this finding, the court</w:t>
      </w:r>
      <w:r w:rsidR="007D51BE" w:rsidRPr="00D76405">
        <w:rPr>
          <w:rFonts w:ascii="Times New Roman" w:hAnsi="Times New Roman" w:cs="Times New Roman"/>
          <w:i/>
          <w:sz w:val="24"/>
          <w:szCs w:val="24"/>
        </w:rPr>
        <w:t xml:space="preserve"> a quo</w:t>
      </w:r>
      <w:r w:rsidR="007D51BE" w:rsidRPr="00D76405">
        <w:rPr>
          <w:rFonts w:ascii="Times New Roman" w:hAnsi="Times New Roman" w:cs="Times New Roman"/>
          <w:sz w:val="24"/>
          <w:szCs w:val="24"/>
        </w:rPr>
        <w:t xml:space="preserve"> took the somewhat simplistic view that because the unidentified policeman had been given a ride to Harare in the appellant’s vehicle, he had no motive to lie against a driver who had given him transport to Harare. The unsubstantiated assumption implicit in this finding, is that the unidentified </w:t>
      </w:r>
      <w:r w:rsidR="007D51BE" w:rsidRPr="00D76405">
        <w:rPr>
          <w:rFonts w:ascii="Times New Roman" w:hAnsi="Times New Roman" w:cs="Times New Roman"/>
          <w:sz w:val="24"/>
          <w:szCs w:val="24"/>
        </w:rPr>
        <w:lastRenderedPageBreak/>
        <w:t xml:space="preserve">policeman had been voluntarily given a free ride to Harare, for which he was grateful. Consequently, the court </w:t>
      </w:r>
      <w:r w:rsidR="007D51BE" w:rsidRPr="00D76405">
        <w:rPr>
          <w:rFonts w:ascii="Times New Roman" w:hAnsi="Times New Roman" w:cs="Times New Roman"/>
          <w:i/>
          <w:sz w:val="24"/>
          <w:szCs w:val="24"/>
        </w:rPr>
        <w:t>a quo</w:t>
      </w:r>
      <w:r w:rsidR="001F3413" w:rsidRPr="00D76405">
        <w:rPr>
          <w:rFonts w:ascii="Times New Roman" w:hAnsi="Times New Roman" w:cs="Times New Roman"/>
          <w:sz w:val="24"/>
          <w:szCs w:val="24"/>
        </w:rPr>
        <w:t xml:space="preserve"> presumed </w:t>
      </w:r>
      <w:r w:rsidR="007D51BE" w:rsidRPr="00D76405">
        <w:rPr>
          <w:rFonts w:ascii="Times New Roman" w:hAnsi="Times New Roman" w:cs="Times New Roman"/>
          <w:sz w:val="24"/>
          <w:szCs w:val="24"/>
        </w:rPr>
        <w:t xml:space="preserve">that he could not lie against his benefactor. </w:t>
      </w:r>
    </w:p>
    <w:p w:rsidR="00E55166" w:rsidRPr="00D76405" w:rsidRDefault="00E55166" w:rsidP="009313F2">
      <w:pPr>
        <w:autoSpaceDE w:val="0"/>
        <w:autoSpaceDN w:val="0"/>
        <w:adjustRightInd w:val="0"/>
        <w:spacing w:after="0" w:line="480" w:lineRule="auto"/>
        <w:ind w:firstLine="1134"/>
        <w:jc w:val="both"/>
        <w:rPr>
          <w:rFonts w:ascii="Times New Roman" w:hAnsi="Times New Roman" w:cs="Times New Roman"/>
          <w:sz w:val="24"/>
          <w:szCs w:val="24"/>
        </w:rPr>
      </w:pPr>
    </w:p>
    <w:p w:rsidR="007D51BE" w:rsidRPr="00D76405" w:rsidRDefault="007D51BE" w:rsidP="009313F2">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The respondent’s witnesses did not testify on the circumstances under which the unidentified policeman was a passenger in the appellant’s vehicle. They simply testified as to what the policeman said. There was thus no evidence before the court upon which it could make its finding that the unidentified policeman had been given transport to Harare</w:t>
      </w:r>
      <w:r w:rsidR="00BC42A1" w:rsidRPr="00D76405">
        <w:rPr>
          <w:rFonts w:ascii="Times New Roman" w:hAnsi="Times New Roman" w:cs="Times New Roman"/>
          <w:sz w:val="24"/>
          <w:szCs w:val="24"/>
        </w:rPr>
        <w:t xml:space="preserve"> and for which he was grateful</w:t>
      </w:r>
      <w:r w:rsidRPr="00D76405">
        <w:rPr>
          <w:rFonts w:ascii="Times New Roman" w:hAnsi="Times New Roman" w:cs="Times New Roman"/>
          <w:sz w:val="24"/>
          <w:szCs w:val="24"/>
        </w:rPr>
        <w:t xml:space="preserve">. </w:t>
      </w:r>
    </w:p>
    <w:p w:rsidR="007D51BE" w:rsidRPr="00D76405" w:rsidRDefault="007D51BE" w:rsidP="007D51BE">
      <w:pPr>
        <w:autoSpaceDE w:val="0"/>
        <w:autoSpaceDN w:val="0"/>
        <w:adjustRightInd w:val="0"/>
        <w:spacing w:after="0" w:line="480" w:lineRule="auto"/>
        <w:jc w:val="both"/>
        <w:rPr>
          <w:rFonts w:ascii="Times New Roman" w:hAnsi="Times New Roman" w:cs="Times New Roman"/>
          <w:sz w:val="24"/>
          <w:szCs w:val="24"/>
        </w:rPr>
      </w:pPr>
    </w:p>
    <w:p w:rsidR="0007748D" w:rsidRPr="00D76405" w:rsidRDefault="007D51BE" w:rsidP="00C7337D">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One of the witnesses for the respondent testified that the unidentified policeman had been injured as a result of the accident. </w:t>
      </w:r>
      <w:r w:rsidR="00CA363F" w:rsidRPr="00D76405">
        <w:rPr>
          <w:rFonts w:ascii="Times New Roman" w:hAnsi="Times New Roman" w:cs="Times New Roman"/>
          <w:sz w:val="24"/>
          <w:szCs w:val="24"/>
        </w:rPr>
        <w:t xml:space="preserve">The court </w:t>
      </w:r>
      <w:r w:rsidR="00CA363F" w:rsidRPr="00D76405">
        <w:rPr>
          <w:rFonts w:ascii="Times New Roman" w:hAnsi="Times New Roman" w:cs="Times New Roman"/>
          <w:i/>
          <w:sz w:val="24"/>
          <w:szCs w:val="24"/>
        </w:rPr>
        <w:t>a quo</w:t>
      </w:r>
      <w:r w:rsidR="00CA363F" w:rsidRPr="00D76405">
        <w:rPr>
          <w:rFonts w:ascii="Times New Roman" w:hAnsi="Times New Roman" w:cs="Times New Roman"/>
          <w:sz w:val="24"/>
          <w:szCs w:val="24"/>
        </w:rPr>
        <w:t xml:space="preserve"> </w:t>
      </w:r>
      <w:r w:rsidR="006C028B" w:rsidRPr="00D76405">
        <w:rPr>
          <w:rFonts w:ascii="Times New Roman" w:hAnsi="Times New Roman" w:cs="Times New Roman"/>
          <w:sz w:val="24"/>
          <w:szCs w:val="24"/>
        </w:rPr>
        <w:t xml:space="preserve">was not in a position to </w:t>
      </w:r>
      <w:r w:rsidR="00CA363F" w:rsidRPr="00D76405">
        <w:rPr>
          <w:rFonts w:ascii="Times New Roman" w:hAnsi="Times New Roman" w:cs="Times New Roman"/>
          <w:sz w:val="24"/>
          <w:szCs w:val="24"/>
        </w:rPr>
        <w:t xml:space="preserve">assess the </w:t>
      </w:r>
      <w:r w:rsidRPr="00D76405">
        <w:rPr>
          <w:rFonts w:ascii="Times New Roman" w:hAnsi="Times New Roman" w:cs="Times New Roman"/>
          <w:sz w:val="24"/>
          <w:szCs w:val="24"/>
        </w:rPr>
        <w:t xml:space="preserve">effect </w:t>
      </w:r>
      <w:r w:rsidR="006C028B" w:rsidRPr="00D76405">
        <w:rPr>
          <w:rFonts w:ascii="Times New Roman" w:hAnsi="Times New Roman" w:cs="Times New Roman"/>
          <w:sz w:val="24"/>
          <w:szCs w:val="24"/>
        </w:rPr>
        <w:t>t</w:t>
      </w:r>
      <w:r w:rsidRPr="00D76405">
        <w:rPr>
          <w:rFonts w:ascii="Times New Roman" w:hAnsi="Times New Roman" w:cs="Times New Roman"/>
          <w:sz w:val="24"/>
          <w:szCs w:val="24"/>
        </w:rPr>
        <w:t xml:space="preserve">hese injuries </w:t>
      </w:r>
      <w:r w:rsidR="006C028B" w:rsidRPr="00D76405">
        <w:rPr>
          <w:rFonts w:ascii="Times New Roman" w:hAnsi="Times New Roman" w:cs="Times New Roman"/>
          <w:sz w:val="24"/>
          <w:szCs w:val="24"/>
        </w:rPr>
        <w:t xml:space="preserve">might have had </w:t>
      </w:r>
      <w:r w:rsidRPr="00D76405">
        <w:rPr>
          <w:rFonts w:ascii="Times New Roman" w:hAnsi="Times New Roman" w:cs="Times New Roman"/>
          <w:sz w:val="24"/>
          <w:szCs w:val="24"/>
        </w:rPr>
        <w:t xml:space="preserve">on </w:t>
      </w:r>
      <w:r w:rsidR="00FF0285" w:rsidRPr="00D76405">
        <w:rPr>
          <w:rFonts w:ascii="Times New Roman" w:hAnsi="Times New Roman" w:cs="Times New Roman"/>
          <w:sz w:val="24"/>
          <w:szCs w:val="24"/>
        </w:rPr>
        <w:t xml:space="preserve">the policeman on the basis of the </w:t>
      </w:r>
      <w:r w:rsidR="00CA363F" w:rsidRPr="00D76405">
        <w:rPr>
          <w:rFonts w:ascii="Times New Roman" w:hAnsi="Times New Roman" w:cs="Times New Roman"/>
          <w:sz w:val="24"/>
          <w:szCs w:val="24"/>
        </w:rPr>
        <w:t xml:space="preserve">terse </w:t>
      </w:r>
      <w:r w:rsidR="00490A46" w:rsidRPr="00D76405">
        <w:rPr>
          <w:rFonts w:ascii="Times New Roman" w:hAnsi="Times New Roman" w:cs="Times New Roman"/>
          <w:sz w:val="24"/>
          <w:szCs w:val="24"/>
        </w:rPr>
        <w:t xml:space="preserve">and scanty </w:t>
      </w:r>
      <w:r w:rsidR="00FF0285" w:rsidRPr="00D76405">
        <w:rPr>
          <w:rFonts w:ascii="Times New Roman" w:hAnsi="Times New Roman" w:cs="Times New Roman"/>
          <w:sz w:val="24"/>
          <w:szCs w:val="24"/>
        </w:rPr>
        <w:t xml:space="preserve">evidence </w:t>
      </w:r>
      <w:r w:rsidR="00436FDE" w:rsidRPr="00D76405">
        <w:rPr>
          <w:rFonts w:ascii="Times New Roman" w:hAnsi="Times New Roman" w:cs="Times New Roman"/>
          <w:sz w:val="24"/>
          <w:szCs w:val="24"/>
        </w:rPr>
        <w:t xml:space="preserve">that was </w:t>
      </w:r>
      <w:r w:rsidR="00FF0285" w:rsidRPr="00D76405">
        <w:rPr>
          <w:rFonts w:ascii="Times New Roman" w:hAnsi="Times New Roman" w:cs="Times New Roman"/>
          <w:sz w:val="24"/>
          <w:szCs w:val="24"/>
        </w:rPr>
        <w:t>before</w:t>
      </w:r>
      <w:r w:rsidR="00CA363F" w:rsidRPr="00D76405">
        <w:rPr>
          <w:rFonts w:ascii="Times New Roman" w:hAnsi="Times New Roman" w:cs="Times New Roman"/>
          <w:sz w:val="24"/>
          <w:szCs w:val="24"/>
        </w:rPr>
        <w:t xml:space="preserve"> it</w:t>
      </w:r>
      <w:r w:rsidR="00FF0285" w:rsidRPr="00D76405">
        <w:rPr>
          <w:rFonts w:ascii="Times New Roman" w:hAnsi="Times New Roman" w:cs="Times New Roman"/>
          <w:sz w:val="24"/>
          <w:szCs w:val="24"/>
        </w:rPr>
        <w:t>.</w:t>
      </w:r>
      <w:r w:rsidRPr="00D76405">
        <w:rPr>
          <w:rFonts w:ascii="Times New Roman" w:hAnsi="Times New Roman" w:cs="Times New Roman"/>
          <w:sz w:val="24"/>
          <w:szCs w:val="24"/>
        </w:rPr>
        <w:t xml:space="preserve"> Similarly, the amity and</w:t>
      </w:r>
      <w:r w:rsidR="00B26877" w:rsidRPr="00D76405">
        <w:rPr>
          <w:rFonts w:ascii="Times New Roman" w:hAnsi="Times New Roman" w:cs="Times New Roman"/>
          <w:sz w:val="24"/>
          <w:szCs w:val="24"/>
        </w:rPr>
        <w:t>/</w:t>
      </w:r>
      <w:r w:rsidRPr="00D76405">
        <w:rPr>
          <w:rFonts w:ascii="Times New Roman" w:hAnsi="Times New Roman" w:cs="Times New Roman"/>
          <w:sz w:val="24"/>
          <w:szCs w:val="24"/>
        </w:rPr>
        <w:t xml:space="preserve">or the congeniality amongst the persons riding in the appellant’s vehicle </w:t>
      </w:r>
      <w:r w:rsidR="00710A60" w:rsidRPr="00D76405">
        <w:rPr>
          <w:rFonts w:ascii="Times New Roman" w:hAnsi="Times New Roman" w:cs="Times New Roman"/>
          <w:sz w:val="24"/>
          <w:szCs w:val="24"/>
        </w:rPr>
        <w:t>were</w:t>
      </w:r>
      <w:r w:rsidRPr="00D76405">
        <w:rPr>
          <w:rFonts w:ascii="Times New Roman" w:hAnsi="Times New Roman" w:cs="Times New Roman"/>
          <w:sz w:val="24"/>
          <w:szCs w:val="24"/>
        </w:rPr>
        <w:t xml:space="preserve"> not assessed as there was no evidence upon which such an assessment could be made. That th</w:t>
      </w:r>
      <w:r w:rsidR="00277E94" w:rsidRPr="00D76405">
        <w:rPr>
          <w:rFonts w:ascii="Times New Roman" w:hAnsi="Times New Roman" w:cs="Times New Roman"/>
          <w:sz w:val="24"/>
          <w:szCs w:val="24"/>
        </w:rPr>
        <w:t xml:space="preserve">ese factors </w:t>
      </w:r>
      <w:r w:rsidRPr="00D76405">
        <w:rPr>
          <w:rFonts w:ascii="Times New Roman" w:hAnsi="Times New Roman" w:cs="Times New Roman"/>
          <w:sz w:val="24"/>
          <w:szCs w:val="24"/>
        </w:rPr>
        <w:t xml:space="preserve">could have had an effect on the trustworthiness of the statement attributed to the unidentified policeman is beyond dispute. </w:t>
      </w:r>
    </w:p>
    <w:p w:rsidR="0007748D" w:rsidRPr="00D76405" w:rsidRDefault="0007748D" w:rsidP="00C7337D">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 </w:t>
      </w:r>
    </w:p>
    <w:p w:rsidR="007D51BE" w:rsidRPr="00D76405" w:rsidRDefault="007D51BE" w:rsidP="007D51BE">
      <w:pPr>
        <w:autoSpaceDE w:val="0"/>
        <w:autoSpaceDN w:val="0"/>
        <w:adjustRightInd w:val="0"/>
        <w:spacing w:after="0" w:line="480" w:lineRule="auto"/>
        <w:jc w:val="both"/>
        <w:rPr>
          <w:rFonts w:ascii="Times New Roman" w:hAnsi="Times New Roman" w:cs="Times New Roman"/>
          <w:sz w:val="24"/>
          <w:szCs w:val="24"/>
        </w:rPr>
      </w:pPr>
    </w:p>
    <w:p w:rsidR="007D51BE" w:rsidRPr="00D76405" w:rsidRDefault="007D51BE" w:rsidP="00FF7823">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It is therefore my finding that there was no evidence before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to enable it to make a finding whether or not the unidentified policeman had a motive or incentive to misrepresent </w:t>
      </w:r>
      <w:r w:rsidR="007A76B8" w:rsidRPr="00D76405">
        <w:rPr>
          <w:rFonts w:ascii="Times New Roman" w:hAnsi="Times New Roman" w:cs="Times New Roman"/>
          <w:sz w:val="24"/>
          <w:szCs w:val="24"/>
        </w:rPr>
        <w:t xml:space="preserve">any of </w:t>
      </w:r>
      <w:r w:rsidRPr="00D76405">
        <w:rPr>
          <w:rFonts w:ascii="Times New Roman" w:hAnsi="Times New Roman" w:cs="Times New Roman"/>
          <w:sz w:val="24"/>
          <w:szCs w:val="24"/>
        </w:rPr>
        <w:t>the facts</w:t>
      </w:r>
      <w:r w:rsidR="007A76B8" w:rsidRPr="00D76405">
        <w:rPr>
          <w:rFonts w:ascii="Times New Roman" w:hAnsi="Times New Roman" w:cs="Times New Roman"/>
          <w:sz w:val="24"/>
          <w:szCs w:val="24"/>
        </w:rPr>
        <w:t xml:space="preserve"> contained in the statement attributed to him</w:t>
      </w:r>
      <w:r w:rsidRPr="00D76405">
        <w:rPr>
          <w:rFonts w:ascii="Times New Roman" w:hAnsi="Times New Roman" w:cs="Times New Roman"/>
          <w:sz w:val="24"/>
          <w:szCs w:val="24"/>
        </w:rPr>
        <w:t xml:space="preserve">. </w:t>
      </w:r>
    </w:p>
    <w:p w:rsidR="007D51BE" w:rsidRPr="00D76405" w:rsidRDefault="007D51BE" w:rsidP="007D51BE">
      <w:pPr>
        <w:autoSpaceDE w:val="0"/>
        <w:autoSpaceDN w:val="0"/>
        <w:adjustRightInd w:val="0"/>
        <w:spacing w:after="0" w:line="480" w:lineRule="auto"/>
        <w:jc w:val="both"/>
        <w:rPr>
          <w:rFonts w:ascii="Times New Roman" w:hAnsi="Times New Roman" w:cs="Times New Roman"/>
          <w:sz w:val="24"/>
          <w:szCs w:val="24"/>
        </w:rPr>
      </w:pPr>
    </w:p>
    <w:p w:rsidR="007D51BE" w:rsidRPr="00D76405" w:rsidRDefault="007D51BE" w:rsidP="00050DEC">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Accordingly, and in the absence of such evidence,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ought to have been wary of attaching any weight to the statement of the unidentified policeman. More importantly, it should not have based its decision solely on this </w:t>
      </w:r>
      <w:r w:rsidR="00CA04D3" w:rsidRPr="00D76405">
        <w:rPr>
          <w:rFonts w:ascii="Times New Roman" w:hAnsi="Times New Roman" w:cs="Times New Roman"/>
          <w:sz w:val="24"/>
          <w:szCs w:val="24"/>
        </w:rPr>
        <w:t xml:space="preserve">statement as </w:t>
      </w:r>
      <w:r w:rsidRPr="00D76405">
        <w:rPr>
          <w:rFonts w:ascii="Times New Roman" w:hAnsi="Times New Roman" w:cs="Times New Roman"/>
          <w:sz w:val="24"/>
          <w:szCs w:val="24"/>
        </w:rPr>
        <w:t>evidence</w:t>
      </w:r>
      <w:r w:rsidR="00CA04D3" w:rsidRPr="00D76405">
        <w:rPr>
          <w:rFonts w:ascii="Times New Roman" w:hAnsi="Times New Roman" w:cs="Times New Roman"/>
          <w:sz w:val="24"/>
          <w:szCs w:val="24"/>
        </w:rPr>
        <w:t xml:space="preserve"> of the </w:t>
      </w:r>
      <w:r w:rsidR="00CA04D3" w:rsidRPr="00D76405">
        <w:rPr>
          <w:rFonts w:ascii="Times New Roman" w:hAnsi="Times New Roman" w:cs="Times New Roman"/>
          <w:sz w:val="24"/>
          <w:szCs w:val="24"/>
        </w:rPr>
        <w:lastRenderedPageBreak/>
        <w:t>alleged negligence of the second appellant</w:t>
      </w:r>
      <w:r w:rsidRPr="00D76405">
        <w:rPr>
          <w:rFonts w:ascii="Times New Roman" w:hAnsi="Times New Roman" w:cs="Times New Roman"/>
          <w:sz w:val="24"/>
          <w:szCs w:val="24"/>
        </w:rPr>
        <w:t>.</w:t>
      </w:r>
      <w:r w:rsidR="00742CC7" w:rsidRPr="00D76405">
        <w:rPr>
          <w:rFonts w:ascii="Times New Roman" w:hAnsi="Times New Roman" w:cs="Times New Roman"/>
          <w:sz w:val="24"/>
          <w:szCs w:val="24"/>
        </w:rPr>
        <w:t xml:space="preserve"> It presents a frightful picture of the law of evidence if courts of law were to place such heavy reliance on the statements of unidentified and unidentifiable persons to make </w:t>
      </w:r>
      <w:r w:rsidR="007B04EC" w:rsidRPr="00D76405">
        <w:rPr>
          <w:rFonts w:ascii="Times New Roman" w:hAnsi="Times New Roman" w:cs="Times New Roman"/>
          <w:sz w:val="24"/>
          <w:szCs w:val="24"/>
        </w:rPr>
        <w:t>binding decisions</w:t>
      </w:r>
      <w:r w:rsidR="00742CC7" w:rsidRPr="00D76405">
        <w:rPr>
          <w:rFonts w:ascii="Times New Roman" w:hAnsi="Times New Roman" w:cs="Times New Roman"/>
          <w:sz w:val="24"/>
          <w:szCs w:val="24"/>
        </w:rPr>
        <w:t>.</w:t>
      </w:r>
    </w:p>
    <w:p w:rsidR="007D51BE" w:rsidRPr="00D76405" w:rsidRDefault="007D51BE" w:rsidP="007D51BE">
      <w:pPr>
        <w:autoSpaceDE w:val="0"/>
        <w:autoSpaceDN w:val="0"/>
        <w:adjustRightInd w:val="0"/>
        <w:spacing w:after="0" w:line="480" w:lineRule="auto"/>
        <w:jc w:val="both"/>
        <w:rPr>
          <w:rFonts w:ascii="Times New Roman" w:hAnsi="Times New Roman" w:cs="Times New Roman"/>
          <w:sz w:val="24"/>
          <w:szCs w:val="24"/>
        </w:rPr>
      </w:pPr>
    </w:p>
    <w:p w:rsidR="007D51BE" w:rsidRPr="00D76405" w:rsidRDefault="007D51BE" w:rsidP="003D4519">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Further, whilst s</w:t>
      </w:r>
      <w:r w:rsidR="003D4519" w:rsidRPr="00D76405">
        <w:rPr>
          <w:rFonts w:ascii="Times New Roman" w:hAnsi="Times New Roman" w:cs="Times New Roman"/>
          <w:sz w:val="24"/>
          <w:szCs w:val="24"/>
        </w:rPr>
        <w:t xml:space="preserve"> </w:t>
      </w:r>
      <w:r w:rsidRPr="00D76405">
        <w:rPr>
          <w:rFonts w:ascii="Times New Roman" w:hAnsi="Times New Roman" w:cs="Times New Roman"/>
          <w:sz w:val="24"/>
          <w:szCs w:val="24"/>
        </w:rPr>
        <w:t>27 (4) provides for the specific factors that a court admitting secondary hearsay evidence must take into account in weighing such evidence, these factors cannot be regarded as exhaustive. Issu</w:t>
      </w:r>
      <w:r w:rsidR="008A7DD9" w:rsidRPr="00D76405">
        <w:rPr>
          <w:rFonts w:ascii="Times New Roman" w:hAnsi="Times New Roman" w:cs="Times New Roman"/>
          <w:sz w:val="24"/>
          <w:szCs w:val="24"/>
        </w:rPr>
        <w:t>es such as errors of perception including</w:t>
      </w:r>
      <w:r w:rsidRPr="00D76405">
        <w:rPr>
          <w:rFonts w:ascii="Times New Roman" w:hAnsi="Times New Roman" w:cs="Times New Roman"/>
          <w:sz w:val="24"/>
          <w:szCs w:val="24"/>
        </w:rPr>
        <w:t xml:space="preserve"> opportunity and ability to see the occurrence, which </w:t>
      </w:r>
      <w:r w:rsidR="008A7DD9" w:rsidRPr="00D76405">
        <w:rPr>
          <w:rFonts w:ascii="Times New Roman" w:hAnsi="Times New Roman" w:cs="Times New Roman"/>
          <w:sz w:val="24"/>
          <w:szCs w:val="24"/>
        </w:rPr>
        <w:t xml:space="preserve">factors </w:t>
      </w:r>
      <w:r w:rsidRPr="00D76405">
        <w:rPr>
          <w:rFonts w:ascii="Times New Roman" w:hAnsi="Times New Roman" w:cs="Times New Roman"/>
          <w:sz w:val="24"/>
          <w:szCs w:val="24"/>
        </w:rPr>
        <w:t>the court assesses in respect of direct evidence led before it, are st</w:t>
      </w:r>
      <w:r w:rsidR="009B5E4D" w:rsidRPr="00D76405">
        <w:rPr>
          <w:rFonts w:ascii="Times New Roman" w:hAnsi="Times New Roman" w:cs="Times New Roman"/>
          <w:sz w:val="24"/>
          <w:szCs w:val="24"/>
        </w:rPr>
        <w:t>ill relevant factors for it</w:t>
      </w:r>
      <w:r w:rsidRPr="00D76405">
        <w:rPr>
          <w:rFonts w:ascii="Times New Roman" w:hAnsi="Times New Roman" w:cs="Times New Roman"/>
          <w:sz w:val="24"/>
          <w:szCs w:val="24"/>
        </w:rPr>
        <w:t xml:space="preserve"> to consider before relying on secondary hearsay evidence.</w:t>
      </w:r>
    </w:p>
    <w:p w:rsidR="007D51BE" w:rsidRPr="00D76405" w:rsidRDefault="007D51BE" w:rsidP="007D51BE">
      <w:pPr>
        <w:autoSpaceDE w:val="0"/>
        <w:autoSpaceDN w:val="0"/>
        <w:adjustRightInd w:val="0"/>
        <w:spacing w:after="0" w:line="480" w:lineRule="auto"/>
        <w:jc w:val="both"/>
        <w:rPr>
          <w:rFonts w:ascii="Times New Roman" w:hAnsi="Times New Roman" w:cs="Times New Roman"/>
          <w:sz w:val="24"/>
          <w:szCs w:val="24"/>
        </w:rPr>
      </w:pPr>
    </w:p>
    <w:p w:rsidR="007D51BE" w:rsidRPr="00D76405" w:rsidRDefault="007D51BE" w:rsidP="00271495">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In </w:t>
      </w:r>
      <w:r w:rsidRPr="00D76405">
        <w:rPr>
          <w:rFonts w:ascii="Times New Roman" w:hAnsi="Times New Roman" w:cs="Times New Roman"/>
          <w:i/>
          <w:sz w:val="24"/>
          <w:szCs w:val="24"/>
        </w:rPr>
        <w:t>casu</w:t>
      </w:r>
      <w:r w:rsidRPr="00D76405">
        <w:rPr>
          <w:rFonts w:ascii="Times New Roman" w:hAnsi="Times New Roman" w:cs="Times New Roman"/>
          <w:sz w:val="24"/>
          <w:szCs w:val="24"/>
        </w:rPr>
        <w:t xml:space="preserve">, the evidence that was before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could </w:t>
      </w:r>
      <w:r w:rsidR="00CE6ED2" w:rsidRPr="00D76405">
        <w:rPr>
          <w:rFonts w:ascii="Times New Roman" w:hAnsi="Times New Roman" w:cs="Times New Roman"/>
          <w:sz w:val="24"/>
          <w:szCs w:val="24"/>
        </w:rPr>
        <w:t xml:space="preserve">not </w:t>
      </w:r>
      <w:r w:rsidR="00AB1362" w:rsidRPr="00D76405">
        <w:rPr>
          <w:rFonts w:ascii="Times New Roman" w:hAnsi="Times New Roman" w:cs="Times New Roman"/>
          <w:sz w:val="24"/>
          <w:szCs w:val="24"/>
        </w:rPr>
        <w:t xml:space="preserve">have </w:t>
      </w:r>
      <w:r w:rsidRPr="00D76405">
        <w:rPr>
          <w:rFonts w:ascii="Times New Roman" w:hAnsi="Times New Roman" w:cs="Times New Roman"/>
          <w:sz w:val="24"/>
          <w:szCs w:val="24"/>
        </w:rPr>
        <w:t>enable</w:t>
      </w:r>
      <w:r w:rsidR="00601E55">
        <w:rPr>
          <w:rFonts w:ascii="Times New Roman" w:hAnsi="Times New Roman" w:cs="Times New Roman"/>
          <w:sz w:val="24"/>
          <w:szCs w:val="24"/>
        </w:rPr>
        <w:t>d</w:t>
      </w:r>
      <w:r w:rsidRPr="00D76405">
        <w:rPr>
          <w:rFonts w:ascii="Times New Roman" w:hAnsi="Times New Roman" w:cs="Times New Roman"/>
          <w:sz w:val="24"/>
          <w:szCs w:val="24"/>
        </w:rPr>
        <w:t xml:space="preserve"> it to investigate and discount errors of perception on the part of the policeman. Similarly, the evidence could not </w:t>
      </w:r>
      <w:r w:rsidR="00AB1362" w:rsidRPr="00D76405">
        <w:rPr>
          <w:rFonts w:ascii="Times New Roman" w:hAnsi="Times New Roman" w:cs="Times New Roman"/>
          <w:sz w:val="24"/>
          <w:szCs w:val="24"/>
        </w:rPr>
        <w:t xml:space="preserve">have </w:t>
      </w:r>
      <w:r w:rsidR="00B95527" w:rsidRPr="00D76405">
        <w:rPr>
          <w:rFonts w:ascii="Times New Roman" w:hAnsi="Times New Roman" w:cs="Times New Roman"/>
          <w:sz w:val="24"/>
          <w:szCs w:val="24"/>
        </w:rPr>
        <w:t>enabled</w:t>
      </w:r>
      <w:r w:rsidRPr="00D76405">
        <w:rPr>
          <w:rFonts w:ascii="Times New Roman" w:hAnsi="Times New Roman" w:cs="Times New Roman"/>
          <w:sz w:val="24"/>
          <w:szCs w:val="24"/>
        </w:rPr>
        <w:t xml:space="preserve"> the court to confirm his ability and opportunity to see the manner of the second appellant’s driving. For instance, his position in the car and his ability to see the driver were not established by the </w:t>
      </w:r>
      <w:r w:rsidR="00AB1362" w:rsidRPr="00D76405">
        <w:rPr>
          <w:rFonts w:ascii="Times New Roman" w:hAnsi="Times New Roman" w:cs="Times New Roman"/>
          <w:sz w:val="24"/>
          <w:szCs w:val="24"/>
        </w:rPr>
        <w:t xml:space="preserve">terse </w:t>
      </w:r>
      <w:r w:rsidRPr="00D76405">
        <w:rPr>
          <w:rFonts w:ascii="Times New Roman" w:hAnsi="Times New Roman" w:cs="Times New Roman"/>
          <w:sz w:val="24"/>
          <w:szCs w:val="24"/>
        </w:rPr>
        <w:t xml:space="preserve">evidence led from the respondent’s witnesses. </w:t>
      </w:r>
    </w:p>
    <w:p w:rsidR="007D51BE" w:rsidRPr="00D76405" w:rsidRDefault="007D51BE" w:rsidP="007D51BE">
      <w:pPr>
        <w:autoSpaceDE w:val="0"/>
        <w:autoSpaceDN w:val="0"/>
        <w:adjustRightInd w:val="0"/>
        <w:spacing w:after="0" w:line="480" w:lineRule="auto"/>
        <w:jc w:val="both"/>
        <w:rPr>
          <w:rFonts w:ascii="Times New Roman" w:hAnsi="Times New Roman" w:cs="Times New Roman"/>
          <w:sz w:val="24"/>
          <w:szCs w:val="24"/>
        </w:rPr>
      </w:pPr>
    </w:p>
    <w:p w:rsidR="007D51BE" w:rsidRPr="00D76405" w:rsidRDefault="007D51BE" w:rsidP="00271495">
      <w:pPr>
        <w:autoSpaceDE w:val="0"/>
        <w:autoSpaceDN w:val="0"/>
        <w:adjustRightInd w:val="0"/>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Thus, the accuracy of the statement by the policeman that the second appellant was sleeping whist driving was not competently and adequately established. It could </w:t>
      </w:r>
      <w:r w:rsidR="00CE6ED2" w:rsidRPr="00D76405">
        <w:rPr>
          <w:rFonts w:ascii="Times New Roman" w:hAnsi="Times New Roman" w:cs="Times New Roman"/>
          <w:sz w:val="24"/>
          <w:szCs w:val="24"/>
        </w:rPr>
        <w:t xml:space="preserve">not therefore </w:t>
      </w:r>
      <w:r w:rsidRPr="00D76405">
        <w:rPr>
          <w:rFonts w:ascii="Times New Roman" w:hAnsi="Times New Roman" w:cs="Times New Roman"/>
          <w:sz w:val="24"/>
          <w:szCs w:val="24"/>
        </w:rPr>
        <w:t xml:space="preserve">be </w:t>
      </w:r>
      <w:r w:rsidR="003D13DD" w:rsidRPr="00D76405">
        <w:rPr>
          <w:rFonts w:ascii="Times New Roman" w:hAnsi="Times New Roman" w:cs="Times New Roman"/>
          <w:sz w:val="24"/>
          <w:szCs w:val="24"/>
        </w:rPr>
        <w:t xml:space="preserve">solely </w:t>
      </w:r>
      <w:r w:rsidRPr="00D76405">
        <w:rPr>
          <w:rFonts w:ascii="Times New Roman" w:hAnsi="Times New Roman" w:cs="Times New Roman"/>
          <w:sz w:val="24"/>
          <w:szCs w:val="24"/>
        </w:rPr>
        <w:t xml:space="preserve">relied upon to find </w:t>
      </w:r>
      <w:r w:rsidR="00E02A57" w:rsidRPr="00D76405">
        <w:rPr>
          <w:rFonts w:ascii="Times New Roman" w:hAnsi="Times New Roman" w:cs="Times New Roman"/>
          <w:sz w:val="24"/>
          <w:szCs w:val="24"/>
        </w:rPr>
        <w:t xml:space="preserve">the second appellant </w:t>
      </w:r>
      <w:r w:rsidRPr="00D76405">
        <w:rPr>
          <w:rFonts w:ascii="Times New Roman" w:hAnsi="Times New Roman" w:cs="Times New Roman"/>
          <w:sz w:val="24"/>
          <w:szCs w:val="24"/>
        </w:rPr>
        <w:t>negligen</w:t>
      </w:r>
      <w:r w:rsidR="00E02A57" w:rsidRPr="00D76405">
        <w:rPr>
          <w:rFonts w:ascii="Times New Roman" w:hAnsi="Times New Roman" w:cs="Times New Roman"/>
          <w:sz w:val="24"/>
          <w:szCs w:val="24"/>
        </w:rPr>
        <w:t>t</w:t>
      </w:r>
      <w:r w:rsidRPr="00D76405">
        <w:rPr>
          <w:rFonts w:ascii="Times New Roman" w:hAnsi="Times New Roman" w:cs="Times New Roman"/>
          <w:sz w:val="24"/>
          <w:szCs w:val="24"/>
        </w:rPr>
        <w:t>.</w:t>
      </w:r>
      <w:r w:rsidR="003D5C64" w:rsidRPr="00D76405">
        <w:rPr>
          <w:rFonts w:ascii="Times New Roman" w:hAnsi="Times New Roman" w:cs="Times New Roman"/>
          <w:sz w:val="24"/>
          <w:szCs w:val="24"/>
        </w:rPr>
        <w:t xml:space="preserve"> It was woefully insufficient.</w:t>
      </w:r>
    </w:p>
    <w:p w:rsidR="007D51BE" w:rsidRPr="00D76405" w:rsidRDefault="007D51BE" w:rsidP="007D51BE">
      <w:pPr>
        <w:spacing w:after="0" w:line="480" w:lineRule="auto"/>
        <w:jc w:val="both"/>
        <w:rPr>
          <w:rFonts w:ascii="Times New Roman" w:hAnsi="Times New Roman" w:cs="Times New Roman"/>
          <w:sz w:val="24"/>
          <w:szCs w:val="24"/>
        </w:rPr>
      </w:pPr>
    </w:p>
    <w:p w:rsidR="007D51BE" w:rsidRPr="00D76405" w:rsidRDefault="007D51BE" w:rsidP="00544960">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From the record, it is clear that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relied solely on this unsafe </w:t>
      </w:r>
      <w:r w:rsidR="00DA10BF" w:rsidRPr="00D76405">
        <w:rPr>
          <w:rFonts w:ascii="Times New Roman" w:hAnsi="Times New Roman" w:cs="Times New Roman"/>
          <w:sz w:val="24"/>
          <w:szCs w:val="24"/>
        </w:rPr>
        <w:t xml:space="preserve">and insufficient </w:t>
      </w:r>
      <w:r w:rsidRPr="00D76405">
        <w:rPr>
          <w:rFonts w:ascii="Times New Roman" w:hAnsi="Times New Roman" w:cs="Times New Roman"/>
          <w:sz w:val="24"/>
          <w:szCs w:val="24"/>
        </w:rPr>
        <w:t>evidence to find the appellants liable. This is what it had to say in finding for the respondent:</w:t>
      </w:r>
    </w:p>
    <w:p w:rsidR="007D51BE" w:rsidRPr="00D76405" w:rsidRDefault="007D51BE" w:rsidP="00892A45">
      <w:pPr>
        <w:spacing w:after="0" w:line="240" w:lineRule="auto"/>
        <w:ind w:left="1418"/>
        <w:jc w:val="both"/>
        <w:rPr>
          <w:rFonts w:ascii="Times New Roman" w:hAnsi="Times New Roman" w:cs="Times New Roman"/>
          <w:sz w:val="24"/>
          <w:szCs w:val="24"/>
        </w:rPr>
      </w:pPr>
      <w:r w:rsidRPr="00D76405">
        <w:rPr>
          <w:rFonts w:ascii="Times New Roman" w:hAnsi="Times New Roman" w:cs="Times New Roman"/>
          <w:sz w:val="24"/>
          <w:szCs w:val="24"/>
        </w:rPr>
        <w:lastRenderedPageBreak/>
        <w:t xml:space="preserve">“Negligence in the form of </w:t>
      </w:r>
      <w:r w:rsidRPr="00D76405">
        <w:rPr>
          <w:rFonts w:ascii="Times New Roman" w:hAnsi="Times New Roman" w:cs="Times New Roman"/>
          <w:i/>
          <w:sz w:val="24"/>
          <w:szCs w:val="24"/>
        </w:rPr>
        <w:t>culpa</w:t>
      </w:r>
      <w:r w:rsidRPr="00D76405">
        <w:rPr>
          <w:rFonts w:ascii="Times New Roman" w:hAnsi="Times New Roman" w:cs="Times New Roman"/>
          <w:sz w:val="24"/>
          <w:szCs w:val="24"/>
        </w:rPr>
        <w:t xml:space="preserve"> has been defined as failure to exercise due care that a reasonable person would have exercised in the circumstances. ….</w:t>
      </w:r>
    </w:p>
    <w:p w:rsidR="00892A45" w:rsidRPr="00D76405" w:rsidRDefault="00892A45" w:rsidP="00892A45">
      <w:pPr>
        <w:spacing w:after="0" w:line="240" w:lineRule="auto"/>
        <w:ind w:left="1418"/>
        <w:jc w:val="both"/>
        <w:rPr>
          <w:rFonts w:ascii="Times New Roman" w:hAnsi="Times New Roman" w:cs="Times New Roman"/>
          <w:sz w:val="24"/>
          <w:szCs w:val="24"/>
        </w:rPr>
      </w:pPr>
    </w:p>
    <w:p w:rsidR="007D51BE" w:rsidRPr="00D76405" w:rsidRDefault="007D51BE" w:rsidP="00892A45">
      <w:pPr>
        <w:spacing w:after="0" w:line="240" w:lineRule="auto"/>
        <w:ind w:left="1418" w:firstLine="22"/>
        <w:jc w:val="both"/>
        <w:rPr>
          <w:rFonts w:ascii="Times New Roman" w:hAnsi="Times New Roman" w:cs="Times New Roman"/>
          <w:sz w:val="24"/>
          <w:szCs w:val="24"/>
        </w:rPr>
      </w:pPr>
      <w:r w:rsidRPr="00D76405">
        <w:rPr>
          <w:rFonts w:ascii="Times New Roman" w:hAnsi="Times New Roman" w:cs="Times New Roman"/>
          <w:sz w:val="24"/>
          <w:szCs w:val="24"/>
        </w:rPr>
        <w:t>The second defendant failed to exercise such due care. He should have parked his vehicle and slept. Continuing to drive whilst constantly falling asleep on the wheel was an act of negligence by the second respondent. A reasonable person would pull off the road and rest for a while. I am thus satisfied that the plaintiff has shown that the accident was solely caused by the second defendant’s negligence.”</w:t>
      </w:r>
    </w:p>
    <w:p w:rsidR="00C40EC3" w:rsidRPr="00D76405" w:rsidRDefault="00C40EC3" w:rsidP="00C40EC3">
      <w:pPr>
        <w:spacing w:after="0" w:line="240" w:lineRule="auto"/>
        <w:jc w:val="both"/>
        <w:rPr>
          <w:rFonts w:ascii="Times New Roman" w:hAnsi="Times New Roman" w:cs="Times New Roman"/>
          <w:sz w:val="24"/>
          <w:szCs w:val="24"/>
        </w:rPr>
      </w:pPr>
    </w:p>
    <w:p w:rsidR="00C40EC3" w:rsidRPr="00D76405" w:rsidRDefault="00C40EC3" w:rsidP="00C40EC3">
      <w:pPr>
        <w:spacing w:after="0" w:line="240" w:lineRule="auto"/>
        <w:jc w:val="both"/>
        <w:rPr>
          <w:rFonts w:ascii="Times New Roman" w:hAnsi="Times New Roman" w:cs="Times New Roman"/>
          <w:sz w:val="24"/>
          <w:szCs w:val="24"/>
        </w:rPr>
      </w:pPr>
    </w:p>
    <w:p w:rsidR="00C40EC3" w:rsidRPr="00D76405" w:rsidRDefault="00C40EC3" w:rsidP="00C40EC3">
      <w:pPr>
        <w:spacing w:after="0" w:line="240" w:lineRule="auto"/>
        <w:jc w:val="both"/>
        <w:rPr>
          <w:rFonts w:ascii="Times New Roman" w:hAnsi="Times New Roman" w:cs="Times New Roman"/>
          <w:sz w:val="24"/>
          <w:szCs w:val="24"/>
        </w:rPr>
      </w:pPr>
    </w:p>
    <w:p w:rsidR="002A7253" w:rsidRPr="00D76405" w:rsidRDefault="007D51BE" w:rsidP="002A7253">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 xml:space="preserve">It is therefore my finding that there was no evidence before the court </w:t>
      </w:r>
      <w:r w:rsidR="00C00991" w:rsidRPr="00D76405">
        <w:rPr>
          <w:rFonts w:ascii="Times New Roman" w:hAnsi="Times New Roman" w:cs="Times New Roman"/>
          <w:i/>
          <w:sz w:val="24"/>
          <w:szCs w:val="24"/>
        </w:rPr>
        <w:t>a quo</w:t>
      </w:r>
      <w:r w:rsidR="00C00991" w:rsidRPr="00D76405">
        <w:rPr>
          <w:rFonts w:ascii="Times New Roman" w:hAnsi="Times New Roman" w:cs="Times New Roman"/>
          <w:sz w:val="24"/>
          <w:szCs w:val="24"/>
        </w:rPr>
        <w:t xml:space="preserve"> </w:t>
      </w:r>
      <w:r w:rsidRPr="00D76405">
        <w:rPr>
          <w:rFonts w:ascii="Times New Roman" w:hAnsi="Times New Roman" w:cs="Times New Roman"/>
          <w:sz w:val="24"/>
          <w:szCs w:val="24"/>
        </w:rPr>
        <w:t xml:space="preserve">upon which it </w:t>
      </w:r>
      <w:r w:rsidR="00D83811" w:rsidRPr="00D76405">
        <w:rPr>
          <w:rFonts w:ascii="Times New Roman" w:hAnsi="Times New Roman" w:cs="Times New Roman"/>
          <w:sz w:val="24"/>
          <w:szCs w:val="24"/>
        </w:rPr>
        <w:t>could find the second appellant</w:t>
      </w:r>
      <w:r w:rsidRPr="00D76405">
        <w:rPr>
          <w:rFonts w:ascii="Times New Roman" w:hAnsi="Times New Roman" w:cs="Times New Roman"/>
          <w:sz w:val="24"/>
          <w:szCs w:val="24"/>
        </w:rPr>
        <w:t xml:space="preserve"> negligent. Put differently, the respondents did not prove the allegations of negligence that they had </w:t>
      </w:r>
      <w:r w:rsidR="00C00991" w:rsidRPr="00D76405">
        <w:rPr>
          <w:rFonts w:ascii="Times New Roman" w:hAnsi="Times New Roman" w:cs="Times New Roman"/>
          <w:sz w:val="24"/>
          <w:szCs w:val="24"/>
        </w:rPr>
        <w:t>leveled</w:t>
      </w:r>
      <w:r w:rsidRPr="00D76405">
        <w:rPr>
          <w:rFonts w:ascii="Times New Roman" w:hAnsi="Times New Roman" w:cs="Times New Roman"/>
          <w:sz w:val="24"/>
          <w:szCs w:val="24"/>
        </w:rPr>
        <w:t xml:space="preserve"> against the second appellant. </w:t>
      </w:r>
    </w:p>
    <w:p w:rsidR="00C00991" w:rsidRPr="00D76405" w:rsidRDefault="00C00991" w:rsidP="002A7253">
      <w:pPr>
        <w:spacing w:after="0" w:line="480" w:lineRule="auto"/>
        <w:ind w:firstLine="1134"/>
        <w:jc w:val="both"/>
        <w:rPr>
          <w:rFonts w:ascii="Times New Roman" w:hAnsi="Times New Roman" w:cs="Times New Roman"/>
          <w:sz w:val="24"/>
          <w:szCs w:val="24"/>
        </w:rPr>
      </w:pPr>
    </w:p>
    <w:p w:rsidR="007D51BE" w:rsidRPr="00D76405" w:rsidRDefault="007D51BE" w:rsidP="002A7253">
      <w:pPr>
        <w:spacing w:after="0" w:line="480" w:lineRule="auto"/>
        <w:ind w:firstLine="1134"/>
        <w:jc w:val="both"/>
        <w:rPr>
          <w:rFonts w:ascii="Times New Roman" w:hAnsi="Times New Roman" w:cs="Times New Roman"/>
          <w:sz w:val="24"/>
          <w:szCs w:val="24"/>
        </w:rPr>
      </w:pPr>
      <w:r w:rsidRPr="00D76405">
        <w:rPr>
          <w:rFonts w:ascii="Times New Roman" w:hAnsi="Times New Roman" w:cs="Times New Roman"/>
          <w:sz w:val="24"/>
          <w:szCs w:val="24"/>
        </w:rPr>
        <w:t>Regarding cos</w:t>
      </w:r>
      <w:r w:rsidR="00E56A27" w:rsidRPr="00D76405">
        <w:rPr>
          <w:rFonts w:ascii="Times New Roman" w:hAnsi="Times New Roman" w:cs="Times New Roman"/>
          <w:sz w:val="24"/>
          <w:szCs w:val="24"/>
        </w:rPr>
        <w:t xml:space="preserve">ts, an appropriate order is </w:t>
      </w:r>
      <w:r w:rsidRPr="00D76405">
        <w:rPr>
          <w:rFonts w:ascii="Times New Roman" w:hAnsi="Times New Roman" w:cs="Times New Roman"/>
          <w:sz w:val="24"/>
          <w:szCs w:val="24"/>
        </w:rPr>
        <w:t>for these to follow the cause.</w:t>
      </w:r>
    </w:p>
    <w:p w:rsidR="00085142" w:rsidRPr="00D76405" w:rsidRDefault="00085142" w:rsidP="002A7253">
      <w:pPr>
        <w:spacing w:after="0" w:line="480" w:lineRule="auto"/>
        <w:ind w:firstLine="1134"/>
        <w:jc w:val="both"/>
        <w:rPr>
          <w:rFonts w:ascii="Times New Roman" w:hAnsi="Times New Roman" w:cs="Times New Roman"/>
          <w:sz w:val="24"/>
          <w:szCs w:val="24"/>
        </w:rPr>
      </w:pPr>
    </w:p>
    <w:p w:rsidR="007D51BE" w:rsidRPr="00D76405" w:rsidRDefault="007D51BE" w:rsidP="007D51BE">
      <w:pPr>
        <w:spacing w:after="0" w:line="480" w:lineRule="auto"/>
        <w:jc w:val="both"/>
        <w:rPr>
          <w:rFonts w:ascii="Times New Roman" w:hAnsi="Times New Roman" w:cs="Times New Roman"/>
          <w:sz w:val="24"/>
          <w:szCs w:val="24"/>
        </w:rPr>
      </w:pPr>
      <w:r w:rsidRPr="00D76405">
        <w:rPr>
          <w:rFonts w:ascii="Times New Roman" w:hAnsi="Times New Roman" w:cs="Times New Roman"/>
          <w:sz w:val="24"/>
          <w:szCs w:val="24"/>
        </w:rPr>
        <w:t>In the result, I make the following order:</w:t>
      </w:r>
    </w:p>
    <w:p w:rsidR="007D51BE" w:rsidRPr="00D76405" w:rsidRDefault="007D51BE" w:rsidP="007D51BE">
      <w:pPr>
        <w:pStyle w:val="ListParagraph"/>
        <w:numPr>
          <w:ilvl w:val="0"/>
          <w:numId w:val="16"/>
        </w:numPr>
        <w:spacing w:after="0" w:line="480" w:lineRule="auto"/>
        <w:jc w:val="both"/>
        <w:rPr>
          <w:rFonts w:ascii="Times New Roman" w:hAnsi="Times New Roman" w:cs="Times New Roman"/>
          <w:sz w:val="24"/>
          <w:szCs w:val="24"/>
        </w:rPr>
      </w:pPr>
      <w:r w:rsidRPr="00D76405">
        <w:rPr>
          <w:rFonts w:ascii="Times New Roman" w:hAnsi="Times New Roman" w:cs="Times New Roman"/>
          <w:sz w:val="24"/>
          <w:szCs w:val="24"/>
        </w:rPr>
        <w:t>The appeal is allowed with costs.</w:t>
      </w:r>
    </w:p>
    <w:p w:rsidR="007D51BE" w:rsidRPr="00D76405" w:rsidRDefault="007D51BE" w:rsidP="007D51BE">
      <w:pPr>
        <w:pStyle w:val="ListParagraph"/>
        <w:numPr>
          <w:ilvl w:val="0"/>
          <w:numId w:val="16"/>
        </w:numPr>
        <w:spacing w:after="0" w:line="480" w:lineRule="auto"/>
        <w:jc w:val="both"/>
        <w:rPr>
          <w:rFonts w:ascii="Times New Roman" w:hAnsi="Times New Roman" w:cs="Times New Roman"/>
          <w:sz w:val="24"/>
          <w:szCs w:val="24"/>
        </w:rPr>
      </w:pPr>
      <w:r w:rsidRPr="00D76405">
        <w:rPr>
          <w:rFonts w:ascii="Times New Roman" w:hAnsi="Times New Roman" w:cs="Times New Roman"/>
          <w:sz w:val="24"/>
          <w:szCs w:val="24"/>
        </w:rPr>
        <w:t xml:space="preserve">The </w:t>
      </w:r>
      <w:r w:rsidR="00242C16" w:rsidRPr="00D76405">
        <w:rPr>
          <w:rFonts w:ascii="Times New Roman" w:hAnsi="Times New Roman" w:cs="Times New Roman"/>
          <w:sz w:val="24"/>
          <w:szCs w:val="24"/>
        </w:rPr>
        <w:t>judgment</w:t>
      </w:r>
      <w:r w:rsidRPr="00D76405">
        <w:rPr>
          <w:rFonts w:ascii="Times New Roman" w:hAnsi="Times New Roman" w:cs="Times New Roman"/>
          <w:sz w:val="24"/>
          <w:szCs w:val="24"/>
        </w:rPr>
        <w:t xml:space="preserve"> of the court </w:t>
      </w:r>
      <w:r w:rsidRPr="00D76405">
        <w:rPr>
          <w:rFonts w:ascii="Times New Roman" w:hAnsi="Times New Roman" w:cs="Times New Roman"/>
          <w:i/>
          <w:sz w:val="24"/>
          <w:szCs w:val="24"/>
        </w:rPr>
        <w:t>a quo</w:t>
      </w:r>
      <w:r w:rsidRPr="00D76405">
        <w:rPr>
          <w:rFonts w:ascii="Times New Roman" w:hAnsi="Times New Roman" w:cs="Times New Roman"/>
          <w:sz w:val="24"/>
          <w:szCs w:val="24"/>
        </w:rPr>
        <w:t xml:space="preserve"> is set aside and is substituted with the following:</w:t>
      </w:r>
    </w:p>
    <w:p w:rsidR="007D51BE" w:rsidRPr="00D76405" w:rsidRDefault="00085142" w:rsidP="007D51BE">
      <w:pPr>
        <w:pStyle w:val="ListParagraph"/>
        <w:spacing w:after="0" w:line="480" w:lineRule="auto"/>
        <w:jc w:val="both"/>
        <w:rPr>
          <w:rFonts w:ascii="Times New Roman" w:hAnsi="Times New Roman" w:cs="Times New Roman"/>
          <w:sz w:val="24"/>
          <w:szCs w:val="24"/>
        </w:rPr>
      </w:pPr>
      <w:r w:rsidRPr="00D76405">
        <w:rPr>
          <w:rFonts w:ascii="Times New Roman" w:hAnsi="Times New Roman" w:cs="Times New Roman"/>
          <w:sz w:val="24"/>
          <w:szCs w:val="24"/>
        </w:rPr>
        <w:t>“The</w:t>
      </w:r>
      <w:r w:rsidR="007D51BE" w:rsidRPr="00D76405">
        <w:rPr>
          <w:rFonts w:ascii="Times New Roman" w:hAnsi="Times New Roman" w:cs="Times New Roman"/>
          <w:sz w:val="24"/>
          <w:szCs w:val="24"/>
        </w:rPr>
        <w:t xml:space="preserve"> </w:t>
      </w:r>
      <w:r w:rsidR="005E62DC" w:rsidRPr="00D76405">
        <w:rPr>
          <w:rFonts w:ascii="Times New Roman" w:hAnsi="Times New Roman" w:cs="Times New Roman"/>
          <w:sz w:val="24"/>
          <w:szCs w:val="24"/>
        </w:rPr>
        <w:t xml:space="preserve">plaintiff’s claim is dismissed </w:t>
      </w:r>
      <w:r w:rsidR="007D51BE" w:rsidRPr="00D76405">
        <w:rPr>
          <w:rFonts w:ascii="Times New Roman" w:hAnsi="Times New Roman" w:cs="Times New Roman"/>
          <w:sz w:val="24"/>
          <w:szCs w:val="24"/>
        </w:rPr>
        <w:t>with costs.”</w:t>
      </w:r>
    </w:p>
    <w:p w:rsidR="00085142" w:rsidRPr="00D76405" w:rsidRDefault="00085142" w:rsidP="00F93631">
      <w:pPr>
        <w:spacing w:after="0" w:line="480" w:lineRule="auto"/>
        <w:ind w:left="414" w:firstLine="720"/>
        <w:jc w:val="both"/>
        <w:rPr>
          <w:rFonts w:ascii="Times New Roman" w:hAnsi="Times New Roman" w:cs="Times New Roman"/>
          <w:b/>
          <w:sz w:val="24"/>
          <w:szCs w:val="24"/>
        </w:rPr>
      </w:pPr>
    </w:p>
    <w:p w:rsidR="00085142" w:rsidRPr="00D76405" w:rsidRDefault="00085142" w:rsidP="00F93631">
      <w:pPr>
        <w:spacing w:after="0" w:line="480" w:lineRule="auto"/>
        <w:ind w:left="414" w:firstLine="720"/>
        <w:jc w:val="both"/>
        <w:rPr>
          <w:rFonts w:ascii="Times New Roman" w:hAnsi="Times New Roman" w:cs="Times New Roman"/>
          <w:b/>
          <w:sz w:val="24"/>
          <w:szCs w:val="24"/>
        </w:rPr>
      </w:pPr>
    </w:p>
    <w:p w:rsidR="00F93631" w:rsidRPr="00D76405" w:rsidRDefault="00085142" w:rsidP="00F93631">
      <w:pPr>
        <w:spacing w:after="0" w:line="480" w:lineRule="auto"/>
        <w:ind w:left="414" w:firstLine="720"/>
        <w:jc w:val="both"/>
        <w:rPr>
          <w:rFonts w:ascii="Times New Roman" w:hAnsi="Times New Roman" w:cs="Times New Roman"/>
          <w:sz w:val="24"/>
          <w:szCs w:val="24"/>
        </w:rPr>
      </w:pPr>
      <w:r w:rsidRPr="00D76405">
        <w:rPr>
          <w:rFonts w:ascii="Times New Roman" w:hAnsi="Times New Roman" w:cs="Times New Roman"/>
          <w:b/>
          <w:sz w:val="24"/>
          <w:szCs w:val="24"/>
        </w:rPr>
        <w:t>GWAUNZA</w:t>
      </w:r>
      <w:r w:rsidR="00CE546C" w:rsidRPr="00D76405">
        <w:rPr>
          <w:rFonts w:ascii="Times New Roman" w:hAnsi="Times New Roman" w:cs="Times New Roman"/>
          <w:b/>
          <w:sz w:val="24"/>
          <w:szCs w:val="24"/>
        </w:rPr>
        <w:t xml:space="preserve"> </w:t>
      </w:r>
      <w:r w:rsidRPr="00D76405">
        <w:rPr>
          <w:rFonts w:ascii="Times New Roman" w:hAnsi="Times New Roman" w:cs="Times New Roman"/>
          <w:b/>
          <w:sz w:val="24"/>
          <w:szCs w:val="24"/>
        </w:rPr>
        <w:t>JA</w:t>
      </w:r>
      <w:r w:rsidR="005E2C1C">
        <w:rPr>
          <w:rFonts w:ascii="Times New Roman" w:hAnsi="Times New Roman" w:cs="Times New Roman"/>
          <w:b/>
          <w:sz w:val="24"/>
          <w:szCs w:val="24"/>
        </w:rPr>
        <w:tab/>
      </w:r>
      <w:r w:rsidR="005E2C1C">
        <w:rPr>
          <w:rFonts w:ascii="Times New Roman" w:hAnsi="Times New Roman" w:cs="Times New Roman"/>
          <w:b/>
          <w:sz w:val="24"/>
          <w:szCs w:val="24"/>
        </w:rPr>
        <w:tab/>
      </w:r>
      <w:r w:rsidR="00F93631" w:rsidRPr="00D76405">
        <w:rPr>
          <w:rFonts w:ascii="Times New Roman" w:hAnsi="Times New Roman" w:cs="Times New Roman"/>
          <w:b/>
          <w:sz w:val="24"/>
          <w:szCs w:val="24"/>
        </w:rPr>
        <w:t>:</w:t>
      </w:r>
      <w:r w:rsidR="00F93631" w:rsidRPr="00D76405">
        <w:rPr>
          <w:rFonts w:ascii="Times New Roman" w:hAnsi="Times New Roman" w:cs="Times New Roman"/>
          <w:sz w:val="24"/>
          <w:szCs w:val="24"/>
        </w:rPr>
        <w:tab/>
      </w:r>
      <w:r w:rsidR="00F93631" w:rsidRPr="00D76405">
        <w:rPr>
          <w:rFonts w:ascii="Times New Roman" w:hAnsi="Times New Roman" w:cs="Times New Roman"/>
          <w:sz w:val="24"/>
          <w:szCs w:val="24"/>
        </w:rPr>
        <w:tab/>
      </w:r>
      <w:r w:rsidR="00F93631" w:rsidRPr="00D76405">
        <w:rPr>
          <w:rFonts w:ascii="Times New Roman" w:hAnsi="Times New Roman" w:cs="Times New Roman"/>
          <w:sz w:val="24"/>
          <w:szCs w:val="24"/>
        </w:rPr>
        <w:tab/>
        <w:t>I agree</w:t>
      </w:r>
    </w:p>
    <w:p w:rsidR="00CE546C" w:rsidRPr="00D76405" w:rsidRDefault="00CE546C" w:rsidP="00F93631">
      <w:pPr>
        <w:spacing w:after="0" w:line="480" w:lineRule="auto"/>
        <w:ind w:left="414" w:firstLine="720"/>
        <w:jc w:val="both"/>
        <w:rPr>
          <w:rFonts w:ascii="Times New Roman" w:hAnsi="Times New Roman" w:cs="Times New Roman"/>
          <w:sz w:val="24"/>
          <w:szCs w:val="24"/>
        </w:rPr>
      </w:pPr>
    </w:p>
    <w:p w:rsidR="00F93631" w:rsidRPr="00D76405" w:rsidRDefault="00085142" w:rsidP="00F93631">
      <w:pPr>
        <w:spacing w:after="0" w:line="480" w:lineRule="auto"/>
        <w:ind w:left="414" w:firstLine="720"/>
        <w:jc w:val="both"/>
        <w:rPr>
          <w:rFonts w:ascii="Times New Roman" w:hAnsi="Times New Roman" w:cs="Times New Roman"/>
          <w:sz w:val="24"/>
          <w:szCs w:val="24"/>
        </w:rPr>
      </w:pPr>
      <w:r w:rsidRPr="00D76405">
        <w:rPr>
          <w:rFonts w:ascii="Times New Roman" w:hAnsi="Times New Roman" w:cs="Times New Roman"/>
          <w:b/>
          <w:sz w:val="24"/>
          <w:szCs w:val="24"/>
        </w:rPr>
        <w:t>GARWE</w:t>
      </w:r>
      <w:r w:rsidR="00CE546C" w:rsidRPr="00D76405">
        <w:rPr>
          <w:rFonts w:ascii="Times New Roman" w:hAnsi="Times New Roman" w:cs="Times New Roman"/>
          <w:b/>
          <w:sz w:val="24"/>
          <w:szCs w:val="24"/>
        </w:rPr>
        <w:t xml:space="preserve"> JA</w:t>
      </w:r>
      <w:r w:rsidR="005E2C1C">
        <w:rPr>
          <w:rFonts w:ascii="Times New Roman" w:hAnsi="Times New Roman" w:cs="Times New Roman"/>
          <w:b/>
          <w:sz w:val="24"/>
          <w:szCs w:val="24"/>
        </w:rPr>
        <w:tab/>
      </w:r>
      <w:r w:rsidR="005E2C1C">
        <w:rPr>
          <w:rFonts w:ascii="Times New Roman" w:hAnsi="Times New Roman" w:cs="Times New Roman"/>
          <w:b/>
          <w:sz w:val="24"/>
          <w:szCs w:val="24"/>
        </w:rPr>
        <w:tab/>
      </w:r>
      <w:r w:rsidR="00F93631" w:rsidRPr="00D76405">
        <w:rPr>
          <w:rFonts w:ascii="Times New Roman" w:hAnsi="Times New Roman" w:cs="Times New Roman"/>
          <w:b/>
          <w:sz w:val="24"/>
          <w:szCs w:val="24"/>
        </w:rPr>
        <w:t>:</w:t>
      </w:r>
      <w:r w:rsidR="00F93631" w:rsidRPr="00D76405">
        <w:rPr>
          <w:rFonts w:ascii="Times New Roman" w:hAnsi="Times New Roman" w:cs="Times New Roman"/>
          <w:b/>
          <w:sz w:val="24"/>
          <w:szCs w:val="24"/>
        </w:rPr>
        <w:tab/>
      </w:r>
      <w:r w:rsidR="00F93631" w:rsidRPr="00D76405">
        <w:rPr>
          <w:rFonts w:ascii="Times New Roman" w:hAnsi="Times New Roman" w:cs="Times New Roman"/>
          <w:b/>
          <w:sz w:val="24"/>
          <w:szCs w:val="24"/>
        </w:rPr>
        <w:tab/>
      </w:r>
      <w:r w:rsidR="00CE546C" w:rsidRPr="00D76405">
        <w:rPr>
          <w:rFonts w:ascii="Times New Roman" w:hAnsi="Times New Roman" w:cs="Times New Roman"/>
          <w:b/>
          <w:sz w:val="24"/>
          <w:szCs w:val="24"/>
        </w:rPr>
        <w:tab/>
      </w:r>
      <w:r w:rsidR="00F93631" w:rsidRPr="00D76405">
        <w:rPr>
          <w:rFonts w:ascii="Times New Roman" w:hAnsi="Times New Roman" w:cs="Times New Roman"/>
          <w:sz w:val="24"/>
          <w:szCs w:val="24"/>
        </w:rPr>
        <w:t>I agree</w:t>
      </w:r>
    </w:p>
    <w:p w:rsidR="00CE546C" w:rsidRPr="00D76405" w:rsidRDefault="00CE546C" w:rsidP="00F93631">
      <w:pPr>
        <w:spacing w:after="0" w:line="480" w:lineRule="auto"/>
        <w:ind w:left="414" w:firstLine="720"/>
        <w:jc w:val="both"/>
        <w:rPr>
          <w:rFonts w:ascii="Times New Roman" w:hAnsi="Times New Roman" w:cs="Times New Roman"/>
          <w:sz w:val="24"/>
          <w:szCs w:val="24"/>
        </w:rPr>
      </w:pPr>
    </w:p>
    <w:p w:rsidR="00F93631" w:rsidRPr="00D76405" w:rsidRDefault="00F93631" w:rsidP="00FD4CB8">
      <w:pPr>
        <w:spacing w:line="480" w:lineRule="auto"/>
        <w:jc w:val="both"/>
        <w:rPr>
          <w:rFonts w:ascii="Times New Roman" w:hAnsi="Times New Roman" w:cs="Times New Roman"/>
          <w:sz w:val="24"/>
          <w:szCs w:val="24"/>
          <w:lang w:val="en-ZW"/>
        </w:rPr>
      </w:pPr>
    </w:p>
    <w:p w:rsidR="00151224" w:rsidRPr="00D76405" w:rsidRDefault="00151224" w:rsidP="00FD4CB8">
      <w:pPr>
        <w:spacing w:line="480" w:lineRule="auto"/>
        <w:jc w:val="both"/>
        <w:rPr>
          <w:rFonts w:ascii="Times New Roman" w:hAnsi="Times New Roman" w:cs="Times New Roman"/>
          <w:sz w:val="24"/>
          <w:szCs w:val="24"/>
          <w:lang w:val="en-ZW"/>
        </w:rPr>
      </w:pPr>
    </w:p>
    <w:sectPr w:rsidR="00151224" w:rsidRPr="00D76405" w:rsidSect="00A8191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D60" w:rsidRDefault="00D24D60" w:rsidP="00BD15B4">
      <w:pPr>
        <w:spacing w:after="0" w:line="240" w:lineRule="auto"/>
      </w:pPr>
      <w:r>
        <w:separator/>
      </w:r>
    </w:p>
  </w:endnote>
  <w:endnote w:type="continuationSeparator" w:id="0">
    <w:p w:rsidR="00D24D60" w:rsidRDefault="00D24D60" w:rsidP="00B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D60" w:rsidRDefault="00D24D60" w:rsidP="00BD15B4">
      <w:pPr>
        <w:spacing w:after="0" w:line="240" w:lineRule="auto"/>
      </w:pPr>
      <w:r>
        <w:separator/>
      </w:r>
    </w:p>
  </w:footnote>
  <w:footnote w:type="continuationSeparator" w:id="0">
    <w:p w:rsidR="00D24D60" w:rsidRDefault="00D24D60" w:rsidP="00BD1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F1" w:rsidRPr="006C1BB1" w:rsidRDefault="00D24D60" w:rsidP="00BD15B4">
    <w:pPr>
      <w:pStyle w:val="Header"/>
      <w:jc w:val="right"/>
      <w:rPr>
        <w:rFonts w:ascii="Times New Roman" w:hAnsi="Times New Roman" w:cs="Times New Roman"/>
        <w:b/>
        <w:sz w:val="24"/>
        <w:szCs w:val="24"/>
      </w:rPr>
    </w:pPr>
    <w:sdt>
      <w:sdtPr>
        <w:rPr>
          <w:rFonts w:ascii="Times New Roman" w:hAnsi="Times New Roman" w:cs="Times New Roman"/>
          <w:b/>
          <w:sz w:val="24"/>
          <w:szCs w:val="24"/>
        </w:rPr>
        <w:id w:val="-2117599790"/>
        <w:docPartObj>
          <w:docPartGallery w:val="Page Numbers (Top of Page)"/>
          <w:docPartUnique/>
        </w:docPartObj>
      </w:sdtPr>
      <w:sdtEndPr>
        <w:rPr>
          <w:noProof/>
        </w:rPr>
      </w:sdtEndPr>
      <w:sdtContent>
        <w:r w:rsidR="00E66DF3" w:rsidRPr="006C1BB1">
          <w:rPr>
            <w:rFonts w:ascii="Times New Roman" w:hAnsi="Times New Roman" w:cs="Times New Roman"/>
            <w:b/>
            <w:sz w:val="24"/>
            <w:szCs w:val="24"/>
          </w:rPr>
          <w:t xml:space="preserve">Judgment No. SC </w:t>
        </w:r>
        <w:r w:rsidR="00D76405">
          <w:rPr>
            <w:rFonts w:ascii="Times New Roman" w:hAnsi="Times New Roman" w:cs="Times New Roman"/>
            <w:b/>
            <w:sz w:val="24"/>
            <w:szCs w:val="24"/>
          </w:rPr>
          <w:t>75</w:t>
        </w:r>
        <w:r w:rsidR="00B80332">
          <w:rPr>
            <w:rFonts w:ascii="Times New Roman" w:hAnsi="Times New Roman" w:cs="Times New Roman"/>
            <w:b/>
            <w:sz w:val="24"/>
            <w:szCs w:val="24"/>
          </w:rPr>
          <w:t>/19</w:t>
        </w:r>
        <w:r w:rsidR="00F720F1" w:rsidRPr="006C1BB1">
          <w:rPr>
            <w:rFonts w:ascii="Times New Roman" w:hAnsi="Times New Roman" w:cs="Times New Roman"/>
            <w:b/>
            <w:sz w:val="24"/>
            <w:szCs w:val="24"/>
          </w:rPr>
          <w:t>|</w:t>
        </w:r>
        <w:r w:rsidR="005D5829" w:rsidRPr="006C1BB1">
          <w:rPr>
            <w:rFonts w:ascii="Times New Roman" w:hAnsi="Times New Roman" w:cs="Times New Roman"/>
            <w:b/>
            <w:sz w:val="24"/>
            <w:szCs w:val="24"/>
          </w:rPr>
          <w:fldChar w:fldCharType="begin"/>
        </w:r>
        <w:r w:rsidR="005D5829" w:rsidRPr="006C1BB1">
          <w:rPr>
            <w:rFonts w:ascii="Times New Roman" w:hAnsi="Times New Roman" w:cs="Times New Roman"/>
            <w:b/>
            <w:sz w:val="24"/>
            <w:szCs w:val="24"/>
          </w:rPr>
          <w:instrText xml:space="preserve"> PAGE   \* MERGEFORMAT </w:instrText>
        </w:r>
        <w:r w:rsidR="005D5829" w:rsidRPr="006C1BB1">
          <w:rPr>
            <w:rFonts w:ascii="Times New Roman" w:hAnsi="Times New Roman" w:cs="Times New Roman"/>
            <w:b/>
            <w:sz w:val="24"/>
            <w:szCs w:val="24"/>
          </w:rPr>
          <w:fldChar w:fldCharType="separate"/>
        </w:r>
        <w:r w:rsidR="003A762E">
          <w:rPr>
            <w:rFonts w:ascii="Times New Roman" w:hAnsi="Times New Roman" w:cs="Times New Roman"/>
            <w:b/>
            <w:noProof/>
            <w:sz w:val="24"/>
            <w:szCs w:val="24"/>
          </w:rPr>
          <w:t>1</w:t>
        </w:r>
        <w:r w:rsidR="005D5829" w:rsidRPr="006C1BB1">
          <w:rPr>
            <w:rFonts w:ascii="Times New Roman" w:hAnsi="Times New Roman" w:cs="Times New Roman"/>
            <w:b/>
            <w:noProof/>
            <w:sz w:val="24"/>
            <w:szCs w:val="24"/>
          </w:rPr>
          <w:fldChar w:fldCharType="end"/>
        </w:r>
      </w:sdtContent>
    </w:sdt>
  </w:p>
  <w:p w:rsidR="00F720F1" w:rsidRPr="006C1BB1" w:rsidRDefault="002C1693" w:rsidP="00BD15B4">
    <w:pPr>
      <w:pStyle w:val="Header"/>
      <w:rPr>
        <w:rFonts w:ascii="Times New Roman" w:hAnsi="Times New Roman" w:cs="Times New Roman"/>
        <w:b/>
        <w:sz w:val="24"/>
        <w:szCs w:val="24"/>
      </w:rPr>
    </w:pPr>
    <w:r>
      <w:rPr>
        <w:rFonts w:ascii="Times New Roman" w:hAnsi="Times New Roman" w:cs="Times New Roman"/>
        <w:b/>
        <w:sz w:val="24"/>
        <w:szCs w:val="24"/>
      </w:rPr>
      <w:tab/>
      <w:t xml:space="preserve">                                                                                                  </w:t>
    </w:r>
    <w:r w:rsidR="00F720F1" w:rsidRPr="006C1BB1">
      <w:rPr>
        <w:rFonts w:ascii="Times New Roman" w:hAnsi="Times New Roman" w:cs="Times New Roman"/>
        <w:b/>
        <w:sz w:val="24"/>
        <w:szCs w:val="24"/>
      </w:rPr>
      <w:t xml:space="preserve">Civil Appeal No. SC </w:t>
    </w:r>
    <w:r w:rsidR="000273C2">
      <w:rPr>
        <w:rFonts w:ascii="Times New Roman" w:hAnsi="Times New Roman" w:cs="Times New Roman"/>
        <w:b/>
        <w:sz w:val="24"/>
        <w:szCs w:val="24"/>
      </w:rPr>
      <w:t>895</w:t>
    </w:r>
    <w:r w:rsidR="00F720F1" w:rsidRPr="006C1BB1">
      <w:rPr>
        <w:rFonts w:ascii="Times New Roman" w:hAnsi="Times New Roman" w:cs="Times New Roman"/>
        <w:b/>
        <w:sz w:val="24"/>
        <w:szCs w:val="24"/>
      </w:rPr>
      <w:t>/1</w:t>
    </w:r>
    <w:r w:rsidR="000273C2">
      <w:rPr>
        <w:rFonts w:ascii="Times New Roman" w:hAnsi="Times New Roman" w:cs="Times New Roman"/>
        <w:b/>
        <w:sz w:val="24"/>
        <w:szCs w:val="24"/>
      </w:rPr>
      <w:t>7</w:t>
    </w:r>
  </w:p>
  <w:p w:rsidR="00F720F1" w:rsidRPr="008D6CF7" w:rsidRDefault="00F720F1" w:rsidP="00BD15B4">
    <w:pPr>
      <w:pStyle w:val="Header"/>
    </w:pPr>
  </w:p>
  <w:p w:rsidR="00F720F1" w:rsidRDefault="00F72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BFA"/>
    <w:multiLevelType w:val="hybridMultilevel"/>
    <w:tmpl w:val="65DAD312"/>
    <w:lvl w:ilvl="0" w:tplc="26AAC7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0335C"/>
    <w:multiLevelType w:val="hybridMultilevel"/>
    <w:tmpl w:val="BB424EE4"/>
    <w:lvl w:ilvl="0" w:tplc="A6F4812A">
      <w:start w:val="1"/>
      <w:numFmt w:val="decimal"/>
      <w:lvlText w:val="(%1)"/>
      <w:lvlJc w:val="left"/>
      <w:pPr>
        <w:ind w:left="600" w:hanging="360"/>
      </w:pPr>
      <w:rPr>
        <w:rFonts w:hint="default"/>
      </w:rPr>
    </w:lvl>
    <w:lvl w:ilvl="1" w:tplc="30090019" w:tentative="1">
      <w:start w:val="1"/>
      <w:numFmt w:val="lowerLetter"/>
      <w:lvlText w:val="%2."/>
      <w:lvlJc w:val="left"/>
      <w:pPr>
        <w:ind w:left="1320" w:hanging="360"/>
      </w:pPr>
    </w:lvl>
    <w:lvl w:ilvl="2" w:tplc="3009001B" w:tentative="1">
      <w:start w:val="1"/>
      <w:numFmt w:val="lowerRoman"/>
      <w:lvlText w:val="%3."/>
      <w:lvlJc w:val="right"/>
      <w:pPr>
        <w:ind w:left="2040" w:hanging="180"/>
      </w:pPr>
    </w:lvl>
    <w:lvl w:ilvl="3" w:tplc="3009000F" w:tentative="1">
      <w:start w:val="1"/>
      <w:numFmt w:val="decimal"/>
      <w:lvlText w:val="%4."/>
      <w:lvlJc w:val="left"/>
      <w:pPr>
        <w:ind w:left="2760" w:hanging="360"/>
      </w:pPr>
    </w:lvl>
    <w:lvl w:ilvl="4" w:tplc="30090019" w:tentative="1">
      <w:start w:val="1"/>
      <w:numFmt w:val="lowerLetter"/>
      <w:lvlText w:val="%5."/>
      <w:lvlJc w:val="left"/>
      <w:pPr>
        <w:ind w:left="3480" w:hanging="360"/>
      </w:pPr>
    </w:lvl>
    <w:lvl w:ilvl="5" w:tplc="3009001B" w:tentative="1">
      <w:start w:val="1"/>
      <w:numFmt w:val="lowerRoman"/>
      <w:lvlText w:val="%6."/>
      <w:lvlJc w:val="right"/>
      <w:pPr>
        <w:ind w:left="4200" w:hanging="180"/>
      </w:pPr>
    </w:lvl>
    <w:lvl w:ilvl="6" w:tplc="3009000F" w:tentative="1">
      <w:start w:val="1"/>
      <w:numFmt w:val="decimal"/>
      <w:lvlText w:val="%7."/>
      <w:lvlJc w:val="left"/>
      <w:pPr>
        <w:ind w:left="4920" w:hanging="360"/>
      </w:pPr>
    </w:lvl>
    <w:lvl w:ilvl="7" w:tplc="30090019" w:tentative="1">
      <w:start w:val="1"/>
      <w:numFmt w:val="lowerLetter"/>
      <w:lvlText w:val="%8."/>
      <w:lvlJc w:val="left"/>
      <w:pPr>
        <w:ind w:left="5640" w:hanging="360"/>
      </w:pPr>
    </w:lvl>
    <w:lvl w:ilvl="8" w:tplc="3009001B" w:tentative="1">
      <w:start w:val="1"/>
      <w:numFmt w:val="lowerRoman"/>
      <w:lvlText w:val="%9."/>
      <w:lvlJc w:val="right"/>
      <w:pPr>
        <w:ind w:left="6360" w:hanging="180"/>
      </w:pPr>
    </w:lvl>
  </w:abstractNum>
  <w:abstractNum w:abstractNumId="2" w15:restartNumberingAfterBreak="0">
    <w:nsid w:val="0D4C3FDE"/>
    <w:multiLevelType w:val="hybridMultilevel"/>
    <w:tmpl w:val="F0441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26832"/>
    <w:multiLevelType w:val="hybridMultilevel"/>
    <w:tmpl w:val="1A62A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B5B17"/>
    <w:multiLevelType w:val="multilevel"/>
    <w:tmpl w:val="83B67040"/>
    <w:lvl w:ilvl="0">
      <w:start w:val="1"/>
      <w:numFmt w:val="decimal"/>
      <w:lvlText w:val="%1"/>
      <w:lvlJc w:val="left"/>
      <w:pPr>
        <w:ind w:left="585" w:hanging="58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592" w:hanging="2520"/>
      </w:pPr>
      <w:rPr>
        <w:rFonts w:hint="default"/>
      </w:rPr>
    </w:lvl>
  </w:abstractNum>
  <w:abstractNum w:abstractNumId="5" w15:restartNumberingAfterBreak="0">
    <w:nsid w:val="1E9A3C20"/>
    <w:multiLevelType w:val="hybridMultilevel"/>
    <w:tmpl w:val="342ABE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2247A48"/>
    <w:multiLevelType w:val="hybridMultilevel"/>
    <w:tmpl w:val="B890FA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87F4091"/>
    <w:multiLevelType w:val="hybridMultilevel"/>
    <w:tmpl w:val="4D6813C0"/>
    <w:lvl w:ilvl="0" w:tplc="581CC4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6FD1BFC"/>
    <w:multiLevelType w:val="hybridMultilevel"/>
    <w:tmpl w:val="7FE05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F52E6A"/>
    <w:multiLevelType w:val="hybridMultilevel"/>
    <w:tmpl w:val="B5703468"/>
    <w:lvl w:ilvl="0" w:tplc="D94A990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A85060A"/>
    <w:multiLevelType w:val="hybridMultilevel"/>
    <w:tmpl w:val="0124FC74"/>
    <w:lvl w:ilvl="0" w:tplc="A7E8EAEC">
      <w:start w:val="1"/>
      <w:numFmt w:val="lowerLetter"/>
      <w:lvlText w:val="(%1)"/>
      <w:lvlJc w:val="left"/>
      <w:pPr>
        <w:ind w:left="720" w:hanging="360"/>
      </w:pPr>
      <w:rPr>
        <w:rFonts w:ascii="Courier New" w:eastAsiaTheme="minorHAnsi" w:hAnsi="Courier New" w:cs="Courier New"/>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E276D34"/>
    <w:multiLevelType w:val="hybridMultilevel"/>
    <w:tmpl w:val="4E92A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0A1091"/>
    <w:multiLevelType w:val="hybridMultilevel"/>
    <w:tmpl w:val="6F582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9B2F34"/>
    <w:multiLevelType w:val="hybridMultilevel"/>
    <w:tmpl w:val="1A62A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A150DE"/>
    <w:multiLevelType w:val="hybridMultilevel"/>
    <w:tmpl w:val="3ADEE3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544D98"/>
    <w:multiLevelType w:val="hybridMultilevel"/>
    <w:tmpl w:val="ED3A7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4"/>
  </w:num>
  <w:num w:numId="4">
    <w:abstractNumId w:val="8"/>
  </w:num>
  <w:num w:numId="5">
    <w:abstractNumId w:val="11"/>
  </w:num>
  <w:num w:numId="6">
    <w:abstractNumId w:val="12"/>
  </w:num>
  <w:num w:numId="7">
    <w:abstractNumId w:val="13"/>
  </w:num>
  <w:num w:numId="8">
    <w:abstractNumId w:val="15"/>
  </w:num>
  <w:num w:numId="9">
    <w:abstractNumId w:val="0"/>
  </w:num>
  <w:num w:numId="10">
    <w:abstractNumId w:val="3"/>
  </w:num>
  <w:num w:numId="11">
    <w:abstractNumId w:val="9"/>
  </w:num>
  <w:num w:numId="12">
    <w:abstractNumId w:val="1"/>
  </w:num>
  <w:num w:numId="13">
    <w:abstractNumId w:val="7"/>
  </w:num>
  <w:num w:numId="14">
    <w:abstractNumId w:val="4"/>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B4"/>
    <w:rsid w:val="000139C4"/>
    <w:rsid w:val="00014265"/>
    <w:rsid w:val="00022BE0"/>
    <w:rsid w:val="00025A35"/>
    <w:rsid w:val="000273C2"/>
    <w:rsid w:val="000276AB"/>
    <w:rsid w:val="00037310"/>
    <w:rsid w:val="0004145E"/>
    <w:rsid w:val="0004381B"/>
    <w:rsid w:val="00044996"/>
    <w:rsid w:val="00050DEC"/>
    <w:rsid w:val="0007748D"/>
    <w:rsid w:val="00080585"/>
    <w:rsid w:val="00080A9C"/>
    <w:rsid w:val="00084BDB"/>
    <w:rsid w:val="00085142"/>
    <w:rsid w:val="000915D9"/>
    <w:rsid w:val="000A778F"/>
    <w:rsid w:val="000B3607"/>
    <w:rsid w:val="000B382D"/>
    <w:rsid w:val="000B3E86"/>
    <w:rsid w:val="000B3F25"/>
    <w:rsid w:val="000B7316"/>
    <w:rsid w:val="000C04FF"/>
    <w:rsid w:val="000C1C96"/>
    <w:rsid w:val="000D09C1"/>
    <w:rsid w:val="000D13BA"/>
    <w:rsid w:val="000E179A"/>
    <w:rsid w:val="000E2FD5"/>
    <w:rsid w:val="000F416C"/>
    <w:rsid w:val="000F4462"/>
    <w:rsid w:val="000F5F32"/>
    <w:rsid w:val="000F68EF"/>
    <w:rsid w:val="00101598"/>
    <w:rsid w:val="0010630E"/>
    <w:rsid w:val="00107F82"/>
    <w:rsid w:val="00111D48"/>
    <w:rsid w:val="001179EF"/>
    <w:rsid w:val="00120DC6"/>
    <w:rsid w:val="00121C36"/>
    <w:rsid w:val="001241DC"/>
    <w:rsid w:val="001367C0"/>
    <w:rsid w:val="00136847"/>
    <w:rsid w:val="00143477"/>
    <w:rsid w:val="001506F6"/>
    <w:rsid w:val="00151224"/>
    <w:rsid w:val="00153FDE"/>
    <w:rsid w:val="001542D9"/>
    <w:rsid w:val="00157733"/>
    <w:rsid w:val="00166C54"/>
    <w:rsid w:val="00174F34"/>
    <w:rsid w:val="001817F1"/>
    <w:rsid w:val="001831DC"/>
    <w:rsid w:val="00184699"/>
    <w:rsid w:val="00186727"/>
    <w:rsid w:val="001926D0"/>
    <w:rsid w:val="00196A6B"/>
    <w:rsid w:val="0019782B"/>
    <w:rsid w:val="001A34B7"/>
    <w:rsid w:val="001A4FA1"/>
    <w:rsid w:val="001A5C14"/>
    <w:rsid w:val="001A6E2D"/>
    <w:rsid w:val="001B17D6"/>
    <w:rsid w:val="001B2B50"/>
    <w:rsid w:val="001C4152"/>
    <w:rsid w:val="001C59E4"/>
    <w:rsid w:val="001C5C5E"/>
    <w:rsid w:val="001C746B"/>
    <w:rsid w:val="001D3984"/>
    <w:rsid w:val="001E21C5"/>
    <w:rsid w:val="001E2F72"/>
    <w:rsid w:val="001E4667"/>
    <w:rsid w:val="001E55FF"/>
    <w:rsid w:val="001E5701"/>
    <w:rsid w:val="001E64F5"/>
    <w:rsid w:val="001E6622"/>
    <w:rsid w:val="001F0B25"/>
    <w:rsid w:val="001F33A6"/>
    <w:rsid w:val="001F3413"/>
    <w:rsid w:val="001F62A0"/>
    <w:rsid w:val="00202230"/>
    <w:rsid w:val="00205990"/>
    <w:rsid w:val="002078FC"/>
    <w:rsid w:val="00214BEE"/>
    <w:rsid w:val="0021685E"/>
    <w:rsid w:val="00222749"/>
    <w:rsid w:val="00226382"/>
    <w:rsid w:val="002307F7"/>
    <w:rsid w:val="00230E5A"/>
    <w:rsid w:val="00234A19"/>
    <w:rsid w:val="002356B1"/>
    <w:rsid w:val="00235C56"/>
    <w:rsid w:val="00242C16"/>
    <w:rsid w:val="0025115A"/>
    <w:rsid w:val="002537D2"/>
    <w:rsid w:val="00254EFF"/>
    <w:rsid w:val="00255CEA"/>
    <w:rsid w:val="00260CBF"/>
    <w:rsid w:val="00262729"/>
    <w:rsid w:val="00266A44"/>
    <w:rsid w:val="00267539"/>
    <w:rsid w:val="00270140"/>
    <w:rsid w:val="00271495"/>
    <w:rsid w:val="00273065"/>
    <w:rsid w:val="00274835"/>
    <w:rsid w:val="002778D7"/>
    <w:rsid w:val="00277E94"/>
    <w:rsid w:val="002927D7"/>
    <w:rsid w:val="00294676"/>
    <w:rsid w:val="0029579A"/>
    <w:rsid w:val="0029648A"/>
    <w:rsid w:val="002A1C26"/>
    <w:rsid w:val="002A58BA"/>
    <w:rsid w:val="002A63D1"/>
    <w:rsid w:val="002A7253"/>
    <w:rsid w:val="002B2B68"/>
    <w:rsid w:val="002B767F"/>
    <w:rsid w:val="002C15D0"/>
    <w:rsid w:val="002C1693"/>
    <w:rsid w:val="002C1923"/>
    <w:rsid w:val="002C49DF"/>
    <w:rsid w:val="002D5C00"/>
    <w:rsid w:val="002F50DA"/>
    <w:rsid w:val="002F58F0"/>
    <w:rsid w:val="003007D2"/>
    <w:rsid w:val="00301C04"/>
    <w:rsid w:val="00307DDD"/>
    <w:rsid w:val="00310247"/>
    <w:rsid w:val="00320100"/>
    <w:rsid w:val="00320A98"/>
    <w:rsid w:val="0032212E"/>
    <w:rsid w:val="003226BD"/>
    <w:rsid w:val="00326D8B"/>
    <w:rsid w:val="00327D7E"/>
    <w:rsid w:val="00330E31"/>
    <w:rsid w:val="003311D2"/>
    <w:rsid w:val="00331FFA"/>
    <w:rsid w:val="0035578E"/>
    <w:rsid w:val="00355DB6"/>
    <w:rsid w:val="00355DD7"/>
    <w:rsid w:val="0036767F"/>
    <w:rsid w:val="00374239"/>
    <w:rsid w:val="00380D6E"/>
    <w:rsid w:val="00381EA9"/>
    <w:rsid w:val="003845AA"/>
    <w:rsid w:val="003919D2"/>
    <w:rsid w:val="00396484"/>
    <w:rsid w:val="003A762E"/>
    <w:rsid w:val="003B4D31"/>
    <w:rsid w:val="003B6C3F"/>
    <w:rsid w:val="003B7D76"/>
    <w:rsid w:val="003C4B12"/>
    <w:rsid w:val="003C660D"/>
    <w:rsid w:val="003D0E25"/>
    <w:rsid w:val="003D13DD"/>
    <w:rsid w:val="003D4519"/>
    <w:rsid w:val="003D5C64"/>
    <w:rsid w:val="003D5DC5"/>
    <w:rsid w:val="003D6367"/>
    <w:rsid w:val="003E2B9C"/>
    <w:rsid w:val="003E4017"/>
    <w:rsid w:val="003E527B"/>
    <w:rsid w:val="003E61CA"/>
    <w:rsid w:val="003F02A6"/>
    <w:rsid w:val="003F5759"/>
    <w:rsid w:val="003F5876"/>
    <w:rsid w:val="003F5B81"/>
    <w:rsid w:val="003F6476"/>
    <w:rsid w:val="003F6ABE"/>
    <w:rsid w:val="00401EBB"/>
    <w:rsid w:val="004033A3"/>
    <w:rsid w:val="004116C6"/>
    <w:rsid w:val="0041541A"/>
    <w:rsid w:val="0041670D"/>
    <w:rsid w:val="004250A7"/>
    <w:rsid w:val="004301E4"/>
    <w:rsid w:val="004317D5"/>
    <w:rsid w:val="00431B82"/>
    <w:rsid w:val="00434388"/>
    <w:rsid w:val="00436FDE"/>
    <w:rsid w:val="00437C12"/>
    <w:rsid w:val="0045274A"/>
    <w:rsid w:val="00452D40"/>
    <w:rsid w:val="004531BA"/>
    <w:rsid w:val="00454B51"/>
    <w:rsid w:val="004571B1"/>
    <w:rsid w:val="00470F09"/>
    <w:rsid w:val="00472FD8"/>
    <w:rsid w:val="004737D0"/>
    <w:rsid w:val="00475C48"/>
    <w:rsid w:val="00475C60"/>
    <w:rsid w:val="00476693"/>
    <w:rsid w:val="00477A73"/>
    <w:rsid w:val="00480BBA"/>
    <w:rsid w:val="00481850"/>
    <w:rsid w:val="00487FD4"/>
    <w:rsid w:val="00490A46"/>
    <w:rsid w:val="00492950"/>
    <w:rsid w:val="00492F67"/>
    <w:rsid w:val="00494895"/>
    <w:rsid w:val="004953AF"/>
    <w:rsid w:val="004A0FD1"/>
    <w:rsid w:val="004A6580"/>
    <w:rsid w:val="004B1B78"/>
    <w:rsid w:val="004B59AE"/>
    <w:rsid w:val="004C0C82"/>
    <w:rsid w:val="004C2411"/>
    <w:rsid w:val="004D0D4D"/>
    <w:rsid w:val="004D0EA3"/>
    <w:rsid w:val="004D209D"/>
    <w:rsid w:val="004F743B"/>
    <w:rsid w:val="00503726"/>
    <w:rsid w:val="00507D9F"/>
    <w:rsid w:val="00507E13"/>
    <w:rsid w:val="00517EE9"/>
    <w:rsid w:val="00524586"/>
    <w:rsid w:val="00524FE5"/>
    <w:rsid w:val="00531493"/>
    <w:rsid w:val="0053373C"/>
    <w:rsid w:val="00533D10"/>
    <w:rsid w:val="00540232"/>
    <w:rsid w:val="005404F3"/>
    <w:rsid w:val="00543E8E"/>
    <w:rsid w:val="00544960"/>
    <w:rsid w:val="0055387E"/>
    <w:rsid w:val="005576B9"/>
    <w:rsid w:val="00565466"/>
    <w:rsid w:val="005660D2"/>
    <w:rsid w:val="0057293C"/>
    <w:rsid w:val="0057302B"/>
    <w:rsid w:val="00575636"/>
    <w:rsid w:val="005764FF"/>
    <w:rsid w:val="005807EA"/>
    <w:rsid w:val="0058153F"/>
    <w:rsid w:val="00581717"/>
    <w:rsid w:val="00583494"/>
    <w:rsid w:val="005866E7"/>
    <w:rsid w:val="005908A7"/>
    <w:rsid w:val="00594E50"/>
    <w:rsid w:val="00597F8D"/>
    <w:rsid w:val="005A26CD"/>
    <w:rsid w:val="005A3BFE"/>
    <w:rsid w:val="005A3D9E"/>
    <w:rsid w:val="005A615A"/>
    <w:rsid w:val="005B249E"/>
    <w:rsid w:val="005B2EA3"/>
    <w:rsid w:val="005C6A47"/>
    <w:rsid w:val="005C7920"/>
    <w:rsid w:val="005D1AFF"/>
    <w:rsid w:val="005D2031"/>
    <w:rsid w:val="005D5829"/>
    <w:rsid w:val="005D6A6C"/>
    <w:rsid w:val="005E2C1C"/>
    <w:rsid w:val="005E62DC"/>
    <w:rsid w:val="005F3B66"/>
    <w:rsid w:val="005F6BAB"/>
    <w:rsid w:val="006000F2"/>
    <w:rsid w:val="00601E55"/>
    <w:rsid w:val="00603426"/>
    <w:rsid w:val="006064ED"/>
    <w:rsid w:val="00606D8D"/>
    <w:rsid w:val="006124BD"/>
    <w:rsid w:val="0061297F"/>
    <w:rsid w:val="006179EC"/>
    <w:rsid w:val="00621A3E"/>
    <w:rsid w:val="00626A29"/>
    <w:rsid w:val="00636D34"/>
    <w:rsid w:val="006400E5"/>
    <w:rsid w:val="00651D32"/>
    <w:rsid w:val="00652EA3"/>
    <w:rsid w:val="00656BFA"/>
    <w:rsid w:val="00657ACE"/>
    <w:rsid w:val="00661602"/>
    <w:rsid w:val="006664A4"/>
    <w:rsid w:val="00673EA2"/>
    <w:rsid w:val="00675098"/>
    <w:rsid w:val="00677F41"/>
    <w:rsid w:val="006805CC"/>
    <w:rsid w:val="00683E03"/>
    <w:rsid w:val="00684B9E"/>
    <w:rsid w:val="00691F74"/>
    <w:rsid w:val="00692261"/>
    <w:rsid w:val="00692E90"/>
    <w:rsid w:val="006A53F2"/>
    <w:rsid w:val="006A56C4"/>
    <w:rsid w:val="006A713E"/>
    <w:rsid w:val="006B57F0"/>
    <w:rsid w:val="006B5DB0"/>
    <w:rsid w:val="006C028B"/>
    <w:rsid w:val="006C1BB1"/>
    <w:rsid w:val="006C5F84"/>
    <w:rsid w:val="006D1841"/>
    <w:rsid w:val="006D1F0A"/>
    <w:rsid w:val="006D6F65"/>
    <w:rsid w:val="006E3B58"/>
    <w:rsid w:val="006E4AC1"/>
    <w:rsid w:val="006E600F"/>
    <w:rsid w:val="006E6626"/>
    <w:rsid w:val="006F6459"/>
    <w:rsid w:val="007031D8"/>
    <w:rsid w:val="00710A60"/>
    <w:rsid w:val="00710DDE"/>
    <w:rsid w:val="0071225D"/>
    <w:rsid w:val="0071431B"/>
    <w:rsid w:val="00717CFE"/>
    <w:rsid w:val="00722AC1"/>
    <w:rsid w:val="0072498A"/>
    <w:rsid w:val="0073262F"/>
    <w:rsid w:val="00734843"/>
    <w:rsid w:val="0074095D"/>
    <w:rsid w:val="00742CC7"/>
    <w:rsid w:val="00742D5E"/>
    <w:rsid w:val="007436C7"/>
    <w:rsid w:val="007439EC"/>
    <w:rsid w:val="007451A5"/>
    <w:rsid w:val="00747DDD"/>
    <w:rsid w:val="00751F64"/>
    <w:rsid w:val="00754F83"/>
    <w:rsid w:val="00767E3C"/>
    <w:rsid w:val="0077526A"/>
    <w:rsid w:val="007773FB"/>
    <w:rsid w:val="00780D32"/>
    <w:rsid w:val="00783090"/>
    <w:rsid w:val="00795F39"/>
    <w:rsid w:val="00797F8C"/>
    <w:rsid w:val="007A033B"/>
    <w:rsid w:val="007A52D4"/>
    <w:rsid w:val="007A76B8"/>
    <w:rsid w:val="007B04EC"/>
    <w:rsid w:val="007B0E6E"/>
    <w:rsid w:val="007B51D9"/>
    <w:rsid w:val="007C0151"/>
    <w:rsid w:val="007C0878"/>
    <w:rsid w:val="007C135F"/>
    <w:rsid w:val="007C29F8"/>
    <w:rsid w:val="007D0341"/>
    <w:rsid w:val="007D04C8"/>
    <w:rsid w:val="007D0D58"/>
    <w:rsid w:val="007D51BE"/>
    <w:rsid w:val="007D7C3E"/>
    <w:rsid w:val="007E2F91"/>
    <w:rsid w:val="007E3464"/>
    <w:rsid w:val="007E4A29"/>
    <w:rsid w:val="007E64B2"/>
    <w:rsid w:val="007F05FE"/>
    <w:rsid w:val="007F2C27"/>
    <w:rsid w:val="007F6938"/>
    <w:rsid w:val="00802771"/>
    <w:rsid w:val="008063BD"/>
    <w:rsid w:val="00822B09"/>
    <w:rsid w:val="00825D36"/>
    <w:rsid w:val="0083215E"/>
    <w:rsid w:val="00833722"/>
    <w:rsid w:val="00835E60"/>
    <w:rsid w:val="00844484"/>
    <w:rsid w:val="008448AC"/>
    <w:rsid w:val="00845392"/>
    <w:rsid w:val="00846EC8"/>
    <w:rsid w:val="00847184"/>
    <w:rsid w:val="008510F9"/>
    <w:rsid w:val="00852866"/>
    <w:rsid w:val="00856779"/>
    <w:rsid w:val="00863F63"/>
    <w:rsid w:val="00871DC3"/>
    <w:rsid w:val="00873579"/>
    <w:rsid w:val="00877720"/>
    <w:rsid w:val="0088310B"/>
    <w:rsid w:val="008834AD"/>
    <w:rsid w:val="00884683"/>
    <w:rsid w:val="008855E5"/>
    <w:rsid w:val="00892A45"/>
    <w:rsid w:val="00893916"/>
    <w:rsid w:val="008977CE"/>
    <w:rsid w:val="008A18EC"/>
    <w:rsid w:val="008A4A39"/>
    <w:rsid w:val="008A7DD9"/>
    <w:rsid w:val="008B11DD"/>
    <w:rsid w:val="008B1E7D"/>
    <w:rsid w:val="008B338D"/>
    <w:rsid w:val="008B3E31"/>
    <w:rsid w:val="008C3FE8"/>
    <w:rsid w:val="008C77D6"/>
    <w:rsid w:val="008C79E4"/>
    <w:rsid w:val="008D0E5D"/>
    <w:rsid w:val="008D1119"/>
    <w:rsid w:val="008D2671"/>
    <w:rsid w:val="008D485D"/>
    <w:rsid w:val="008D4F53"/>
    <w:rsid w:val="008E038A"/>
    <w:rsid w:val="008E0B7F"/>
    <w:rsid w:val="008E0FEE"/>
    <w:rsid w:val="008E4797"/>
    <w:rsid w:val="008E678E"/>
    <w:rsid w:val="008F5299"/>
    <w:rsid w:val="008F75D7"/>
    <w:rsid w:val="00901DA6"/>
    <w:rsid w:val="0090411E"/>
    <w:rsid w:val="009146F0"/>
    <w:rsid w:val="00916E43"/>
    <w:rsid w:val="0092031B"/>
    <w:rsid w:val="009208D4"/>
    <w:rsid w:val="00922322"/>
    <w:rsid w:val="0092498B"/>
    <w:rsid w:val="00927BFB"/>
    <w:rsid w:val="0093074E"/>
    <w:rsid w:val="00930EF7"/>
    <w:rsid w:val="009313F2"/>
    <w:rsid w:val="00933D57"/>
    <w:rsid w:val="009372C6"/>
    <w:rsid w:val="00941433"/>
    <w:rsid w:val="00942981"/>
    <w:rsid w:val="00945E56"/>
    <w:rsid w:val="00946291"/>
    <w:rsid w:val="009512EB"/>
    <w:rsid w:val="0095316D"/>
    <w:rsid w:val="00954784"/>
    <w:rsid w:val="00962274"/>
    <w:rsid w:val="009644D8"/>
    <w:rsid w:val="009647FA"/>
    <w:rsid w:val="00970E68"/>
    <w:rsid w:val="00973346"/>
    <w:rsid w:val="00973B14"/>
    <w:rsid w:val="00974429"/>
    <w:rsid w:val="0098246C"/>
    <w:rsid w:val="009857EB"/>
    <w:rsid w:val="0098671F"/>
    <w:rsid w:val="00986AB5"/>
    <w:rsid w:val="00987123"/>
    <w:rsid w:val="0099177E"/>
    <w:rsid w:val="009A688B"/>
    <w:rsid w:val="009A77D7"/>
    <w:rsid w:val="009A79F9"/>
    <w:rsid w:val="009B5A02"/>
    <w:rsid w:val="009B5E4D"/>
    <w:rsid w:val="009C0972"/>
    <w:rsid w:val="009C3198"/>
    <w:rsid w:val="009D109B"/>
    <w:rsid w:val="009D13AC"/>
    <w:rsid w:val="009D1B87"/>
    <w:rsid w:val="009E0AD1"/>
    <w:rsid w:val="009E151E"/>
    <w:rsid w:val="009E7998"/>
    <w:rsid w:val="009F4089"/>
    <w:rsid w:val="009F5790"/>
    <w:rsid w:val="009F7058"/>
    <w:rsid w:val="00A009CD"/>
    <w:rsid w:val="00A0121C"/>
    <w:rsid w:val="00A017B4"/>
    <w:rsid w:val="00A12946"/>
    <w:rsid w:val="00A12BBC"/>
    <w:rsid w:val="00A1436A"/>
    <w:rsid w:val="00A2182F"/>
    <w:rsid w:val="00A21C90"/>
    <w:rsid w:val="00A23C7C"/>
    <w:rsid w:val="00A2427B"/>
    <w:rsid w:val="00A27781"/>
    <w:rsid w:val="00A30F8F"/>
    <w:rsid w:val="00A35034"/>
    <w:rsid w:val="00A37DAF"/>
    <w:rsid w:val="00A4632C"/>
    <w:rsid w:val="00A47A9B"/>
    <w:rsid w:val="00A47FD6"/>
    <w:rsid w:val="00A5175E"/>
    <w:rsid w:val="00A57AAC"/>
    <w:rsid w:val="00A62D0B"/>
    <w:rsid w:val="00A66132"/>
    <w:rsid w:val="00A72BE3"/>
    <w:rsid w:val="00A779BB"/>
    <w:rsid w:val="00A81913"/>
    <w:rsid w:val="00A82B52"/>
    <w:rsid w:val="00A85D51"/>
    <w:rsid w:val="00A8743C"/>
    <w:rsid w:val="00A90558"/>
    <w:rsid w:val="00A91B52"/>
    <w:rsid w:val="00A91C80"/>
    <w:rsid w:val="00A97B1B"/>
    <w:rsid w:val="00AA4C0F"/>
    <w:rsid w:val="00AB1362"/>
    <w:rsid w:val="00AB25FC"/>
    <w:rsid w:val="00AB463F"/>
    <w:rsid w:val="00AB5C4F"/>
    <w:rsid w:val="00AB66AC"/>
    <w:rsid w:val="00AC13D6"/>
    <w:rsid w:val="00AC469F"/>
    <w:rsid w:val="00AD3149"/>
    <w:rsid w:val="00AE38AB"/>
    <w:rsid w:val="00AE4C67"/>
    <w:rsid w:val="00AE72D2"/>
    <w:rsid w:val="00AF0378"/>
    <w:rsid w:val="00AF3443"/>
    <w:rsid w:val="00AF3AB5"/>
    <w:rsid w:val="00B02B19"/>
    <w:rsid w:val="00B10C49"/>
    <w:rsid w:val="00B1182D"/>
    <w:rsid w:val="00B123B7"/>
    <w:rsid w:val="00B1310B"/>
    <w:rsid w:val="00B176C6"/>
    <w:rsid w:val="00B20540"/>
    <w:rsid w:val="00B26877"/>
    <w:rsid w:val="00B27E10"/>
    <w:rsid w:val="00B27EF7"/>
    <w:rsid w:val="00B32D51"/>
    <w:rsid w:val="00B45072"/>
    <w:rsid w:val="00B51D2B"/>
    <w:rsid w:val="00B64A70"/>
    <w:rsid w:val="00B77724"/>
    <w:rsid w:val="00B8007F"/>
    <w:rsid w:val="00B80332"/>
    <w:rsid w:val="00B83492"/>
    <w:rsid w:val="00B840EB"/>
    <w:rsid w:val="00B9422D"/>
    <w:rsid w:val="00B95527"/>
    <w:rsid w:val="00BA0B89"/>
    <w:rsid w:val="00BA5130"/>
    <w:rsid w:val="00BA758C"/>
    <w:rsid w:val="00BB4402"/>
    <w:rsid w:val="00BB5D9B"/>
    <w:rsid w:val="00BC42A1"/>
    <w:rsid w:val="00BC4735"/>
    <w:rsid w:val="00BD0FEF"/>
    <w:rsid w:val="00BD15B4"/>
    <w:rsid w:val="00BD39CC"/>
    <w:rsid w:val="00BD3BA7"/>
    <w:rsid w:val="00BD4D13"/>
    <w:rsid w:val="00BD5CC4"/>
    <w:rsid w:val="00BE2803"/>
    <w:rsid w:val="00BE79C4"/>
    <w:rsid w:val="00BF2BA6"/>
    <w:rsid w:val="00BF3114"/>
    <w:rsid w:val="00BF3DCF"/>
    <w:rsid w:val="00BF5F3F"/>
    <w:rsid w:val="00BF70CC"/>
    <w:rsid w:val="00C00991"/>
    <w:rsid w:val="00C05A46"/>
    <w:rsid w:val="00C0642F"/>
    <w:rsid w:val="00C1425E"/>
    <w:rsid w:val="00C22D45"/>
    <w:rsid w:val="00C27452"/>
    <w:rsid w:val="00C302E5"/>
    <w:rsid w:val="00C315FA"/>
    <w:rsid w:val="00C34064"/>
    <w:rsid w:val="00C36CB5"/>
    <w:rsid w:val="00C4056F"/>
    <w:rsid w:val="00C40EC3"/>
    <w:rsid w:val="00C41CF7"/>
    <w:rsid w:val="00C42998"/>
    <w:rsid w:val="00C42E2A"/>
    <w:rsid w:val="00C511CD"/>
    <w:rsid w:val="00C602C8"/>
    <w:rsid w:val="00C6156A"/>
    <w:rsid w:val="00C627CF"/>
    <w:rsid w:val="00C63AC9"/>
    <w:rsid w:val="00C63E48"/>
    <w:rsid w:val="00C70EC3"/>
    <w:rsid w:val="00C7337D"/>
    <w:rsid w:val="00C754B0"/>
    <w:rsid w:val="00C76F60"/>
    <w:rsid w:val="00C92711"/>
    <w:rsid w:val="00C973C0"/>
    <w:rsid w:val="00CA04D3"/>
    <w:rsid w:val="00CA363F"/>
    <w:rsid w:val="00CA4423"/>
    <w:rsid w:val="00CA6A9C"/>
    <w:rsid w:val="00CC4A8D"/>
    <w:rsid w:val="00CD09E7"/>
    <w:rsid w:val="00CD2A41"/>
    <w:rsid w:val="00CD7E61"/>
    <w:rsid w:val="00CE0983"/>
    <w:rsid w:val="00CE22B5"/>
    <w:rsid w:val="00CE546C"/>
    <w:rsid w:val="00CE6ED2"/>
    <w:rsid w:val="00CE7E9A"/>
    <w:rsid w:val="00D031D7"/>
    <w:rsid w:val="00D03455"/>
    <w:rsid w:val="00D05608"/>
    <w:rsid w:val="00D0608D"/>
    <w:rsid w:val="00D075A2"/>
    <w:rsid w:val="00D10302"/>
    <w:rsid w:val="00D11E13"/>
    <w:rsid w:val="00D140C2"/>
    <w:rsid w:val="00D164E9"/>
    <w:rsid w:val="00D16914"/>
    <w:rsid w:val="00D178EA"/>
    <w:rsid w:val="00D24D60"/>
    <w:rsid w:val="00D2548E"/>
    <w:rsid w:val="00D30314"/>
    <w:rsid w:val="00D3359F"/>
    <w:rsid w:val="00D336D5"/>
    <w:rsid w:val="00D350C6"/>
    <w:rsid w:val="00D43EAF"/>
    <w:rsid w:val="00D450F4"/>
    <w:rsid w:val="00D45CB1"/>
    <w:rsid w:val="00D52B29"/>
    <w:rsid w:val="00D56EC0"/>
    <w:rsid w:val="00D602F9"/>
    <w:rsid w:val="00D607D8"/>
    <w:rsid w:val="00D7194B"/>
    <w:rsid w:val="00D763F4"/>
    <w:rsid w:val="00D76405"/>
    <w:rsid w:val="00D82031"/>
    <w:rsid w:val="00D8300C"/>
    <w:rsid w:val="00D83811"/>
    <w:rsid w:val="00D85051"/>
    <w:rsid w:val="00D85A6F"/>
    <w:rsid w:val="00D91D6B"/>
    <w:rsid w:val="00D922E4"/>
    <w:rsid w:val="00DA10BF"/>
    <w:rsid w:val="00DA1201"/>
    <w:rsid w:val="00DA1ABB"/>
    <w:rsid w:val="00DA261B"/>
    <w:rsid w:val="00DA3160"/>
    <w:rsid w:val="00DA36EA"/>
    <w:rsid w:val="00DB190B"/>
    <w:rsid w:val="00DB30DD"/>
    <w:rsid w:val="00DB43A4"/>
    <w:rsid w:val="00DC0D86"/>
    <w:rsid w:val="00DD3C3D"/>
    <w:rsid w:val="00DD4ECA"/>
    <w:rsid w:val="00DD6100"/>
    <w:rsid w:val="00DD7E76"/>
    <w:rsid w:val="00DE0EC5"/>
    <w:rsid w:val="00DF0FEA"/>
    <w:rsid w:val="00DF297A"/>
    <w:rsid w:val="00DF3C44"/>
    <w:rsid w:val="00DF7ACA"/>
    <w:rsid w:val="00E00EA8"/>
    <w:rsid w:val="00E02A57"/>
    <w:rsid w:val="00E0563F"/>
    <w:rsid w:val="00E11DCE"/>
    <w:rsid w:val="00E1307B"/>
    <w:rsid w:val="00E16951"/>
    <w:rsid w:val="00E17502"/>
    <w:rsid w:val="00E224ED"/>
    <w:rsid w:val="00E266EE"/>
    <w:rsid w:val="00E27811"/>
    <w:rsid w:val="00E32FEA"/>
    <w:rsid w:val="00E3390F"/>
    <w:rsid w:val="00E3612A"/>
    <w:rsid w:val="00E402B7"/>
    <w:rsid w:val="00E407BC"/>
    <w:rsid w:val="00E420C2"/>
    <w:rsid w:val="00E432F6"/>
    <w:rsid w:val="00E51F6D"/>
    <w:rsid w:val="00E52196"/>
    <w:rsid w:val="00E54425"/>
    <w:rsid w:val="00E55166"/>
    <w:rsid w:val="00E563E0"/>
    <w:rsid w:val="00E56A27"/>
    <w:rsid w:val="00E60CB7"/>
    <w:rsid w:val="00E64F8C"/>
    <w:rsid w:val="00E650BD"/>
    <w:rsid w:val="00E66DF3"/>
    <w:rsid w:val="00E765BC"/>
    <w:rsid w:val="00E810E2"/>
    <w:rsid w:val="00E851A4"/>
    <w:rsid w:val="00E85F21"/>
    <w:rsid w:val="00E90703"/>
    <w:rsid w:val="00E91B7A"/>
    <w:rsid w:val="00E95306"/>
    <w:rsid w:val="00E95D47"/>
    <w:rsid w:val="00E96790"/>
    <w:rsid w:val="00E96F76"/>
    <w:rsid w:val="00EA0160"/>
    <w:rsid w:val="00EA42A3"/>
    <w:rsid w:val="00EA7B98"/>
    <w:rsid w:val="00EB23D0"/>
    <w:rsid w:val="00EB5E7B"/>
    <w:rsid w:val="00EB6E6E"/>
    <w:rsid w:val="00EB7288"/>
    <w:rsid w:val="00EB7A74"/>
    <w:rsid w:val="00EC2E5E"/>
    <w:rsid w:val="00EC3099"/>
    <w:rsid w:val="00EC5C0B"/>
    <w:rsid w:val="00ED0D1B"/>
    <w:rsid w:val="00ED1726"/>
    <w:rsid w:val="00EE334F"/>
    <w:rsid w:val="00EF299E"/>
    <w:rsid w:val="00F017DF"/>
    <w:rsid w:val="00F02339"/>
    <w:rsid w:val="00F03C03"/>
    <w:rsid w:val="00F04457"/>
    <w:rsid w:val="00F1278B"/>
    <w:rsid w:val="00F21022"/>
    <w:rsid w:val="00F23414"/>
    <w:rsid w:val="00F274C2"/>
    <w:rsid w:val="00F3564B"/>
    <w:rsid w:val="00F37344"/>
    <w:rsid w:val="00F457F6"/>
    <w:rsid w:val="00F474E5"/>
    <w:rsid w:val="00F52A3A"/>
    <w:rsid w:val="00F532F4"/>
    <w:rsid w:val="00F54B21"/>
    <w:rsid w:val="00F54C9F"/>
    <w:rsid w:val="00F62459"/>
    <w:rsid w:val="00F720F1"/>
    <w:rsid w:val="00F74410"/>
    <w:rsid w:val="00F75369"/>
    <w:rsid w:val="00F76929"/>
    <w:rsid w:val="00F80B86"/>
    <w:rsid w:val="00F83F11"/>
    <w:rsid w:val="00F864FC"/>
    <w:rsid w:val="00F93631"/>
    <w:rsid w:val="00F95EE0"/>
    <w:rsid w:val="00FA275C"/>
    <w:rsid w:val="00FA2AF6"/>
    <w:rsid w:val="00FA5B62"/>
    <w:rsid w:val="00FA6331"/>
    <w:rsid w:val="00FB3EB4"/>
    <w:rsid w:val="00FB506F"/>
    <w:rsid w:val="00FC0DA6"/>
    <w:rsid w:val="00FC2D53"/>
    <w:rsid w:val="00FC633C"/>
    <w:rsid w:val="00FC6716"/>
    <w:rsid w:val="00FD19FD"/>
    <w:rsid w:val="00FD3294"/>
    <w:rsid w:val="00FD4CB8"/>
    <w:rsid w:val="00FD56A3"/>
    <w:rsid w:val="00FE43EB"/>
    <w:rsid w:val="00FE46BF"/>
    <w:rsid w:val="00FE6A29"/>
    <w:rsid w:val="00FE6DBF"/>
    <w:rsid w:val="00FF0285"/>
    <w:rsid w:val="00FF6292"/>
    <w:rsid w:val="00FF65E5"/>
    <w:rsid w:val="00FF7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3385AE-156D-43A3-908E-CA116F2A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5B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5B4"/>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D15B4"/>
  </w:style>
  <w:style w:type="paragraph" w:styleId="Footer">
    <w:name w:val="footer"/>
    <w:basedOn w:val="Normal"/>
    <w:link w:val="FooterChar"/>
    <w:uiPriority w:val="99"/>
    <w:unhideWhenUsed/>
    <w:rsid w:val="00BD15B4"/>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D15B4"/>
  </w:style>
  <w:style w:type="paragraph" w:styleId="ListParagraph">
    <w:name w:val="List Paragraph"/>
    <w:basedOn w:val="Normal"/>
    <w:uiPriority w:val="34"/>
    <w:qFormat/>
    <w:rsid w:val="00022BE0"/>
    <w:pPr>
      <w:ind w:left="720"/>
      <w:contextualSpacing/>
    </w:pPr>
  </w:style>
  <w:style w:type="character" w:customStyle="1" w:styleId="fontstyle01">
    <w:name w:val="fontstyle01"/>
    <w:basedOn w:val="DefaultParagraphFont"/>
    <w:rsid w:val="00B20540"/>
    <w:rPr>
      <w:rFonts w:ascii="Arial" w:hAnsi="Arial" w:cs="Arial" w:hint="default"/>
      <w:b/>
      <w:bCs/>
      <w:i w:val="0"/>
      <w:iCs w:val="0"/>
      <w:color w:val="000000"/>
      <w:sz w:val="22"/>
      <w:szCs w:val="22"/>
    </w:rPr>
  </w:style>
  <w:style w:type="character" w:customStyle="1" w:styleId="fontstyle21">
    <w:name w:val="fontstyle21"/>
    <w:basedOn w:val="DefaultParagraphFont"/>
    <w:rsid w:val="00B20540"/>
    <w:rPr>
      <w:rFonts w:ascii="Times-Roman" w:hAnsi="Times-Roman" w:hint="default"/>
      <w:b w:val="0"/>
      <w:bCs w:val="0"/>
      <w:i w:val="0"/>
      <w:iCs w:val="0"/>
      <w:color w:val="000000"/>
      <w:sz w:val="22"/>
      <w:szCs w:val="22"/>
    </w:rPr>
  </w:style>
  <w:style w:type="character" w:customStyle="1" w:styleId="fontstyle31">
    <w:name w:val="fontstyle31"/>
    <w:basedOn w:val="DefaultParagraphFont"/>
    <w:rsid w:val="00B20540"/>
    <w:rPr>
      <w:rFonts w:ascii="TimesNewRoman" w:hAnsi="TimesNewRoman" w:hint="default"/>
      <w:b w:val="0"/>
      <w:bCs w:val="0"/>
      <w:i w:val="0"/>
      <w:iCs w:val="0"/>
      <w:color w:val="000000"/>
      <w:sz w:val="22"/>
      <w:szCs w:val="22"/>
    </w:rPr>
  </w:style>
  <w:style w:type="character" w:customStyle="1" w:styleId="fontstyle41">
    <w:name w:val="fontstyle41"/>
    <w:basedOn w:val="DefaultParagraphFont"/>
    <w:rsid w:val="00B20540"/>
    <w:rPr>
      <w:rFonts w:ascii="Times-Italic" w:hAnsi="Times-Italic" w:hint="default"/>
      <w:b w:val="0"/>
      <w:bCs w:val="0"/>
      <w:i/>
      <w:iCs/>
      <w:color w:val="000000"/>
      <w:sz w:val="22"/>
      <w:szCs w:val="22"/>
    </w:rPr>
  </w:style>
  <w:style w:type="character" w:customStyle="1" w:styleId="fontstyle11">
    <w:name w:val="fontstyle11"/>
    <w:basedOn w:val="DefaultParagraphFont"/>
    <w:rsid w:val="00B20540"/>
    <w:rPr>
      <w:rFonts w:ascii="Times-Roman" w:hAnsi="Times-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BD3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BA7"/>
    <w:rPr>
      <w:rFonts w:ascii="Segoe UI" w:hAnsi="Segoe UI" w:cs="Segoe UI"/>
      <w:sz w:val="18"/>
      <w:szCs w:val="18"/>
      <w:lang w:val="en-US"/>
    </w:rPr>
  </w:style>
  <w:style w:type="paragraph" w:styleId="EndnoteText">
    <w:name w:val="endnote text"/>
    <w:basedOn w:val="Normal"/>
    <w:link w:val="EndnoteTextChar"/>
    <w:uiPriority w:val="99"/>
    <w:unhideWhenUsed/>
    <w:rsid w:val="00652EA3"/>
    <w:pPr>
      <w:spacing w:after="0" w:line="240" w:lineRule="auto"/>
    </w:pPr>
    <w:rPr>
      <w:sz w:val="20"/>
      <w:szCs w:val="20"/>
    </w:rPr>
  </w:style>
  <w:style w:type="character" w:customStyle="1" w:styleId="EndnoteTextChar">
    <w:name w:val="Endnote Text Char"/>
    <w:basedOn w:val="DefaultParagraphFont"/>
    <w:link w:val="EndnoteText"/>
    <w:uiPriority w:val="99"/>
    <w:rsid w:val="00652EA3"/>
    <w:rPr>
      <w:sz w:val="20"/>
      <w:szCs w:val="20"/>
      <w:lang w:val="en-US"/>
    </w:rPr>
  </w:style>
  <w:style w:type="character" w:styleId="EndnoteReference">
    <w:name w:val="endnote reference"/>
    <w:basedOn w:val="DefaultParagraphFont"/>
    <w:uiPriority w:val="99"/>
    <w:semiHidden/>
    <w:unhideWhenUsed/>
    <w:rsid w:val="00652EA3"/>
    <w:rPr>
      <w:vertAlign w:val="superscript"/>
    </w:rPr>
  </w:style>
  <w:style w:type="paragraph" w:styleId="FootnoteText">
    <w:name w:val="footnote text"/>
    <w:basedOn w:val="Normal"/>
    <w:link w:val="FootnoteTextChar"/>
    <w:uiPriority w:val="99"/>
    <w:semiHidden/>
    <w:unhideWhenUsed/>
    <w:rsid w:val="00DB3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0DD"/>
    <w:rPr>
      <w:sz w:val="20"/>
      <w:szCs w:val="20"/>
      <w:lang w:val="en-US"/>
    </w:rPr>
  </w:style>
  <w:style w:type="character" w:styleId="FootnoteReference">
    <w:name w:val="footnote reference"/>
    <w:basedOn w:val="DefaultParagraphFont"/>
    <w:uiPriority w:val="99"/>
    <w:semiHidden/>
    <w:unhideWhenUsed/>
    <w:rsid w:val="00DB3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26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0ABA-FD55-4458-996D-5AF69EF0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Sthe</dc:creator>
  <cp:lastModifiedBy>USR</cp:lastModifiedBy>
  <cp:revision>2</cp:revision>
  <cp:lastPrinted>2019-02-27T08:22:00Z</cp:lastPrinted>
  <dcterms:created xsi:type="dcterms:W3CDTF">2020-05-11T07:05:00Z</dcterms:created>
  <dcterms:modified xsi:type="dcterms:W3CDTF">2020-05-11T07:05:00Z</dcterms:modified>
</cp:coreProperties>
</file>