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00" w:rsidRDefault="00D54100" w:rsidP="00D54100">
      <w:pPr>
        <w:spacing w:after="0"/>
        <w:rPr>
          <w:rFonts w:ascii="Tahoma" w:hAnsi="Tahoma" w:cs="Tahoma"/>
          <w:b/>
          <w:sz w:val="24"/>
          <w:szCs w:val="24"/>
        </w:rPr>
      </w:pPr>
      <w:r>
        <w:rPr>
          <w:rFonts w:ascii="Tahoma" w:hAnsi="Tahoma" w:cs="Tahoma"/>
          <w:b/>
          <w:sz w:val="24"/>
          <w:szCs w:val="24"/>
        </w:rPr>
        <w:t>IN THE LABOUR COURT OF ZIMBAB</w:t>
      </w:r>
      <w:r w:rsidR="00613972">
        <w:rPr>
          <w:rFonts w:ascii="Tahoma" w:hAnsi="Tahoma" w:cs="Tahoma"/>
          <w:b/>
          <w:sz w:val="24"/>
          <w:szCs w:val="24"/>
        </w:rPr>
        <w:t>WE      JUDGMENT NO.LC/H/</w:t>
      </w:r>
      <w:r w:rsidR="006A0F60">
        <w:rPr>
          <w:rFonts w:ascii="Tahoma" w:hAnsi="Tahoma" w:cs="Tahoma"/>
          <w:b/>
          <w:sz w:val="24"/>
          <w:szCs w:val="24"/>
        </w:rPr>
        <w:t>170</w:t>
      </w:r>
      <w:r w:rsidR="007B10CA">
        <w:rPr>
          <w:rFonts w:ascii="Tahoma" w:hAnsi="Tahoma" w:cs="Tahoma"/>
          <w:b/>
          <w:sz w:val="24"/>
          <w:szCs w:val="24"/>
        </w:rPr>
        <w:t>/2020</w:t>
      </w:r>
    </w:p>
    <w:p w:rsidR="00D54100" w:rsidRDefault="00613972" w:rsidP="00D54100">
      <w:pPr>
        <w:spacing w:after="0"/>
        <w:jc w:val="both"/>
        <w:rPr>
          <w:rFonts w:ascii="Tahoma" w:hAnsi="Tahoma" w:cs="Tahoma"/>
          <w:b/>
          <w:sz w:val="24"/>
          <w:szCs w:val="24"/>
        </w:rPr>
      </w:pPr>
      <w:r>
        <w:rPr>
          <w:rFonts w:ascii="Tahoma" w:hAnsi="Tahoma" w:cs="Tahoma"/>
          <w:b/>
          <w:sz w:val="24"/>
          <w:szCs w:val="24"/>
        </w:rPr>
        <w:t>HARARE, 29</w:t>
      </w:r>
      <w:r w:rsidR="003D761F">
        <w:rPr>
          <w:rFonts w:ascii="Tahoma" w:hAnsi="Tahoma" w:cs="Tahoma"/>
          <w:b/>
          <w:sz w:val="24"/>
          <w:szCs w:val="24"/>
        </w:rPr>
        <w:t xml:space="preserve"> </w:t>
      </w:r>
      <w:r>
        <w:rPr>
          <w:rFonts w:ascii="Tahoma" w:hAnsi="Tahoma" w:cs="Tahoma"/>
          <w:b/>
          <w:sz w:val="24"/>
          <w:szCs w:val="24"/>
        </w:rPr>
        <w:t>JULY</w:t>
      </w:r>
      <w:r w:rsidR="0083088D">
        <w:rPr>
          <w:rFonts w:ascii="Tahoma" w:hAnsi="Tahoma" w:cs="Tahoma"/>
          <w:b/>
          <w:sz w:val="24"/>
          <w:szCs w:val="24"/>
        </w:rPr>
        <w:t xml:space="preserve"> 2020 </w:t>
      </w:r>
      <w:r w:rsidR="0083088D">
        <w:rPr>
          <w:rFonts w:ascii="Tahoma" w:hAnsi="Tahoma" w:cs="Tahoma"/>
          <w:b/>
          <w:sz w:val="24"/>
          <w:szCs w:val="24"/>
        </w:rPr>
        <w:tab/>
      </w:r>
      <w:r w:rsidR="0083088D">
        <w:rPr>
          <w:rFonts w:ascii="Tahoma" w:hAnsi="Tahoma" w:cs="Tahoma"/>
          <w:b/>
          <w:sz w:val="24"/>
          <w:szCs w:val="24"/>
        </w:rPr>
        <w:tab/>
      </w:r>
      <w:r w:rsidR="0083088D">
        <w:rPr>
          <w:rFonts w:ascii="Tahoma" w:hAnsi="Tahoma" w:cs="Tahoma"/>
          <w:b/>
          <w:sz w:val="24"/>
          <w:szCs w:val="24"/>
        </w:rPr>
        <w:tab/>
      </w:r>
      <w:r>
        <w:rPr>
          <w:rFonts w:ascii="Tahoma" w:hAnsi="Tahoma" w:cs="Tahoma"/>
          <w:b/>
          <w:sz w:val="24"/>
          <w:szCs w:val="24"/>
        </w:rPr>
        <w:t xml:space="preserve">         </w:t>
      </w:r>
      <w:r w:rsidR="007B10CA">
        <w:rPr>
          <w:rFonts w:ascii="Tahoma" w:hAnsi="Tahoma" w:cs="Tahoma"/>
          <w:b/>
          <w:sz w:val="24"/>
          <w:szCs w:val="24"/>
        </w:rPr>
        <w:t xml:space="preserve"> </w:t>
      </w:r>
      <w:r w:rsidR="00774A26">
        <w:rPr>
          <w:rFonts w:ascii="Tahoma" w:hAnsi="Tahoma" w:cs="Tahoma"/>
          <w:b/>
          <w:sz w:val="24"/>
          <w:szCs w:val="24"/>
        </w:rPr>
        <w:t xml:space="preserve"> </w:t>
      </w:r>
      <w:r w:rsidR="0083088D">
        <w:rPr>
          <w:rFonts w:ascii="Tahoma" w:hAnsi="Tahoma" w:cs="Tahoma"/>
          <w:b/>
          <w:sz w:val="24"/>
          <w:szCs w:val="24"/>
        </w:rPr>
        <w:t>CASE</w:t>
      </w:r>
      <w:r w:rsidR="00774A26">
        <w:rPr>
          <w:rFonts w:ascii="Tahoma" w:hAnsi="Tahoma" w:cs="Tahoma"/>
          <w:b/>
          <w:sz w:val="24"/>
          <w:szCs w:val="24"/>
        </w:rPr>
        <w:t xml:space="preserve"> </w:t>
      </w:r>
      <w:r>
        <w:rPr>
          <w:rFonts w:ascii="Tahoma" w:hAnsi="Tahoma" w:cs="Tahoma"/>
          <w:b/>
          <w:sz w:val="24"/>
          <w:szCs w:val="24"/>
        </w:rPr>
        <w:t>NO.LC/H/188</w:t>
      </w:r>
      <w:r w:rsidR="00D54100">
        <w:rPr>
          <w:rFonts w:ascii="Tahoma" w:hAnsi="Tahoma" w:cs="Tahoma"/>
          <w:b/>
          <w:sz w:val="24"/>
          <w:szCs w:val="24"/>
        </w:rPr>
        <w:t>/19</w:t>
      </w:r>
      <w:r w:rsidR="00D54100">
        <w:rPr>
          <w:rFonts w:ascii="Tahoma" w:hAnsi="Tahoma" w:cs="Tahoma"/>
          <w:b/>
          <w:sz w:val="24"/>
          <w:szCs w:val="24"/>
        </w:rPr>
        <w:tab/>
      </w:r>
    </w:p>
    <w:p w:rsidR="00D54100" w:rsidRDefault="00613972" w:rsidP="00D54100">
      <w:pPr>
        <w:spacing w:after="0"/>
        <w:jc w:val="both"/>
        <w:rPr>
          <w:rFonts w:ascii="Tahoma" w:hAnsi="Tahoma" w:cs="Tahoma"/>
          <w:b/>
          <w:sz w:val="24"/>
          <w:szCs w:val="24"/>
        </w:rPr>
      </w:pPr>
      <w:r>
        <w:rPr>
          <w:rFonts w:ascii="Tahoma" w:hAnsi="Tahoma" w:cs="Tahoma"/>
          <w:b/>
          <w:sz w:val="24"/>
          <w:szCs w:val="24"/>
        </w:rPr>
        <w:t xml:space="preserve">AND </w:t>
      </w:r>
      <w:r w:rsidR="001C19EA">
        <w:rPr>
          <w:rFonts w:ascii="Tahoma" w:hAnsi="Tahoma" w:cs="Tahoma"/>
          <w:b/>
          <w:sz w:val="24"/>
          <w:szCs w:val="24"/>
        </w:rPr>
        <w:t>31 JULY</w:t>
      </w:r>
      <w:r w:rsidR="007B10CA">
        <w:rPr>
          <w:rFonts w:ascii="Tahoma" w:hAnsi="Tahoma" w:cs="Tahoma"/>
          <w:b/>
          <w:sz w:val="24"/>
          <w:szCs w:val="24"/>
        </w:rPr>
        <w:t xml:space="preserve"> </w:t>
      </w:r>
      <w:r w:rsidR="00D54100">
        <w:rPr>
          <w:rFonts w:ascii="Tahoma" w:hAnsi="Tahoma" w:cs="Tahoma"/>
          <w:b/>
          <w:sz w:val="24"/>
          <w:szCs w:val="24"/>
        </w:rPr>
        <w:t>2020</w:t>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t xml:space="preserve">  </w:t>
      </w:r>
    </w:p>
    <w:p w:rsidR="00D54100" w:rsidRDefault="00D54100" w:rsidP="00D54100">
      <w:pPr>
        <w:spacing w:after="0"/>
        <w:jc w:val="both"/>
        <w:rPr>
          <w:rFonts w:ascii="Tahoma" w:hAnsi="Tahoma" w:cs="Tahoma"/>
          <w:b/>
          <w:sz w:val="24"/>
          <w:szCs w:val="24"/>
        </w:rPr>
      </w:pPr>
    </w:p>
    <w:p w:rsidR="00D54100" w:rsidRDefault="00D54100" w:rsidP="00D54100">
      <w:pPr>
        <w:spacing w:after="0"/>
        <w:jc w:val="both"/>
        <w:rPr>
          <w:rFonts w:ascii="Tahoma" w:hAnsi="Tahoma" w:cs="Tahoma"/>
          <w:b/>
          <w:sz w:val="24"/>
          <w:szCs w:val="24"/>
        </w:rPr>
      </w:pPr>
    </w:p>
    <w:p w:rsidR="00D54100" w:rsidRPr="00D54100" w:rsidRDefault="00D54100" w:rsidP="00D54100">
      <w:pPr>
        <w:spacing w:after="0"/>
        <w:jc w:val="both"/>
        <w:rPr>
          <w:rFonts w:ascii="Tahoma" w:hAnsi="Tahoma" w:cs="Tahoma"/>
          <w:b/>
          <w:sz w:val="24"/>
          <w:szCs w:val="24"/>
        </w:rPr>
      </w:pPr>
      <w:r>
        <w:rPr>
          <w:rFonts w:ascii="Tahoma" w:hAnsi="Tahoma" w:cs="Tahoma"/>
          <w:sz w:val="24"/>
          <w:szCs w:val="24"/>
        </w:rPr>
        <w:t>In the matter between:-</w:t>
      </w:r>
    </w:p>
    <w:p w:rsidR="00D54100" w:rsidRDefault="00D54100" w:rsidP="00D54100">
      <w:pPr>
        <w:jc w:val="both"/>
        <w:rPr>
          <w:rFonts w:ascii="Tahoma" w:hAnsi="Tahoma" w:cs="Tahoma"/>
          <w:sz w:val="24"/>
          <w:szCs w:val="24"/>
        </w:rPr>
      </w:pPr>
    </w:p>
    <w:p w:rsidR="00D54100" w:rsidRDefault="00613972" w:rsidP="00613972">
      <w:pPr>
        <w:jc w:val="both"/>
        <w:rPr>
          <w:rFonts w:ascii="Tahoma" w:hAnsi="Tahoma" w:cs="Tahoma"/>
          <w:sz w:val="24"/>
          <w:szCs w:val="24"/>
        </w:rPr>
      </w:pPr>
      <w:r>
        <w:rPr>
          <w:rFonts w:ascii="Tahoma" w:hAnsi="Tahoma" w:cs="Tahoma"/>
          <w:b/>
          <w:sz w:val="24"/>
          <w:szCs w:val="24"/>
        </w:rPr>
        <w:t>REGIMENT MURIRA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613972">
        <w:rPr>
          <w:rFonts w:ascii="Tahoma" w:hAnsi="Tahoma" w:cs="Tahoma"/>
          <w:b/>
          <w:sz w:val="24"/>
          <w:szCs w:val="24"/>
          <w:vertAlign w:val="superscript"/>
        </w:rPr>
        <w:t>ST</w:t>
      </w:r>
      <w:r>
        <w:rPr>
          <w:rFonts w:ascii="Tahoma" w:hAnsi="Tahoma" w:cs="Tahoma"/>
          <w:b/>
          <w:sz w:val="24"/>
          <w:szCs w:val="24"/>
        </w:rPr>
        <w:t xml:space="preserve"> APPELLANT</w:t>
      </w:r>
      <w:r w:rsidR="00D54100">
        <w:rPr>
          <w:rFonts w:ascii="Tahoma" w:hAnsi="Tahoma" w:cs="Tahoma"/>
          <w:sz w:val="24"/>
          <w:szCs w:val="24"/>
        </w:rPr>
        <w:tab/>
      </w:r>
    </w:p>
    <w:p w:rsidR="00613972" w:rsidRPr="00613972" w:rsidRDefault="00613972" w:rsidP="00613972">
      <w:pPr>
        <w:jc w:val="both"/>
        <w:rPr>
          <w:rFonts w:ascii="Tahoma" w:hAnsi="Tahoma" w:cs="Tahoma"/>
          <w:b/>
          <w:sz w:val="24"/>
          <w:szCs w:val="24"/>
        </w:rPr>
      </w:pPr>
    </w:p>
    <w:p w:rsidR="00613972" w:rsidRDefault="00613972" w:rsidP="00D54100">
      <w:pPr>
        <w:jc w:val="both"/>
        <w:rPr>
          <w:rFonts w:ascii="Tahoma" w:hAnsi="Tahoma" w:cs="Tahoma"/>
          <w:b/>
          <w:sz w:val="24"/>
          <w:szCs w:val="24"/>
        </w:rPr>
      </w:pPr>
      <w:r>
        <w:rPr>
          <w:rFonts w:ascii="Tahoma" w:hAnsi="Tahoma" w:cs="Tahoma"/>
          <w:b/>
          <w:sz w:val="24"/>
          <w:szCs w:val="24"/>
        </w:rPr>
        <w:t>EDGAR KUTSAWA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Pr>
          <w:rFonts w:ascii="Tahoma" w:hAnsi="Tahoma" w:cs="Tahoma"/>
          <w:b/>
          <w:sz w:val="24"/>
          <w:szCs w:val="24"/>
        </w:rPr>
        <w:t>2</w:t>
      </w:r>
      <w:r w:rsidRPr="00613972">
        <w:rPr>
          <w:rFonts w:ascii="Tahoma" w:hAnsi="Tahoma" w:cs="Tahoma"/>
          <w:b/>
          <w:sz w:val="24"/>
          <w:szCs w:val="24"/>
          <w:vertAlign w:val="superscript"/>
        </w:rPr>
        <w:t>ND</w:t>
      </w:r>
      <w:r>
        <w:rPr>
          <w:rFonts w:ascii="Tahoma" w:hAnsi="Tahoma" w:cs="Tahoma"/>
          <w:b/>
          <w:sz w:val="24"/>
          <w:szCs w:val="24"/>
        </w:rPr>
        <w:t xml:space="preserve"> APPELLANT</w:t>
      </w:r>
    </w:p>
    <w:p w:rsidR="00613972" w:rsidRDefault="00613972" w:rsidP="00D54100">
      <w:pPr>
        <w:jc w:val="both"/>
        <w:rPr>
          <w:rFonts w:ascii="Tahoma" w:hAnsi="Tahoma" w:cs="Tahoma"/>
          <w:b/>
          <w:sz w:val="24"/>
          <w:szCs w:val="24"/>
        </w:rPr>
      </w:pPr>
    </w:p>
    <w:p w:rsidR="00613972" w:rsidRDefault="00613972" w:rsidP="00D54100">
      <w:pPr>
        <w:jc w:val="both"/>
        <w:rPr>
          <w:rFonts w:ascii="Tahoma" w:hAnsi="Tahoma" w:cs="Tahoma"/>
          <w:b/>
          <w:sz w:val="24"/>
          <w:szCs w:val="24"/>
        </w:rPr>
      </w:pPr>
      <w:r>
        <w:rPr>
          <w:rFonts w:ascii="Tahoma" w:hAnsi="Tahoma" w:cs="Tahoma"/>
          <w:b/>
          <w:sz w:val="24"/>
          <w:szCs w:val="24"/>
        </w:rPr>
        <w:t>And</w:t>
      </w:r>
    </w:p>
    <w:p w:rsidR="00613972" w:rsidRDefault="00613972" w:rsidP="00D54100">
      <w:pPr>
        <w:jc w:val="both"/>
        <w:rPr>
          <w:rFonts w:ascii="Tahoma" w:hAnsi="Tahoma" w:cs="Tahoma"/>
          <w:b/>
          <w:sz w:val="24"/>
          <w:szCs w:val="24"/>
        </w:rPr>
      </w:pPr>
    </w:p>
    <w:p w:rsidR="00672B26" w:rsidRDefault="00613972" w:rsidP="00D54100">
      <w:pPr>
        <w:jc w:val="both"/>
        <w:rPr>
          <w:rFonts w:ascii="Tahoma" w:hAnsi="Tahoma" w:cs="Tahoma"/>
          <w:sz w:val="24"/>
          <w:szCs w:val="24"/>
        </w:rPr>
      </w:pPr>
      <w:r>
        <w:rPr>
          <w:rFonts w:ascii="Tahoma" w:hAnsi="Tahoma" w:cs="Tahoma"/>
          <w:b/>
          <w:sz w:val="24"/>
          <w:szCs w:val="24"/>
        </w:rPr>
        <w:t>UNILEVER ZIMBABWE (PRIVATE) LIMITED</w:t>
      </w:r>
      <w:r w:rsidR="00D54100">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613972">
        <w:rPr>
          <w:rFonts w:ascii="Tahoma" w:hAnsi="Tahoma" w:cs="Tahoma"/>
          <w:b/>
          <w:sz w:val="24"/>
          <w:szCs w:val="24"/>
        </w:rPr>
        <w:t>RESPONDENT</w:t>
      </w:r>
      <w:r w:rsidR="00D54100">
        <w:rPr>
          <w:rFonts w:ascii="Tahoma" w:hAnsi="Tahoma" w:cs="Tahoma"/>
          <w:sz w:val="24"/>
          <w:szCs w:val="24"/>
        </w:rPr>
        <w:t xml:space="preserve">   </w:t>
      </w:r>
    </w:p>
    <w:p w:rsidR="00D54100" w:rsidRDefault="00D54100" w:rsidP="00D54100">
      <w:pPr>
        <w:jc w:val="both"/>
        <w:rPr>
          <w:rFonts w:ascii="Tahoma" w:hAnsi="Tahoma" w:cs="Tahoma"/>
          <w:sz w:val="24"/>
          <w:szCs w:val="24"/>
        </w:rPr>
      </w:pPr>
      <w:r>
        <w:rPr>
          <w:rFonts w:ascii="Tahoma" w:hAnsi="Tahoma" w:cs="Tahoma"/>
          <w:sz w:val="24"/>
          <w:szCs w:val="24"/>
        </w:rPr>
        <w:t xml:space="preserve">  </w:t>
      </w:r>
    </w:p>
    <w:p w:rsidR="00672B26" w:rsidRDefault="00672B26" w:rsidP="00D54100">
      <w:pPr>
        <w:jc w:val="both"/>
        <w:rPr>
          <w:rFonts w:ascii="Tahoma" w:hAnsi="Tahoma" w:cs="Tahoma"/>
          <w:b/>
          <w:sz w:val="24"/>
          <w:szCs w:val="24"/>
        </w:rPr>
      </w:pPr>
      <w:r w:rsidRPr="00672B26">
        <w:rPr>
          <w:rFonts w:ascii="Tahoma" w:hAnsi="Tahoma" w:cs="Tahoma"/>
          <w:b/>
          <w:sz w:val="24"/>
          <w:szCs w:val="24"/>
        </w:rPr>
        <w:t xml:space="preserve"> 1</w:t>
      </w:r>
      <w:r w:rsidRPr="00672B26">
        <w:rPr>
          <w:rFonts w:ascii="Tahoma" w:hAnsi="Tahoma" w:cs="Tahoma"/>
          <w:b/>
          <w:sz w:val="24"/>
          <w:szCs w:val="24"/>
          <w:vertAlign w:val="superscript"/>
        </w:rPr>
        <w:t>ST</w:t>
      </w:r>
      <w:r>
        <w:rPr>
          <w:rFonts w:ascii="Tahoma" w:hAnsi="Tahoma" w:cs="Tahoma"/>
          <w:sz w:val="24"/>
          <w:szCs w:val="24"/>
          <w:vertAlign w:val="superscript"/>
        </w:rPr>
        <w:t xml:space="preserve"> </w:t>
      </w:r>
      <w:r>
        <w:rPr>
          <w:rFonts w:ascii="Tahoma" w:hAnsi="Tahoma" w:cs="Tahoma"/>
          <w:b/>
          <w:sz w:val="24"/>
          <w:szCs w:val="24"/>
        </w:rPr>
        <w:t>APPELLANT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IN PERSON</w:t>
      </w:r>
    </w:p>
    <w:p w:rsidR="00672B26" w:rsidRDefault="00672B26" w:rsidP="00D54100">
      <w:pPr>
        <w:jc w:val="both"/>
        <w:rPr>
          <w:rFonts w:ascii="Tahoma" w:hAnsi="Tahoma" w:cs="Tahoma"/>
          <w:b/>
          <w:sz w:val="24"/>
          <w:szCs w:val="24"/>
        </w:rPr>
      </w:pPr>
      <w:r>
        <w:rPr>
          <w:rFonts w:ascii="Tahoma" w:hAnsi="Tahoma" w:cs="Tahoma"/>
          <w:b/>
          <w:sz w:val="24"/>
          <w:szCs w:val="24"/>
        </w:rPr>
        <w:t>2</w:t>
      </w:r>
      <w:r w:rsidRPr="00672B26">
        <w:rPr>
          <w:rFonts w:ascii="Tahoma" w:hAnsi="Tahoma" w:cs="Tahoma"/>
          <w:b/>
          <w:sz w:val="24"/>
          <w:szCs w:val="24"/>
          <w:vertAlign w:val="superscript"/>
        </w:rPr>
        <w:t>ND</w:t>
      </w:r>
      <w:r>
        <w:rPr>
          <w:rFonts w:ascii="Tahoma" w:hAnsi="Tahoma" w:cs="Tahoma"/>
          <w:b/>
          <w:sz w:val="24"/>
          <w:szCs w:val="24"/>
        </w:rPr>
        <w:t xml:space="preserve"> APPELLANT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IN PERSON</w:t>
      </w:r>
    </w:p>
    <w:p w:rsidR="00672B26" w:rsidRPr="00D54100" w:rsidRDefault="00672B26" w:rsidP="00D54100">
      <w:pPr>
        <w:jc w:val="both"/>
        <w:rPr>
          <w:rFonts w:ascii="Tahoma" w:hAnsi="Tahoma" w:cs="Tahoma"/>
          <w:b/>
          <w:sz w:val="24"/>
          <w:szCs w:val="24"/>
        </w:rPr>
      </w:pPr>
      <w:r>
        <w:rPr>
          <w:rFonts w:ascii="Tahoma" w:hAnsi="Tahoma" w:cs="Tahoma"/>
          <w:b/>
          <w:sz w:val="24"/>
          <w:szCs w:val="24"/>
        </w:rPr>
        <w:t xml:space="preserve">FOR RESPONDENT  </w:t>
      </w:r>
      <w:r>
        <w:rPr>
          <w:rFonts w:ascii="Tahoma" w:hAnsi="Tahoma" w:cs="Tahoma"/>
          <w:b/>
          <w:sz w:val="24"/>
          <w:szCs w:val="24"/>
        </w:rPr>
        <w:tab/>
        <w:t>-</w:t>
      </w:r>
      <w:r>
        <w:rPr>
          <w:rFonts w:ascii="Tahoma" w:hAnsi="Tahoma" w:cs="Tahoma"/>
          <w:b/>
          <w:sz w:val="24"/>
          <w:szCs w:val="24"/>
        </w:rPr>
        <w:tab/>
        <w:t xml:space="preserve"> MR D. MATAWU</w:t>
      </w:r>
    </w:p>
    <w:p w:rsidR="00D54100" w:rsidRDefault="00D54100" w:rsidP="00D54100">
      <w:pPr>
        <w:pStyle w:val="NoSpacing"/>
        <w:spacing w:line="36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672B26" w:rsidRDefault="00D54100" w:rsidP="00D54100">
      <w:pPr>
        <w:spacing w:line="360" w:lineRule="auto"/>
        <w:jc w:val="both"/>
        <w:rPr>
          <w:rFonts w:ascii="Tahoma" w:hAnsi="Tahoma" w:cs="Tahoma"/>
          <w:b/>
          <w:sz w:val="24"/>
          <w:szCs w:val="24"/>
        </w:rPr>
      </w:pPr>
      <w:r>
        <w:rPr>
          <w:rFonts w:ascii="Tahoma" w:hAnsi="Tahoma" w:cs="Tahoma"/>
          <w:b/>
          <w:sz w:val="24"/>
          <w:szCs w:val="24"/>
        </w:rPr>
        <w:t>MURASI, J:</w:t>
      </w:r>
      <w:r w:rsidR="00672C8A">
        <w:rPr>
          <w:rFonts w:ascii="Tahoma" w:hAnsi="Tahoma" w:cs="Tahoma"/>
          <w:b/>
          <w:sz w:val="24"/>
          <w:szCs w:val="24"/>
        </w:rPr>
        <w:tab/>
      </w:r>
      <w:r w:rsidR="00672C8A">
        <w:rPr>
          <w:rFonts w:ascii="Tahoma" w:hAnsi="Tahoma" w:cs="Tahoma"/>
          <w:b/>
          <w:sz w:val="24"/>
          <w:szCs w:val="24"/>
        </w:rPr>
        <w:tab/>
      </w:r>
    </w:p>
    <w:p w:rsidR="00672B26" w:rsidRDefault="00672B26" w:rsidP="00D54100">
      <w:pPr>
        <w:spacing w:line="360" w:lineRule="auto"/>
        <w:jc w:val="both"/>
        <w:rPr>
          <w:rFonts w:ascii="Tahoma" w:hAnsi="Tahoma" w:cs="Tahoma"/>
          <w:b/>
          <w:sz w:val="24"/>
          <w:szCs w:val="24"/>
        </w:rPr>
      </w:pPr>
    </w:p>
    <w:p w:rsidR="00672B26" w:rsidRDefault="00672B26" w:rsidP="00D54100">
      <w:pPr>
        <w:spacing w:line="360" w:lineRule="auto"/>
        <w:jc w:val="both"/>
        <w:rPr>
          <w:rFonts w:ascii="Tahoma" w:hAnsi="Tahoma" w:cs="Tahoma"/>
          <w:sz w:val="24"/>
          <w:szCs w:val="24"/>
        </w:rPr>
      </w:pPr>
      <w:r w:rsidRPr="00672B26">
        <w:rPr>
          <w:rFonts w:ascii="Tahoma" w:hAnsi="Tahoma" w:cs="Tahoma"/>
          <w:sz w:val="24"/>
          <w:szCs w:val="24"/>
        </w:rPr>
        <w:t>T</w:t>
      </w:r>
      <w:r>
        <w:rPr>
          <w:rFonts w:ascii="Tahoma" w:hAnsi="Tahoma" w:cs="Tahoma"/>
          <w:sz w:val="24"/>
          <w:szCs w:val="24"/>
        </w:rPr>
        <w:t>his is an appeal against the decision of MS MAGANI N.O handed down on 27 August 2019.</w:t>
      </w:r>
    </w:p>
    <w:p w:rsidR="00672B26" w:rsidRDefault="00672B26" w:rsidP="00D54100">
      <w:pPr>
        <w:spacing w:line="360" w:lineRule="auto"/>
        <w:jc w:val="both"/>
        <w:rPr>
          <w:rFonts w:ascii="Tahoma" w:hAnsi="Tahoma" w:cs="Tahoma"/>
          <w:sz w:val="24"/>
          <w:szCs w:val="24"/>
        </w:rPr>
      </w:pPr>
    </w:p>
    <w:p w:rsidR="005674D3" w:rsidRDefault="00672B26" w:rsidP="00D54100">
      <w:pPr>
        <w:spacing w:line="360" w:lineRule="auto"/>
        <w:jc w:val="both"/>
        <w:rPr>
          <w:rFonts w:ascii="Tahoma" w:hAnsi="Tahoma" w:cs="Tahoma"/>
          <w:sz w:val="24"/>
          <w:szCs w:val="24"/>
        </w:rPr>
      </w:pPr>
      <w:r>
        <w:rPr>
          <w:rFonts w:ascii="Tahoma" w:hAnsi="Tahoma" w:cs="Tahoma"/>
          <w:sz w:val="24"/>
          <w:szCs w:val="24"/>
        </w:rPr>
        <w:t>A brief background of the matter is pertinent.</w:t>
      </w:r>
    </w:p>
    <w:p w:rsidR="00FE1253" w:rsidRDefault="00FE1253" w:rsidP="00D54100">
      <w:pPr>
        <w:spacing w:line="360" w:lineRule="auto"/>
        <w:jc w:val="both"/>
        <w:rPr>
          <w:rFonts w:ascii="Tahoma" w:hAnsi="Tahoma" w:cs="Tahoma"/>
          <w:sz w:val="24"/>
          <w:szCs w:val="24"/>
        </w:rPr>
      </w:pPr>
    </w:p>
    <w:p w:rsidR="005674D3" w:rsidRDefault="005674D3" w:rsidP="00D54100">
      <w:pPr>
        <w:spacing w:line="360" w:lineRule="auto"/>
        <w:jc w:val="both"/>
        <w:rPr>
          <w:rFonts w:ascii="Tahoma" w:hAnsi="Tahoma" w:cs="Tahoma"/>
          <w:sz w:val="24"/>
          <w:szCs w:val="24"/>
        </w:rPr>
      </w:pPr>
    </w:p>
    <w:p w:rsidR="000351EB" w:rsidRDefault="005674D3" w:rsidP="00B167E5">
      <w:pPr>
        <w:spacing w:line="360" w:lineRule="auto"/>
        <w:ind w:firstLine="720"/>
        <w:jc w:val="both"/>
        <w:rPr>
          <w:rFonts w:ascii="Tahoma" w:hAnsi="Tahoma" w:cs="Tahoma"/>
          <w:sz w:val="24"/>
          <w:szCs w:val="24"/>
        </w:rPr>
      </w:pPr>
      <w:r>
        <w:rPr>
          <w:rFonts w:ascii="Tahoma" w:hAnsi="Tahoma" w:cs="Tahoma"/>
          <w:sz w:val="24"/>
          <w:szCs w:val="24"/>
        </w:rPr>
        <w:lastRenderedPageBreak/>
        <w:t>Appellant</w:t>
      </w:r>
      <w:r w:rsidR="000D7766">
        <w:rPr>
          <w:rFonts w:ascii="Tahoma" w:hAnsi="Tahoma" w:cs="Tahoma"/>
          <w:sz w:val="24"/>
          <w:szCs w:val="24"/>
        </w:rPr>
        <w:t>s</w:t>
      </w:r>
      <w:r>
        <w:rPr>
          <w:rFonts w:ascii="Tahoma" w:hAnsi="Tahoma" w:cs="Tahoma"/>
          <w:sz w:val="24"/>
          <w:szCs w:val="24"/>
        </w:rPr>
        <w:t xml:space="preserve"> were employed by the respondent.  Following the purported termination of their employment contracts on retirement, they approached the Labour Officer.  When conciliation failed, the matter was referred to arbitration.  The arbitrator found in favour of the appellants.  Respondent appealed to the Labour Court.  This </w:t>
      </w:r>
      <w:r w:rsidR="00B167E5">
        <w:rPr>
          <w:rFonts w:ascii="Tahoma" w:hAnsi="Tahoma" w:cs="Tahoma"/>
          <w:sz w:val="24"/>
          <w:szCs w:val="24"/>
        </w:rPr>
        <w:t>Court,</w:t>
      </w:r>
      <w:r>
        <w:rPr>
          <w:rFonts w:ascii="Tahoma" w:hAnsi="Tahoma" w:cs="Tahoma"/>
          <w:sz w:val="24"/>
          <w:szCs w:val="24"/>
        </w:rPr>
        <w:t xml:space="preserve"> in a judgment by CHIVIZHE J, dismissed the appeal and </w:t>
      </w:r>
      <w:r w:rsidR="000351EB">
        <w:rPr>
          <w:rFonts w:ascii="Tahoma" w:hAnsi="Tahoma" w:cs="Tahoma"/>
          <w:sz w:val="24"/>
          <w:szCs w:val="24"/>
        </w:rPr>
        <w:t xml:space="preserve">upheld the </w:t>
      </w:r>
      <w:r w:rsidR="00B167E5">
        <w:rPr>
          <w:rFonts w:ascii="Tahoma" w:hAnsi="Tahoma" w:cs="Tahoma"/>
          <w:sz w:val="24"/>
          <w:szCs w:val="24"/>
        </w:rPr>
        <w:t>arbitrator‘s decision</w:t>
      </w:r>
      <w:r w:rsidR="000351EB">
        <w:rPr>
          <w:rFonts w:ascii="Tahoma" w:hAnsi="Tahoma" w:cs="Tahoma"/>
          <w:sz w:val="24"/>
          <w:szCs w:val="24"/>
        </w:rPr>
        <w:t>.  This meant that respondent was s</w:t>
      </w:r>
      <w:r w:rsidR="000D7766">
        <w:rPr>
          <w:rFonts w:ascii="Tahoma" w:hAnsi="Tahoma" w:cs="Tahoma"/>
          <w:sz w:val="24"/>
          <w:szCs w:val="24"/>
        </w:rPr>
        <w:t>upposed to pay to the appellant</w:t>
      </w:r>
      <w:r w:rsidR="000351EB">
        <w:rPr>
          <w:rFonts w:ascii="Tahoma" w:hAnsi="Tahoma" w:cs="Tahoma"/>
          <w:sz w:val="24"/>
          <w:szCs w:val="24"/>
        </w:rPr>
        <w:t>s monies due to them as determined by the arbitrator.  Applicants were paid these sum</w:t>
      </w:r>
      <w:r w:rsidR="000D7766">
        <w:rPr>
          <w:rFonts w:ascii="Tahoma" w:hAnsi="Tahoma" w:cs="Tahoma"/>
          <w:sz w:val="24"/>
          <w:szCs w:val="24"/>
        </w:rPr>
        <w:t>s</w:t>
      </w:r>
      <w:r w:rsidR="000351EB">
        <w:rPr>
          <w:rFonts w:ascii="Tahoma" w:hAnsi="Tahoma" w:cs="Tahoma"/>
          <w:sz w:val="24"/>
          <w:szCs w:val="24"/>
        </w:rPr>
        <w:t xml:space="preserve"> of money in 2017.</w:t>
      </w:r>
    </w:p>
    <w:p w:rsidR="000351EB" w:rsidRDefault="000351EB" w:rsidP="00D54100">
      <w:pPr>
        <w:spacing w:line="360" w:lineRule="auto"/>
        <w:jc w:val="both"/>
        <w:rPr>
          <w:rFonts w:ascii="Tahoma" w:hAnsi="Tahoma" w:cs="Tahoma"/>
          <w:sz w:val="24"/>
          <w:szCs w:val="24"/>
        </w:rPr>
      </w:pPr>
    </w:p>
    <w:p w:rsidR="000351EB" w:rsidRDefault="000351EB" w:rsidP="00B167E5">
      <w:pPr>
        <w:spacing w:line="360" w:lineRule="auto"/>
        <w:ind w:firstLine="720"/>
        <w:jc w:val="both"/>
        <w:rPr>
          <w:rFonts w:ascii="Tahoma" w:hAnsi="Tahoma" w:cs="Tahoma"/>
          <w:sz w:val="24"/>
          <w:szCs w:val="24"/>
        </w:rPr>
      </w:pPr>
      <w:r>
        <w:rPr>
          <w:rFonts w:ascii="Tahoma" w:hAnsi="Tahoma" w:cs="Tahoma"/>
          <w:sz w:val="24"/>
          <w:szCs w:val="24"/>
        </w:rPr>
        <w:t>Applicants later “discovered” that the respondent had not paid some of the monies due to them.  They filed a complaint of unfair labour practice.  The parties approached the Designated Agent who attempt</w:t>
      </w:r>
      <w:r w:rsidR="000D7766">
        <w:rPr>
          <w:rFonts w:ascii="Tahoma" w:hAnsi="Tahoma" w:cs="Tahoma"/>
          <w:sz w:val="24"/>
          <w:szCs w:val="24"/>
        </w:rPr>
        <w:t>ed</w:t>
      </w:r>
      <w:r>
        <w:rPr>
          <w:rFonts w:ascii="Tahoma" w:hAnsi="Tahoma" w:cs="Tahoma"/>
          <w:sz w:val="24"/>
          <w:szCs w:val="24"/>
        </w:rPr>
        <w:t xml:space="preserve"> to conciliate the matter.  When this failed, the Designated Agent issued a Certificate of No Settlement and proceeded to make a ruling on the matter.  The appellants are dissatisfied with this determination and have appealed to this Court.</w:t>
      </w:r>
    </w:p>
    <w:p w:rsidR="000351EB" w:rsidRDefault="000351EB" w:rsidP="00D54100">
      <w:pPr>
        <w:spacing w:line="360" w:lineRule="auto"/>
        <w:jc w:val="both"/>
        <w:rPr>
          <w:rFonts w:ascii="Tahoma" w:hAnsi="Tahoma" w:cs="Tahoma"/>
          <w:sz w:val="24"/>
          <w:szCs w:val="24"/>
        </w:rPr>
      </w:pPr>
    </w:p>
    <w:p w:rsidR="00602CB3" w:rsidRDefault="000351EB" w:rsidP="00B167E5">
      <w:pPr>
        <w:spacing w:line="360" w:lineRule="auto"/>
        <w:ind w:firstLine="720"/>
        <w:jc w:val="both"/>
        <w:rPr>
          <w:rFonts w:ascii="Tahoma" w:hAnsi="Tahoma" w:cs="Tahoma"/>
          <w:sz w:val="24"/>
          <w:szCs w:val="24"/>
        </w:rPr>
      </w:pPr>
      <w:r>
        <w:rPr>
          <w:rFonts w:ascii="Tahoma" w:hAnsi="Tahoma" w:cs="Tahoma"/>
          <w:sz w:val="24"/>
          <w:szCs w:val="24"/>
        </w:rPr>
        <w:t xml:space="preserve">In its response, respondent </w:t>
      </w:r>
      <w:r w:rsidR="00B167E5">
        <w:rPr>
          <w:rFonts w:ascii="Tahoma" w:hAnsi="Tahoma" w:cs="Tahoma"/>
          <w:sz w:val="24"/>
          <w:szCs w:val="24"/>
        </w:rPr>
        <w:t>raised a</w:t>
      </w:r>
      <w:r>
        <w:rPr>
          <w:rFonts w:ascii="Tahoma" w:hAnsi="Tahoma" w:cs="Tahoma"/>
          <w:sz w:val="24"/>
          <w:szCs w:val="24"/>
        </w:rPr>
        <w:t xml:space="preserve"> point </w:t>
      </w:r>
      <w:r w:rsidRPr="00B167E5">
        <w:rPr>
          <w:rFonts w:ascii="Tahoma" w:hAnsi="Tahoma" w:cs="Tahoma"/>
          <w:i/>
          <w:sz w:val="24"/>
          <w:szCs w:val="24"/>
        </w:rPr>
        <w:t>in limine</w:t>
      </w:r>
      <w:r>
        <w:rPr>
          <w:rFonts w:ascii="Tahoma" w:hAnsi="Tahoma" w:cs="Tahoma"/>
          <w:sz w:val="24"/>
          <w:szCs w:val="24"/>
        </w:rPr>
        <w:t xml:space="preserve">.  This was to the effect </w:t>
      </w:r>
      <w:r w:rsidR="00602CB3">
        <w:rPr>
          <w:rFonts w:ascii="Tahoma" w:hAnsi="Tahoma" w:cs="Tahoma"/>
          <w:sz w:val="24"/>
          <w:szCs w:val="24"/>
        </w:rPr>
        <w:t>that the matter was improperly before the court.  The affidavit filed by TAWANDA ANDREW CHIURAYI on behalf of the respondent which is at page 4 of the record, reads in relevant part:</w:t>
      </w:r>
    </w:p>
    <w:p w:rsidR="00602CB3" w:rsidRDefault="00602CB3" w:rsidP="00D54100">
      <w:pPr>
        <w:spacing w:line="360" w:lineRule="auto"/>
        <w:jc w:val="both"/>
        <w:rPr>
          <w:rFonts w:ascii="Tahoma" w:hAnsi="Tahoma" w:cs="Tahoma"/>
          <w:sz w:val="24"/>
          <w:szCs w:val="24"/>
        </w:rPr>
      </w:pPr>
    </w:p>
    <w:p w:rsidR="00602CB3" w:rsidRPr="00FE1253" w:rsidRDefault="00B167E5" w:rsidP="00FE1253">
      <w:pPr>
        <w:spacing w:line="360" w:lineRule="auto"/>
        <w:ind w:firstLine="720"/>
        <w:jc w:val="both"/>
        <w:rPr>
          <w:rFonts w:ascii="Tahoma" w:hAnsi="Tahoma" w:cs="Tahoma"/>
        </w:rPr>
      </w:pPr>
      <w:r w:rsidRPr="00FE1253">
        <w:rPr>
          <w:rFonts w:ascii="Tahoma" w:hAnsi="Tahoma" w:cs="Tahoma"/>
        </w:rPr>
        <w:t>“IN</w:t>
      </w:r>
      <w:r w:rsidR="00602CB3" w:rsidRPr="00FE1253">
        <w:rPr>
          <w:rFonts w:ascii="Tahoma" w:hAnsi="Tahoma" w:cs="Tahoma"/>
        </w:rPr>
        <w:t xml:space="preserve"> LIMINE</w:t>
      </w:r>
    </w:p>
    <w:p w:rsidR="00602CB3" w:rsidRPr="00FE1253" w:rsidRDefault="00602CB3" w:rsidP="00FE1253">
      <w:pPr>
        <w:spacing w:line="360" w:lineRule="auto"/>
        <w:ind w:left="720"/>
        <w:jc w:val="both"/>
        <w:rPr>
          <w:rFonts w:ascii="Tahoma" w:hAnsi="Tahoma" w:cs="Tahoma"/>
        </w:rPr>
      </w:pPr>
      <w:r w:rsidRPr="00FE1253">
        <w:rPr>
          <w:rFonts w:ascii="Tahoma" w:hAnsi="Tahoma" w:cs="Tahoma"/>
        </w:rPr>
        <w:t>3. The Labour Act does not make provision for an appeal against a draft ruling which is against the employee.</w:t>
      </w:r>
    </w:p>
    <w:p w:rsidR="00602CB3" w:rsidRDefault="00602CB3" w:rsidP="00FE1253">
      <w:pPr>
        <w:spacing w:line="360" w:lineRule="auto"/>
        <w:ind w:left="720"/>
        <w:jc w:val="both"/>
        <w:rPr>
          <w:rFonts w:ascii="Tahoma" w:hAnsi="Tahoma" w:cs="Tahoma"/>
        </w:rPr>
      </w:pPr>
      <w:r w:rsidRPr="00FE1253">
        <w:rPr>
          <w:rFonts w:ascii="Tahoma" w:hAnsi="Tahoma" w:cs="Tahoma"/>
        </w:rPr>
        <w:t xml:space="preserve">4. The Labour Court, </w:t>
      </w:r>
      <w:r w:rsidR="00B167E5" w:rsidRPr="00FE1253">
        <w:rPr>
          <w:rFonts w:ascii="Tahoma" w:hAnsi="Tahoma" w:cs="Tahoma"/>
        </w:rPr>
        <w:t>therefore,</w:t>
      </w:r>
      <w:r w:rsidRPr="00FE1253">
        <w:rPr>
          <w:rFonts w:ascii="Tahoma" w:hAnsi="Tahoma" w:cs="Tahoma"/>
        </w:rPr>
        <w:t xml:space="preserve"> does not have jurisdiction to deal with this appeal and the appeal must be dismissed with costs”</w:t>
      </w:r>
    </w:p>
    <w:p w:rsidR="00FE1253" w:rsidRPr="00FE1253" w:rsidRDefault="00FE1253" w:rsidP="00FE1253">
      <w:pPr>
        <w:spacing w:line="360" w:lineRule="auto"/>
        <w:ind w:left="720"/>
        <w:jc w:val="both"/>
        <w:rPr>
          <w:rFonts w:ascii="Tahoma" w:hAnsi="Tahoma" w:cs="Tahoma"/>
        </w:rPr>
      </w:pPr>
    </w:p>
    <w:p w:rsidR="00B54A2D" w:rsidRDefault="00602CB3" w:rsidP="00FE1253">
      <w:pPr>
        <w:spacing w:line="360" w:lineRule="auto"/>
        <w:ind w:firstLine="720"/>
        <w:jc w:val="both"/>
        <w:rPr>
          <w:rFonts w:ascii="Tahoma" w:hAnsi="Tahoma" w:cs="Tahoma"/>
          <w:sz w:val="24"/>
          <w:szCs w:val="24"/>
        </w:rPr>
      </w:pPr>
      <w:r>
        <w:rPr>
          <w:rFonts w:ascii="Tahoma" w:hAnsi="Tahoma" w:cs="Tahoma"/>
          <w:sz w:val="24"/>
          <w:szCs w:val="24"/>
        </w:rPr>
        <w:lastRenderedPageBreak/>
        <w:t xml:space="preserve">At the commencement of the proceedings </w:t>
      </w:r>
      <w:r w:rsidR="000D7766">
        <w:rPr>
          <w:rFonts w:ascii="Tahoma" w:hAnsi="Tahoma" w:cs="Tahoma"/>
          <w:sz w:val="24"/>
          <w:szCs w:val="24"/>
          <w:u w:val="single"/>
        </w:rPr>
        <w:t xml:space="preserve">Mr </w:t>
      </w:r>
      <w:proofErr w:type="spellStart"/>
      <w:r w:rsidR="000D7766">
        <w:rPr>
          <w:rFonts w:ascii="Tahoma" w:hAnsi="Tahoma" w:cs="Tahoma"/>
          <w:sz w:val="24"/>
          <w:szCs w:val="24"/>
          <w:u w:val="single"/>
        </w:rPr>
        <w:t>Matawu</w:t>
      </w:r>
      <w:proofErr w:type="spellEnd"/>
      <w:r w:rsidR="00672C8A" w:rsidRPr="00672B26">
        <w:rPr>
          <w:rFonts w:ascii="Tahoma" w:hAnsi="Tahoma" w:cs="Tahoma"/>
          <w:sz w:val="24"/>
          <w:szCs w:val="24"/>
        </w:rPr>
        <w:tab/>
      </w:r>
      <w:r>
        <w:rPr>
          <w:rFonts w:ascii="Tahoma" w:hAnsi="Tahoma" w:cs="Tahoma"/>
          <w:sz w:val="24"/>
          <w:szCs w:val="24"/>
        </w:rPr>
        <w:t>who</w:t>
      </w:r>
      <w:r w:rsidR="00057C28">
        <w:rPr>
          <w:rFonts w:ascii="Tahoma" w:hAnsi="Tahoma" w:cs="Tahoma"/>
          <w:sz w:val="24"/>
          <w:szCs w:val="24"/>
        </w:rPr>
        <w:t xml:space="preserve"> appear</w:t>
      </w:r>
      <w:r w:rsidR="00635550">
        <w:rPr>
          <w:rFonts w:ascii="Tahoma" w:hAnsi="Tahoma" w:cs="Tahoma"/>
          <w:sz w:val="24"/>
          <w:szCs w:val="24"/>
        </w:rPr>
        <w:t xml:space="preserve">ed for the respondent, stated that he was still raising the </w:t>
      </w:r>
      <w:r w:rsidR="00810E4B">
        <w:rPr>
          <w:rFonts w:ascii="Tahoma" w:hAnsi="Tahoma" w:cs="Tahoma"/>
          <w:sz w:val="24"/>
          <w:szCs w:val="24"/>
        </w:rPr>
        <w:t>preliminary</w:t>
      </w:r>
      <w:r w:rsidR="00635550">
        <w:rPr>
          <w:rFonts w:ascii="Tahoma" w:hAnsi="Tahoma" w:cs="Tahoma"/>
          <w:sz w:val="24"/>
          <w:szCs w:val="24"/>
        </w:rPr>
        <w:t xml:space="preserve"> point as indicated in the</w:t>
      </w:r>
      <w:r w:rsidR="000D7766">
        <w:rPr>
          <w:rFonts w:ascii="Tahoma" w:hAnsi="Tahoma" w:cs="Tahoma"/>
          <w:sz w:val="24"/>
          <w:szCs w:val="24"/>
        </w:rPr>
        <w:t xml:space="preserve"> Notice of Response.  He reiterated </w:t>
      </w:r>
      <w:r w:rsidR="00635550">
        <w:rPr>
          <w:rFonts w:ascii="Tahoma" w:hAnsi="Tahoma" w:cs="Tahoma"/>
          <w:sz w:val="24"/>
          <w:szCs w:val="24"/>
        </w:rPr>
        <w:t xml:space="preserve">the fact that a draft ruling was not appealable.  He further submitted that the reference made by appellants to the </w:t>
      </w:r>
      <w:r w:rsidR="00635550" w:rsidRPr="00DE0941">
        <w:rPr>
          <w:rFonts w:ascii="Tahoma" w:hAnsi="Tahoma" w:cs="Tahoma"/>
          <w:sz w:val="24"/>
          <w:szCs w:val="24"/>
          <w:u w:val="single"/>
        </w:rPr>
        <w:t>Drum City</w:t>
      </w:r>
      <w:r w:rsidR="00635550">
        <w:rPr>
          <w:rFonts w:ascii="Tahoma" w:hAnsi="Tahoma" w:cs="Tahoma"/>
          <w:sz w:val="24"/>
          <w:szCs w:val="24"/>
        </w:rPr>
        <w:t xml:space="preserve"> in their answering </w:t>
      </w:r>
      <w:r w:rsidR="000D7766">
        <w:rPr>
          <w:rFonts w:ascii="Tahoma" w:hAnsi="Tahoma" w:cs="Tahoma"/>
          <w:sz w:val="24"/>
          <w:szCs w:val="24"/>
        </w:rPr>
        <w:t>affidavit did not assist them as</w:t>
      </w:r>
      <w:r w:rsidR="00635550">
        <w:rPr>
          <w:rFonts w:ascii="Tahoma" w:hAnsi="Tahoma" w:cs="Tahoma"/>
          <w:sz w:val="24"/>
          <w:szCs w:val="24"/>
        </w:rPr>
        <w:t xml:space="preserve"> that case did not as</w:t>
      </w:r>
      <w:r w:rsidR="000D7766">
        <w:rPr>
          <w:rFonts w:ascii="Tahoma" w:hAnsi="Tahoma" w:cs="Tahoma"/>
          <w:sz w:val="24"/>
          <w:szCs w:val="24"/>
        </w:rPr>
        <w:t>sist them</w:t>
      </w:r>
      <w:r w:rsidR="00635550">
        <w:rPr>
          <w:rFonts w:ascii="Tahoma" w:hAnsi="Tahoma" w:cs="Tahoma"/>
          <w:sz w:val="24"/>
          <w:szCs w:val="24"/>
        </w:rPr>
        <w:t xml:space="preserve"> did not specifically state that a party who was an employee</w:t>
      </w:r>
      <w:r w:rsidR="00DE0941">
        <w:rPr>
          <w:rFonts w:ascii="Tahoma" w:hAnsi="Tahoma" w:cs="Tahoma"/>
          <w:sz w:val="24"/>
          <w:szCs w:val="24"/>
        </w:rPr>
        <w:t xml:space="preserve"> and had a draft ruling against him/her could lodge an appeal.  He further argued that the Labour Act did not provide for such a procedure.  This</w:t>
      </w:r>
      <w:r w:rsidR="000D7766">
        <w:rPr>
          <w:rFonts w:ascii="Tahoma" w:hAnsi="Tahoma" w:cs="Tahoma"/>
          <w:sz w:val="24"/>
          <w:szCs w:val="24"/>
        </w:rPr>
        <w:t>,</w:t>
      </w:r>
      <w:r w:rsidR="00DE0941">
        <w:rPr>
          <w:rFonts w:ascii="Tahoma" w:hAnsi="Tahoma" w:cs="Tahoma"/>
          <w:sz w:val="24"/>
          <w:szCs w:val="24"/>
        </w:rPr>
        <w:t xml:space="preserve"> he </w:t>
      </w:r>
      <w:r w:rsidR="00902390">
        <w:rPr>
          <w:rFonts w:ascii="Tahoma" w:hAnsi="Tahoma" w:cs="Tahoma"/>
          <w:sz w:val="24"/>
          <w:szCs w:val="24"/>
        </w:rPr>
        <w:t>insisted</w:t>
      </w:r>
      <w:r w:rsidR="000D7766">
        <w:rPr>
          <w:rFonts w:ascii="Tahoma" w:hAnsi="Tahoma" w:cs="Tahoma"/>
          <w:sz w:val="24"/>
          <w:szCs w:val="24"/>
        </w:rPr>
        <w:t>,</w:t>
      </w:r>
      <w:r w:rsidR="00DE0941">
        <w:rPr>
          <w:rFonts w:ascii="Tahoma" w:hAnsi="Tahoma" w:cs="Tahoma"/>
          <w:sz w:val="24"/>
          <w:szCs w:val="24"/>
        </w:rPr>
        <w:t xml:space="preserve"> showed that the appeal in question was </w:t>
      </w:r>
      <w:r w:rsidR="00810E4B">
        <w:rPr>
          <w:rFonts w:ascii="Tahoma" w:hAnsi="Tahoma" w:cs="Tahoma"/>
          <w:sz w:val="24"/>
          <w:szCs w:val="24"/>
        </w:rPr>
        <w:t>improperly</w:t>
      </w:r>
      <w:r w:rsidR="00DE0941">
        <w:rPr>
          <w:rFonts w:ascii="Tahoma" w:hAnsi="Tahoma" w:cs="Tahoma"/>
          <w:sz w:val="24"/>
          <w:szCs w:val="24"/>
        </w:rPr>
        <w:t xml:space="preserve"> before the Court.  </w:t>
      </w:r>
      <w:r w:rsidR="00B54A2D">
        <w:rPr>
          <w:rFonts w:ascii="Tahoma" w:hAnsi="Tahoma" w:cs="Tahoma"/>
          <w:sz w:val="24"/>
          <w:szCs w:val="24"/>
        </w:rPr>
        <w:t>The Court therefore had no jurisdiction to entertain the matter.</w:t>
      </w:r>
    </w:p>
    <w:p w:rsidR="00B54A2D" w:rsidRDefault="00B54A2D" w:rsidP="00D54100">
      <w:pPr>
        <w:spacing w:line="360" w:lineRule="auto"/>
        <w:jc w:val="both"/>
        <w:rPr>
          <w:rFonts w:ascii="Tahoma" w:hAnsi="Tahoma" w:cs="Tahoma"/>
          <w:sz w:val="24"/>
          <w:szCs w:val="24"/>
        </w:rPr>
      </w:pPr>
    </w:p>
    <w:p w:rsidR="00810E4B" w:rsidRDefault="00B54A2D" w:rsidP="00FE1253">
      <w:pPr>
        <w:spacing w:line="360" w:lineRule="auto"/>
        <w:ind w:firstLine="720"/>
        <w:jc w:val="both"/>
        <w:rPr>
          <w:rFonts w:ascii="Tahoma" w:hAnsi="Tahoma" w:cs="Tahoma"/>
          <w:sz w:val="24"/>
          <w:szCs w:val="24"/>
        </w:rPr>
      </w:pPr>
      <w:r>
        <w:rPr>
          <w:rFonts w:ascii="Tahoma" w:hAnsi="Tahoma" w:cs="Tahoma"/>
          <w:sz w:val="24"/>
          <w:szCs w:val="24"/>
        </w:rPr>
        <w:t>The appellants were given an opportunity to respond to these submissions.  First appellant was the spokesperson for the two appellants.  This was confirmed to the Court by the second appellant.  When asked to respond, fi</w:t>
      </w:r>
      <w:r w:rsidR="000D7766">
        <w:rPr>
          <w:rFonts w:ascii="Tahoma" w:hAnsi="Tahoma" w:cs="Tahoma"/>
          <w:sz w:val="24"/>
          <w:szCs w:val="24"/>
        </w:rPr>
        <w:t>rst appellant dwelt on the genes</w:t>
      </w:r>
      <w:r>
        <w:rPr>
          <w:rFonts w:ascii="Tahoma" w:hAnsi="Tahoma" w:cs="Tahoma"/>
          <w:sz w:val="24"/>
          <w:szCs w:val="24"/>
        </w:rPr>
        <w:t xml:space="preserve">is of the dispute between respondent and them.  First respondent made no attempt to address his mind to the issue at stake.  The Court repeatedly referred first appellant to what had been stated by respondent’s Counsel, but </w:t>
      </w:r>
      <w:r w:rsidR="000D7766">
        <w:rPr>
          <w:rFonts w:ascii="Tahoma" w:hAnsi="Tahoma" w:cs="Tahoma"/>
          <w:sz w:val="24"/>
          <w:szCs w:val="24"/>
        </w:rPr>
        <w:t>n</w:t>
      </w:r>
      <w:r>
        <w:rPr>
          <w:rFonts w:ascii="Tahoma" w:hAnsi="Tahoma" w:cs="Tahoma"/>
          <w:sz w:val="24"/>
          <w:szCs w:val="24"/>
        </w:rPr>
        <w:t>o submissions in respect of the preliminary point were forthcoming</w:t>
      </w:r>
      <w:r w:rsidR="00724314">
        <w:rPr>
          <w:rFonts w:ascii="Tahoma" w:hAnsi="Tahoma" w:cs="Tahoma"/>
          <w:sz w:val="24"/>
          <w:szCs w:val="24"/>
        </w:rPr>
        <w:t>.  First appellant was content to relate to the Court wh</w:t>
      </w:r>
      <w:r w:rsidR="000D7766">
        <w:rPr>
          <w:rFonts w:ascii="Tahoma" w:hAnsi="Tahoma" w:cs="Tahoma"/>
          <w:sz w:val="24"/>
          <w:szCs w:val="24"/>
        </w:rPr>
        <w:t>at had transpired and which had led</w:t>
      </w:r>
      <w:r w:rsidR="00724314">
        <w:rPr>
          <w:rFonts w:ascii="Tahoma" w:hAnsi="Tahoma" w:cs="Tahoma"/>
          <w:sz w:val="24"/>
          <w:szCs w:val="24"/>
        </w:rPr>
        <w:t xml:space="preserve"> to the present proceedings.  He informed the Court </w:t>
      </w:r>
      <w:r w:rsidR="000D7766">
        <w:rPr>
          <w:rFonts w:ascii="Tahoma" w:hAnsi="Tahoma" w:cs="Tahoma"/>
          <w:sz w:val="24"/>
          <w:szCs w:val="24"/>
        </w:rPr>
        <w:t>that the documents filed on their</w:t>
      </w:r>
      <w:r w:rsidR="00724314">
        <w:rPr>
          <w:rFonts w:ascii="Tahoma" w:hAnsi="Tahoma" w:cs="Tahoma"/>
          <w:sz w:val="24"/>
          <w:szCs w:val="24"/>
        </w:rPr>
        <w:t xml:space="preserve"> behalf were </w:t>
      </w:r>
      <w:r w:rsidR="00810E4B">
        <w:rPr>
          <w:rFonts w:ascii="Tahoma" w:hAnsi="Tahoma" w:cs="Tahoma"/>
          <w:sz w:val="24"/>
          <w:szCs w:val="24"/>
        </w:rPr>
        <w:t>prepared by</w:t>
      </w:r>
      <w:r w:rsidR="00724314">
        <w:rPr>
          <w:rFonts w:ascii="Tahoma" w:hAnsi="Tahoma" w:cs="Tahoma"/>
          <w:sz w:val="24"/>
          <w:szCs w:val="24"/>
        </w:rPr>
        <w:t xml:space="preserve"> his nephew who had legal training but was not a legal practitioner.  He could not inform the Court whether he understood what was contained in those do</w:t>
      </w:r>
      <w:r w:rsidR="00810E4B">
        <w:rPr>
          <w:rFonts w:ascii="Tahoma" w:hAnsi="Tahoma" w:cs="Tahoma"/>
          <w:sz w:val="24"/>
          <w:szCs w:val="24"/>
        </w:rPr>
        <w:t xml:space="preserve">cuments.  What he knew was </w:t>
      </w:r>
      <w:r w:rsidR="000D7766">
        <w:rPr>
          <w:rFonts w:ascii="Tahoma" w:hAnsi="Tahoma" w:cs="Tahoma"/>
          <w:sz w:val="24"/>
          <w:szCs w:val="24"/>
        </w:rPr>
        <w:t xml:space="preserve">that what they had to argue </w:t>
      </w:r>
      <w:r w:rsidR="00810E4B">
        <w:rPr>
          <w:rFonts w:ascii="Tahoma" w:hAnsi="Tahoma" w:cs="Tahoma"/>
          <w:sz w:val="24"/>
          <w:szCs w:val="24"/>
        </w:rPr>
        <w:t xml:space="preserve">was the issue of time.  To this, the Court understood him to mean prescription which was the main issue they had appealed against.  First appellant did not therefore address the Court on the point </w:t>
      </w:r>
      <w:r w:rsidR="00810E4B" w:rsidRPr="00810E4B">
        <w:rPr>
          <w:rFonts w:ascii="Tahoma" w:hAnsi="Tahoma" w:cs="Tahoma"/>
          <w:i/>
          <w:sz w:val="24"/>
          <w:szCs w:val="24"/>
        </w:rPr>
        <w:t>in limine</w:t>
      </w:r>
      <w:r w:rsidR="00810E4B">
        <w:rPr>
          <w:rFonts w:ascii="Tahoma" w:hAnsi="Tahoma" w:cs="Tahoma"/>
          <w:sz w:val="24"/>
          <w:szCs w:val="24"/>
        </w:rPr>
        <w:t xml:space="preserve"> raised by respondent’s Counsel.</w:t>
      </w:r>
    </w:p>
    <w:p w:rsidR="00FE1253" w:rsidRDefault="00FE1253" w:rsidP="00FE1253">
      <w:pPr>
        <w:spacing w:line="360" w:lineRule="auto"/>
        <w:ind w:firstLine="720"/>
        <w:jc w:val="both"/>
        <w:rPr>
          <w:rFonts w:ascii="Tahoma" w:hAnsi="Tahoma" w:cs="Tahoma"/>
          <w:sz w:val="24"/>
          <w:szCs w:val="24"/>
        </w:rPr>
      </w:pPr>
    </w:p>
    <w:p w:rsidR="00810E4B" w:rsidRDefault="00810E4B" w:rsidP="00D54100">
      <w:pPr>
        <w:spacing w:line="360" w:lineRule="auto"/>
        <w:jc w:val="both"/>
        <w:rPr>
          <w:rFonts w:ascii="Tahoma" w:hAnsi="Tahoma" w:cs="Tahoma"/>
          <w:sz w:val="24"/>
          <w:szCs w:val="24"/>
        </w:rPr>
      </w:pPr>
    </w:p>
    <w:p w:rsidR="00810E4B" w:rsidRDefault="00E52398" w:rsidP="00FE1253">
      <w:pPr>
        <w:spacing w:line="360" w:lineRule="auto"/>
        <w:jc w:val="both"/>
        <w:rPr>
          <w:rFonts w:ascii="Tahoma" w:hAnsi="Tahoma" w:cs="Tahoma"/>
          <w:sz w:val="24"/>
          <w:szCs w:val="24"/>
        </w:rPr>
      </w:pPr>
      <w:r>
        <w:rPr>
          <w:rFonts w:ascii="Tahoma" w:hAnsi="Tahoma" w:cs="Tahoma"/>
          <w:sz w:val="24"/>
          <w:szCs w:val="24"/>
        </w:rPr>
        <w:lastRenderedPageBreak/>
        <w:t xml:space="preserve">Sensing </w:t>
      </w:r>
      <w:r w:rsidR="00810E4B">
        <w:rPr>
          <w:rFonts w:ascii="Tahoma" w:hAnsi="Tahoma" w:cs="Tahoma"/>
          <w:sz w:val="24"/>
          <w:szCs w:val="24"/>
        </w:rPr>
        <w:t xml:space="preserve">that, first appellant’s responses could prejudice </w:t>
      </w:r>
      <w:r w:rsidR="00956150">
        <w:rPr>
          <w:rFonts w:ascii="Tahoma" w:hAnsi="Tahoma" w:cs="Tahoma"/>
          <w:sz w:val="24"/>
          <w:szCs w:val="24"/>
        </w:rPr>
        <w:t xml:space="preserve">second appellant, the Court also requested him to make submissions at regards the point </w:t>
      </w:r>
      <w:r w:rsidR="00956150" w:rsidRPr="00956150">
        <w:rPr>
          <w:rFonts w:ascii="Tahoma" w:hAnsi="Tahoma" w:cs="Tahoma"/>
          <w:i/>
          <w:sz w:val="24"/>
          <w:szCs w:val="24"/>
        </w:rPr>
        <w:t>in limine</w:t>
      </w:r>
      <w:r w:rsidR="00956150">
        <w:rPr>
          <w:rFonts w:ascii="Tahoma" w:hAnsi="Tahoma" w:cs="Tahoma"/>
          <w:sz w:val="24"/>
          <w:szCs w:val="24"/>
        </w:rPr>
        <w:t xml:space="preserve"> raised by respondent’s Counsel.  The Court was of the view that even though second appellant had agreed with first appellant that the latter be the spokesperson he could be in a position to address the issue.  Alas, he was in no better position.  The Court read the Designated Agent’s ruling and the documents filed by the two a</w:t>
      </w:r>
      <w:r>
        <w:rPr>
          <w:rFonts w:ascii="Tahoma" w:hAnsi="Tahoma" w:cs="Tahoma"/>
          <w:sz w:val="24"/>
          <w:szCs w:val="24"/>
        </w:rPr>
        <w:t>ppellants and inquired of second</w:t>
      </w:r>
      <w:r w:rsidR="00956150">
        <w:rPr>
          <w:rFonts w:ascii="Tahoma" w:hAnsi="Tahoma" w:cs="Tahoma"/>
          <w:sz w:val="24"/>
          <w:szCs w:val="24"/>
        </w:rPr>
        <w:t xml:space="preserve"> appellant whether he appreciated the nature of the proceedings before the Court.  Seco</w:t>
      </w:r>
      <w:r>
        <w:rPr>
          <w:rFonts w:ascii="Tahoma" w:hAnsi="Tahoma" w:cs="Tahoma"/>
          <w:sz w:val="24"/>
          <w:szCs w:val="24"/>
        </w:rPr>
        <w:t xml:space="preserve">nd appellant replied in the positive.  </w:t>
      </w:r>
      <w:r w:rsidR="00956150">
        <w:rPr>
          <w:rFonts w:ascii="Tahoma" w:hAnsi="Tahoma" w:cs="Tahoma"/>
          <w:sz w:val="24"/>
          <w:szCs w:val="24"/>
        </w:rPr>
        <w:t xml:space="preserve">The Court thereafter requested the second </w:t>
      </w:r>
      <w:r w:rsidR="007761C4">
        <w:rPr>
          <w:rFonts w:ascii="Tahoma" w:hAnsi="Tahoma" w:cs="Tahoma"/>
          <w:sz w:val="24"/>
          <w:szCs w:val="24"/>
        </w:rPr>
        <w:t>appellant to make submissions in light of the explanation given.  Second appellant wa</w:t>
      </w:r>
      <w:r>
        <w:rPr>
          <w:rFonts w:ascii="Tahoma" w:hAnsi="Tahoma" w:cs="Tahoma"/>
          <w:sz w:val="24"/>
          <w:szCs w:val="24"/>
        </w:rPr>
        <w:t>s unable to do so.  The C</w:t>
      </w:r>
      <w:r w:rsidR="007761C4">
        <w:rPr>
          <w:rFonts w:ascii="Tahoma" w:hAnsi="Tahoma" w:cs="Tahoma"/>
          <w:sz w:val="24"/>
          <w:szCs w:val="24"/>
        </w:rPr>
        <w:t>ourt had therefore to record that he had no submissions to make.</w:t>
      </w:r>
    </w:p>
    <w:p w:rsidR="007761C4" w:rsidRDefault="007761C4" w:rsidP="00D54100">
      <w:pPr>
        <w:spacing w:line="360" w:lineRule="auto"/>
        <w:jc w:val="both"/>
        <w:rPr>
          <w:rFonts w:ascii="Tahoma" w:hAnsi="Tahoma" w:cs="Tahoma"/>
          <w:sz w:val="24"/>
          <w:szCs w:val="24"/>
        </w:rPr>
      </w:pPr>
    </w:p>
    <w:p w:rsidR="007761C4" w:rsidRDefault="007761C4" w:rsidP="00FE1253">
      <w:pPr>
        <w:spacing w:line="360" w:lineRule="auto"/>
        <w:ind w:firstLine="720"/>
        <w:jc w:val="both"/>
        <w:rPr>
          <w:rFonts w:ascii="Tahoma" w:hAnsi="Tahoma" w:cs="Tahoma"/>
          <w:sz w:val="24"/>
          <w:szCs w:val="24"/>
        </w:rPr>
      </w:pPr>
      <w:r>
        <w:rPr>
          <w:rFonts w:ascii="Tahoma" w:hAnsi="Tahoma" w:cs="Tahoma"/>
          <w:sz w:val="24"/>
          <w:szCs w:val="24"/>
        </w:rPr>
        <w:t xml:space="preserve">The Court then reverted to first appellant </w:t>
      </w:r>
      <w:r w:rsidR="00685CC8">
        <w:rPr>
          <w:rFonts w:ascii="Tahoma" w:hAnsi="Tahoma" w:cs="Tahoma"/>
          <w:sz w:val="24"/>
          <w:szCs w:val="24"/>
        </w:rPr>
        <w:t xml:space="preserve">hoping that he had understood the explanation.  He failed to make any submissions.  This means that there were no submissions forthcoming from the appellants as regards the </w:t>
      </w:r>
      <w:r w:rsidR="00B167E5">
        <w:rPr>
          <w:rFonts w:ascii="Tahoma" w:hAnsi="Tahoma" w:cs="Tahoma"/>
          <w:sz w:val="24"/>
          <w:szCs w:val="24"/>
        </w:rPr>
        <w:t>preliminary</w:t>
      </w:r>
      <w:r w:rsidR="00685CC8">
        <w:rPr>
          <w:rFonts w:ascii="Tahoma" w:hAnsi="Tahoma" w:cs="Tahoma"/>
          <w:sz w:val="24"/>
          <w:szCs w:val="24"/>
        </w:rPr>
        <w:t xml:space="preserve"> </w:t>
      </w:r>
      <w:r w:rsidR="00B167E5">
        <w:rPr>
          <w:rFonts w:ascii="Tahoma" w:hAnsi="Tahoma" w:cs="Tahoma"/>
          <w:sz w:val="24"/>
          <w:szCs w:val="24"/>
        </w:rPr>
        <w:t>point</w:t>
      </w:r>
      <w:r w:rsidR="00685CC8">
        <w:rPr>
          <w:rFonts w:ascii="Tahoma" w:hAnsi="Tahoma" w:cs="Tahoma"/>
          <w:sz w:val="24"/>
          <w:szCs w:val="24"/>
        </w:rPr>
        <w:t xml:space="preserve"> raised by the respondent.</w:t>
      </w:r>
    </w:p>
    <w:p w:rsidR="00685CC8" w:rsidRDefault="00685CC8" w:rsidP="00D54100">
      <w:pPr>
        <w:spacing w:line="360" w:lineRule="auto"/>
        <w:jc w:val="both"/>
        <w:rPr>
          <w:rFonts w:ascii="Tahoma" w:hAnsi="Tahoma" w:cs="Tahoma"/>
          <w:sz w:val="24"/>
          <w:szCs w:val="24"/>
        </w:rPr>
      </w:pPr>
    </w:p>
    <w:p w:rsidR="00685CC8" w:rsidRDefault="00685CC8" w:rsidP="00FE1253">
      <w:pPr>
        <w:spacing w:line="360" w:lineRule="auto"/>
        <w:ind w:firstLine="720"/>
        <w:jc w:val="both"/>
        <w:rPr>
          <w:rFonts w:ascii="Tahoma" w:hAnsi="Tahoma" w:cs="Tahoma"/>
          <w:sz w:val="24"/>
          <w:szCs w:val="24"/>
        </w:rPr>
      </w:pPr>
      <w:r>
        <w:rPr>
          <w:rFonts w:ascii="Tahoma" w:hAnsi="Tahoma" w:cs="Tahoma"/>
          <w:sz w:val="24"/>
          <w:szCs w:val="24"/>
        </w:rPr>
        <w:t xml:space="preserve">Respondent has raised the issue of jurisdiction.  This issue has been the subject </w:t>
      </w:r>
      <w:r w:rsidR="00CE6D93">
        <w:rPr>
          <w:rFonts w:ascii="Tahoma" w:hAnsi="Tahoma" w:cs="Tahoma"/>
          <w:sz w:val="24"/>
          <w:szCs w:val="24"/>
        </w:rPr>
        <w:t xml:space="preserve">of interpretation in many a precedent.  In </w:t>
      </w:r>
      <w:r w:rsidR="00CE6D93" w:rsidRPr="00902390">
        <w:rPr>
          <w:rFonts w:ascii="Tahoma" w:hAnsi="Tahoma" w:cs="Tahoma"/>
          <w:b/>
          <w:sz w:val="24"/>
          <w:szCs w:val="24"/>
        </w:rPr>
        <w:t>MEDICINES CONTROL</w:t>
      </w:r>
      <w:r w:rsidR="00CE6D93">
        <w:rPr>
          <w:rFonts w:ascii="Tahoma" w:hAnsi="Tahoma" w:cs="Tahoma"/>
          <w:sz w:val="24"/>
          <w:szCs w:val="24"/>
        </w:rPr>
        <w:t xml:space="preserve"> </w:t>
      </w:r>
      <w:r w:rsidR="00B167E5" w:rsidRPr="00902390">
        <w:rPr>
          <w:rFonts w:ascii="Tahoma" w:hAnsi="Tahoma" w:cs="Tahoma"/>
          <w:b/>
          <w:sz w:val="24"/>
          <w:szCs w:val="24"/>
        </w:rPr>
        <w:t>AUTHORITY OF</w:t>
      </w:r>
      <w:r w:rsidR="00CE6D93" w:rsidRPr="00902390">
        <w:rPr>
          <w:rFonts w:ascii="Tahoma" w:hAnsi="Tahoma" w:cs="Tahoma"/>
          <w:b/>
          <w:sz w:val="24"/>
          <w:szCs w:val="24"/>
        </w:rPr>
        <w:t xml:space="preserve"> ZIMBABWE V NATHAN TORONGA AND OTHERS</w:t>
      </w:r>
      <w:r w:rsidR="00CE6D93">
        <w:rPr>
          <w:rFonts w:ascii="Tahoma" w:hAnsi="Tahoma" w:cs="Tahoma"/>
          <w:sz w:val="24"/>
          <w:szCs w:val="24"/>
        </w:rPr>
        <w:t xml:space="preserve"> SC10/17</w:t>
      </w:r>
      <w:r w:rsidR="00B167E5">
        <w:rPr>
          <w:rFonts w:ascii="Tahoma" w:hAnsi="Tahoma" w:cs="Tahoma"/>
          <w:sz w:val="24"/>
          <w:szCs w:val="24"/>
        </w:rPr>
        <w:t>, GWAUNZA</w:t>
      </w:r>
      <w:r w:rsidR="00CE6D93">
        <w:rPr>
          <w:rFonts w:ascii="Tahoma" w:hAnsi="Tahoma" w:cs="Tahoma"/>
          <w:sz w:val="24"/>
          <w:szCs w:val="24"/>
        </w:rPr>
        <w:t xml:space="preserve"> JA (as she then was) had thi</w:t>
      </w:r>
      <w:r w:rsidR="00E52398">
        <w:rPr>
          <w:rFonts w:ascii="Tahoma" w:hAnsi="Tahoma" w:cs="Tahoma"/>
          <w:sz w:val="24"/>
          <w:szCs w:val="24"/>
        </w:rPr>
        <w:t>s to say at page 7 of the cyclostyled</w:t>
      </w:r>
      <w:r w:rsidR="00CE6D93">
        <w:rPr>
          <w:rFonts w:ascii="Tahoma" w:hAnsi="Tahoma" w:cs="Tahoma"/>
          <w:sz w:val="24"/>
          <w:szCs w:val="24"/>
        </w:rPr>
        <w:t xml:space="preserve"> judgment:</w:t>
      </w:r>
    </w:p>
    <w:p w:rsidR="00CE6D93" w:rsidRDefault="00CE6D93" w:rsidP="00D54100">
      <w:pPr>
        <w:spacing w:line="360" w:lineRule="auto"/>
        <w:jc w:val="both"/>
        <w:rPr>
          <w:rFonts w:ascii="Tahoma" w:hAnsi="Tahoma" w:cs="Tahoma"/>
          <w:sz w:val="24"/>
          <w:szCs w:val="24"/>
        </w:rPr>
      </w:pPr>
    </w:p>
    <w:p w:rsidR="00FE1253" w:rsidRDefault="00CE6D93" w:rsidP="00FE1253">
      <w:pPr>
        <w:spacing w:line="360" w:lineRule="auto"/>
        <w:ind w:left="720"/>
        <w:jc w:val="both"/>
        <w:rPr>
          <w:rFonts w:ascii="Tahoma" w:hAnsi="Tahoma" w:cs="Tahoma"/>
        </w:rPr>
      </w:pPr>
      <w:r w:rsidRPr="00FE1253">
        <w:rPr>
          <w:rFonts w:ascii="Tahoma" w:hAnsi="Tahoma" w:cs="Tahoma"/>
        </w:rPr>
        <w:t xml:space="preserve">“Jurisdiction in simple terms can be defined as the power or competence </w:t>
      </w:r>
      <w:r w:rsidR="00E52398">
        <w:rPr>
          <w:rFonts w:ascii="Tahoma" w:hAnsi="Tahoma" w:cs="Tahoma"/>
        </w:rPr>
        <w:t>of a particular cour</w:t>
      </w:r>
      <w:r w:rsidR="00B35E2D" w:rsidRPr="00FE1253">
        <w:rPr>
          <w:rFonts w:ascii="Tahoma" w:hAnsi="Tahoma" w:cs="Tahoma"/>
        </w:rPr>
        <w:t xml:space="preserve">t or tribunal to hear and determine an issue brought before it.  A plea of jurisdiction therefore attacks the competence of a court or tribunal to hear and determine the matter.  It follows that a Court or tribunal that has no jurisdiction, for </w:t>
      </w:r>
    </w:p>
    <w:p w:rsidR="00FE1253" w:rsidRDefault="00FE1253" w:rsidP="00FE1253">
      <w:pPr>
        <w:spacing w:line="360" w:lineRule="auto"/>
        <w:ind w:left="720"/>
        <w:jc w:val="both"/>
        <w:rPr>
          <w:rFonts w:ascii="Tahoma" w:hAnsi="Tahoma" w:cs="Tahoma"/>
        </w:rPr>
      </w:pPr>
    </w:p>
    <w:p w:rsidR="00CE6D93" w:rsidRPr="00FE1253" w:rsidRDefault="00B35E2D" w:rsidP="00FE1253">
      <w:pPr>
        <w:spacing w:line="360" w:lineRule="auto"/>
        <w:ind w:left="720"/>
        <w:jc w:val="both"/>
        <w:rPr>
          <w:rFonts w:ascii="Tahoma" w:hAnsi="Tahoma" w:cs="Tahoma"/>
        </w:rPr>
      </w:pPr>
      <w:r w:rsidRPr="00FE1253">
        <w:rPr>
          <w:rFonts w:ascii="Tahoma" w:hAnsi="Tahoma" w:cs="Tahoma"/>
        </w:rPr>
        <w:lastRenderedPageBreak/>
        <w:t>whatever reason, to entertain a matter is not in a position to go beyond the question of its jurisdiction to determine any other issue to do with the dispute in question.”</w:t>
      </w:r>
    </w:p>
    <w:p w:rsidR="00B35E2D" w:rsidRDefault="00B35E2D" w:rsidP="00D54100">
      <w:pPr>
        <w:spacing w:line="360" w:lineRule="auto"/>
        <w:jc w:val="both"/>
        <w:rPr>
          <w:rFonts w:ascii="Tahoma" w:hAnsi="Tahoma" w:cs="Tahoma"/>
          <w:sz w:val="24"/>
          <w:szCs w:val="24"/>
        </w:rPr>
      </w:pPr>
    </w:p>
    <w:p w:rsidR="00B35E2D" w:rsidRDefault="00B35E2D" w:rsidP="00D54100">
      <w:pPr>
        <w:spacing w:line="360" w:lineRule="auto"/>
        <w:jc w:val="both"/>
        <w:rPr>
          <w:rFonts w:ascii="Tahoma" w:hAnsi="Tahoma" w:cs="Tahoma"/>
          <w:sz w:val="24"/>
          <w:szCs w:val="24"/>
        </w:rPr>
      </w:pPr>
      <w:r>
        <w:rPr>
          <w:rFonts w:ascii="Tahoma" w:hAnsi="Tahoma" w:cs="Tahoma"/>
          <w:sz w:val="24"/>
          <w:szCs w:val="24"/>
        </w:rPr>
        <w:t xml:space="preserve">In simple language, the above </w:t>
      </w:r>
      <w:r w:rsidR="00E52398">
        <w:rPr>
          <w:rFonts w:ascii="Tahoma" w:hAnsi="Tahoma" w:cs="Tahoma"/>
          <w:sz w:val="24"/>
          <w:szCs w:val="24"/>
        </w:rPr>
        <w:t xml:space="preserve">on joins </w:t>
      </w:r>
      <w:r w:rsidR="00997818">
        <w:rPr>
          <w:rFonts w:ascii="Tahoma" w:hAnsi="Tahoma" w:cs="Tahoma"/>
          <w:sz w:val="24"/>
          <w:szCs w:val="24"/>
        </w:rPr>
        <w:t xml:space="preserve">a Court or tribunal to </w:t>
      </w:r>
      <w:r w:rsidR="00FF6C6B">
        <w:rPr>
          <w:rFonts w:ascii="Tahoma" w:hAnsi="Tahoma" w:cs="Tahoma"/>
          <w:sz w:val="24"/>
          <w:szCs w:val="24"/>
        </w:rPr>
        <w:t>determine whether it is endowed</w:t>
      </w:r>
      <w:r w:rsidR="00997818">
        <w:rPr>
          <w:rFonts w:ascii="Tahoma" w:hAnsi="Tahoma" w:cs="Tahoma"/>
          <w:sz w:val="24"/>
          <w:szCs w:val="24"/>
        </w:rPr>
        <w:t xml:space="preserve"> </w:t>
      </w:r>
      <w:r w:rsidR="00FF6C6B">
        <w:rPr>
          <w:rFonts w:ascii="Tahoma" w:hAnsi="Tahoma" w:cs="Tahoma"/>
          <w:sz w:val="24"/>
          <w:szCs w:val="24"/>
        </w:rPr>
        <w:t>with the requis</w:t>
      </w:r>
      <w:r w:rsidR="00997818">
        <w:rPr>
          <w:rFonts w:ascii="Tahoma" w:hAnsi="Tahoma" w:cs="Tahoma"/>
          <w:sz w:val="24"/>
          <w:szCs w:val="24"/>
        </w:rPr>
        <w:t xml:space="preserve">ite jurisdiction before proceeding to deal with the merits of the matter.  Respondent </w:t>
      </w:r>
      <w:r w:rsidR="00997818" w:rsidRPr="00997818">
        <w:rPr>
          <w:rFonts w:ascii="Tahoma" w:hAnsi="Tahoma" w:cs="Tahoma"/>
          <w:i/>
          <w:sz w:val="24"/>
          <w:szCs w:val="24"/>
        </w:rPr>
        <w:t>in casu</w:t>
      </w:r>
      <w:r w:rsidR="00997818">
        <w:rPr>
          <w:rFonts w:ascii="Tahoma" w:hAnsi="Tahoma" w:cs="Tahoma"/>
          <w:sz w:val="24"/>
          <w:szCs w:val="24"/>
        </w:rPr>
        <w:t xml:space="preserve"> has averred that the determination made by the Designated Agent was a draft ruling against the employee.   It was averred that a draft ruling is not subject</w:t>
      </w:r>
      <w:r w:rsidR="00852FD1">
        <w:rPr>
          <w:rFonts w:ascii="Tahoma" w:hAnsi="Tahoma" w:cs="Tahoma"/>
          <w:sz w:val="24"/>
          <w:szCs w:val="24"/>
        </w:rPr>
        <w:t xml:space="preserve"> to appeal in the circumstances.</w:t>
      </w:r>
    </w:p>
    <w:p w:rsidR="00852FD1" w:rsidRDefault="00852FD1" w:rsidP="00D54100">
      <w:pPr>
        <w:spacing w:line="360" w:lineRule="auto"/>
        <w:jc w:val="both"/>
        <w:rPr>
          <w:rFonts w:ascii="Tahoma" w:hAnsi="Tahoma" w:cs="Tahoma"/>
          <w:sz w:val="24"/>
          <w:szCs w:val="24"/>
        </w:rPr>
      </w:pPr>
    </w:p>
    <w:p w:rsidR="00852FD1" w:rsidRDefault="00852FD1" w:rsidP="00FE1253">
      <w:pPr>
        <w:spacing w:line="360" w:lineRule="auto"/>
        <w:ind w:firstLine="720"/>
        <w:jc w:val="both"/>
        <w:rPr>
          <w:rFonts w:ascii="Tahoma" w:hAnsi="Tahoma" w:cs="Tahoma"/>
          <w:sz w:val="24"/>
          <w:szCs w:val="24"/>
        </w:rPr>
      </w:pPr>
      <w:r>
        <w:rPr>
          <w:rFonts w:ascii="Tahoma" w:hAnsi="Tahoma" w:cs="Tahoma"/>
          <w:sz w:val="24"/>
          <w:szCs w:val="24"/>
        </w:rPr>
        <w:t xml:space="preserve">The issue to be determined is whether this was a draft ruling as averred by the respondent.  The procedure was </w:t>
      </w:r>
      <w:r w:rsidR="00E85BA3">
        <w:rPr>
          <w:rFonts w:ascii="Tahoma" w:hAnsi="Tahoma" w:cs="Tahoma"/>
          <w:sz w:val="24"/>
          <w:szCs w:val="24"/>
        </w:rPr>
        <w:t xml:space="preserve">eloquently addressed in </w:t>
      </w:r>
      <w:r w:rsidR="00E85BA3" w:rsidRPr="0007060D">
        <w:rPr>
          <w:rFonts w:ascii="Tahoma" w:hAnsi="Tahoma" w:cs="Tahoma"/>
          <w:b/>
          <w:sz w:val="24"/>
          <w:szCs w:val="24"/>
        </w:rPr>
        <w:t>ISOQUANT</w:t>
      </w:r>
      <w:r w:rsidR="00E85BA3">
        <w:rPr>
          <w:rFonts w:ascii="Tahoma" w:hAnsi="Tahoma" w:cs="Tahoma"/>
          <w:sz w:val="24"/>
          <w:szCs w:val="24"/>
        </w:rPr>
        <w:t xml:space="preserve"> </w:t>
      </w:r>
      <w:r w:rsidR="00E85BA3" w:rsidRPr="0007060D">
        <w:rPr>
          <w:rFonts w:ascii="Tahoma" w:hAnsi="Tahoma" w:cs="Tahoma"/>
          <w:b/>
          <w:sz w:val="24"/>
          <w:szCs w:val="24"/>
        </w:rPr>
        <w:t>INVESTIMENTS (PRIVATE LIMITED) t/a ZIMOCO V MEMORY DARIKWA CCZ</w:t>
      </w:r>
      <w:r w:rsidR="00E85BA3">
        <w:rPr>
          <w:rFonts w:ascii="Tahoma" w:hAnsi="Tahoma" w:cs="Tahoma"/>
          <w:sz w:val="24"/>
          <w:szCs w:val="24"/>
        </w:rPr>
        <w:t xml:space="preserve"> 6/20.  The Learned Chief Justice had this to say at page 30 of the cyclostyled judgment:</w:t>
      </w:r>
    </w:p>
    <w:p w:rsidR="00E85BA3" w:rsidRDefault="00E85BA3" w:rsidP="00D54100">
      <w:pPr>
        <w:spacing w:line="360" w:lineRule="auto"/>
        <w:jc w:val="both"/>
        <w:rPr>
          <w:rFonts w:ascii="Tahoma" w:hAnsi="Tahoma" w:cs="Tahoma"/>
          <w:sz w:val="24"/>
          <w:szCs w:val="24"/>
        </w:rPr>
      </w:pPr>
    </w:p>
    <w:p w:rsidR="00E85BA3" w:rsidRPr="00FE1253" w:rsidRDefault="00B167E5" w:rsidP="00FE1253">
      <w:pPr>
        <w:spacing w:line="360" w:lineRule="auto"/>
        <w:ind w:left="720"/>
        <w:jc w:val="both"/>
        <w:rPr>
          <w:rFonts w:ascii="Tahoma" w:hAnsi="Tahoma" w:cs="Tahoma"/>
        </w:rPr>
      </w:pPr>
      <w:r w:rsidRPr="00FE1253">
        <w:rPr>
          <w:rFonts w:ascii="Tahoma" w:hAnsi="Tahoma" w:cs="Tahoma"/>
        </w:rPr>
        <w:t>“A</w:t>
      </w:r>
      <w:r w:rsidR="00E85BA3" w:rsidRPr="00FE1253">
        <w:rPr>
          <w:rFonts w:ascii="Tahoma" w:hAnsi="Tahoma" w:cs="Tahoma"/>
        </w:rPr>
        <w:t xml:space="preserve"> designated agent may only exercise one power over a dispute.  He or she may redress the dispute or attempt to redress it.  He or she cannot do </w:t>
      </w:r>
      <w:r w:rsidRPr="00FE1253">
        <w:rPr>
          <w:rFonts w:ascii="Tahoma" w:hAnsi="Tahoma" w:cs="Tahoma"/>
        </w:rPr>
        <w:t>both.</w:t>
      </w:r>
      <w:r w:rsidR="00E85BA3" w:rsidRPr="00FE1253">
        <w:rPr>
          <w:rFonts w:ascii="Tahoma" w:hAnsi="Tahoma" w:cs="Tahoma"/>
        </w:rPr>
        <w:t xml:space="preserve">  If he or she chooses to redress the dispute by hearing and determining the issues in dispute, he or she cannot at the same time attempt to redress the dispute.  It i</w:t>
      </w:r>
      <w:r w:rsidR="00FF6C6B">
        <w:rPr>
          <w:rFonts w:ascii="Tahoma" w:hAnsi="Tahoma" w:cs="Tahoma"/>
        </w:rPr>
        <w:t>s clear from the provisions of s63 (3a), as read with s</w:t>
      </w:r>
      <w:r w:rsidR="00E85BA3" w:rsidRPr="00FE1253">
        <w:rPr>
          <w:rFonts w:ascii="Tahoma" w:hAnsi="Tahoma" w:cs="Tahoma"/>
        </w:rPr>
        <w:t>93 (1), of the Act that a designated agent can o</w:t>
      </w:r>
      <w:r w:rsidR="00057C28">
        <w:rPr>
          <w:rFonts w:ascii="Tahoma" w:hAnsi="Tahoma" w:cs="Tahoma"/>
        </w:rPr>
        <w:t>nly proceed in terms of s</w:t>
      </w:r>
      <w:r w:rsidR="00E85BA3" w:rsidRPr="00FE1253">
        <w:rPr>
          <w:rFonts w:ascii="Tahoma" w:hAnsi="Tahoma" w:cs="Tahoma"/>
        </w:rPr>
        <w:t xml:space="preserve">93 of the Act if he or she has not redressed </w:t>
      </w:r>
      <w:r w:rsidR="007D63C2" w:rsidRPr="00FE1253">
        <w:rPr>
          <w:rFonts w:ascii="Tahoma" w:hAnsi="Tahoma" w:cs="Tahoma"/>
        </w:rPr>
        <w:t>the dispute.  He or she would be attempting to settle the dispute through conciliation.  There can be no attempt to settle a dispute which has been addressed.”</w:t>
      </w:r>
    </w:p>
    <w:p w:rsidR="007D63C2" w:rsidRDefault="007D63C2" w:rsidP="00D54100">
      <w:pPr>
        <w:spacing w:line="360" w:lineRule="auto"/>
        <w:jc w:val="both"/>
        <w:rPr>
          <w:rFonts w:ascii="Tahoma" w:hAnsi="Tahoma" w:cs="Tahoma"/>
          <w:sz w:val="24"/>
          <w:szCs w:val="24"/>
        </w:rPr>
      </w:pPr>
    </w:p>
    <w:p w:rsidR="0007060D" w:rsidRDefault="007D63C2" w:rsidP="0007060D">
      <w:pPr>
        <w:spacing w:line="360" w:lineRule="auto"/>
        <w:ind w:firstLine="720"/>
        <w:jc w:val="both"/>
        <w:rPr>
          <w:rFonts w:ascii="Tahoma" w:hAnsi="Tahoma" w:cs="Tahoma"/>
          <w:sz w:val="24"/>
          <w:szCs w:val="24"/>
        </w:rPr>
      </w:pPr>
      <w:r>
        <w:rPr>
          <w:rFonts w:ascii="Tahoma" w:hAnsi="Tahoma" w:cs="Tahoma"/>
          <w:sz w:val="24"/>
          <w:szCs w:val="24"/>
        </w:rPr>
        <w:t>What does this imply?  There should be a clear paper trail that the Labour Officer or designated Agent proceeded to deal with th</w:t>
      </w:r>
      <w:r w:rsidR="00FF6C6B">
        <w:rPr>
          <w:rFonts w:ascii="Tahoma" w:hAnsi="Tahoma" w:cs="Tahoma"/>
          <w:sz w:val="24"/>
          <w:szCs w:val="24"/>
        </w:rPr>
        <w:t>e matter in terms of s</w:t>
      </w:r>
      <w:r w:rsidR="001A75B9">
        <w:rPr>
          <w:rFonts w:ascii="Tahoma" w:hAnsi="Tahoma" w:cs="Tahoma"/>
          <w:sz w:val="24"/>
          <w:szCs w:val="24"/>
        </w:rPr>
        <w:t xml:space="preserve">93 of the </w:t>
      </w:r>
    </w:p>
    <w:p w:rsidR="0007060D" w:rsidRDefault="0007060D" w:rsidP="0007060D">
      <w:pPr>
        <w:spacing w:line="360" w:lineRule="auto"/>
        <w:ind w:firstLine="720"/>
        <w:jc w:val="both"/>
        <w:rPr>
          <w:rFonts w:ascii="Tahoma" w:hAnsi="Tahoma" w:cs="Tahoma"/>
          <w:sz w:val="24"/>
          <w:szCs w:val="24"/>
        </w:rPr>
      </w:pPr>
    </w:p>
    <w:p w:rsidR="007D63C2" w:rsidRDefault="001A75B9" w:rsidP="0007060D">
      <w:pPr>
        <w:spacing w:line="360" w:lineRule="auto"/>
        <w:ind w:firstLine="720"/>
        <w:jc w:val="both"/>
        <w:rPr>
          <w:rFonts w:ascii="Tahoma" w:hAnsi="Tahoma" w:cs="Tahoma"/>
          <w:sz w:val="24"/>
          <w:szCs w:val="24"/>
        </w:rPr>
      </w:pPr>
      <w:r>
        <w:rPr>
          <w:rFonts w:ascii="Tahoma" w:hAnsi="Tahoma" w:cs="Tahoma"/>
          <w:sz w:val="24"/>
          <w:szCs w:val="24"/>
        </w:rPr>
        <w:lastRenderedPageBreak/>
        <w:t>Act.  This would be evidence that the parties subjected themselves to the process of conciliation.  There should be evidence that this</w:t>
      </w:r>
      <w:r w:rsidR="00FF6C6B">
        <w:rPr>
          <w:rFonts w:ascii="Tahoma" w:hAnsi="Tahoma" w:cs="Tahoma"/>
          <w:sz w:val="24"/>
          <w:szCs w:val="24"/>
        </w:rPr>
        <w:t xml:space="preserve"> process failed by the resultant issuing of a C</w:t>
      </w:r>
      <w:r>
        <w:rPr>
          <w:rFonts w:ascii="Tahoma" w:hAnsi="Tahoma" w:cs="Tahoma"/>
          <w:sz w:val="24"/>
          <w:szCs w:val="24"/>
        </w:rPr>
        <w:t>ertificate of No Settlement.</w:t>
      </w:r>
    </w:p>
    <w:p w:rsidR="001A75B9" w:rsidRDefault="001A75B9" w:rsidP="00D54100">
      <w:pPr>
        <w:spacing w:line="360" w:lineRule="auto"/>
        <w:jc w:val="both"/>
        <w:rPr>
          <w:rFonts w:ascii="Tahoma" w:hAnsi="Tahoma" w:cs="Tahoma"/>
          <w:sz w:val="24"/>
          <w:szCs w:val="24"/>
        </w:rPr>
      </w:pPr>
    </w:p>
    <w:p w:rsidR="002F5030" w:rsidRPr="00FE1253" w:rsidRDefault="001A75B9" w:rsidP="00FE1253">
      <w:pPr>
        <w:spacing w:line="360" w:lineRule="auto"/>
        <w:ind w:left="720"/>
        <w:jc w:val="both"/>
        <w:rPr>
          <w:rFonts w:ascii="Tahoma" w:hAnsi="Tahoma" w:cs="Tahoma"/>
        </w:rPr>
      </w:pPr>
      <w:r w:rsidRPr="00FE1253">
        <w:rPr>
          <w:rFonts w:ascii="Tahoma" w:hAnsi="Tahoma" w:cs="Tahoma"/>
        </w:rPr>
        <w:t xml:space="preserve">“After properly discharging his/her </w:t>
      </w:r>
      <w:r w:rsidR="00FF6C6B">
        <w:rPr>
          <w:rFonts w:ascii="Tahoma" w:hAnsi="Tahoma" w:cs="Tahoma"/>
        </w:rPr>
        <w:t>fu</w:t>
      </w:r>
      <w:r w:rsidR="00B167E5" w:rsidRPr="00FE1253">
        <w:rPr>
          <w:rFonts w:ascii="Tahoma" w:hAnsi="Tahoma" w:cs="Tahoma"/>
        </w:rPr>
        <w:t>nctious as</w:t>
      </w:r>
      <w:r w:rsidRPr="00FE1253">
        <w:rPr>
          <w:rFonts w:ascii="Tahoma" w:hAnsi="Tahoma" w:cs="Tahoma"/>
        </w:rPr>
        <w:t xml:space="preserve"> a </w:t>
      </w:r>
      <w:r w:rsidR="00FF6C6B">
        <w:rPr>
          <w:rFonts w:ascii="Tahoma" w:hAnsi="Tahoma" w:cs="Tahoma"/>
        </w:rPr>
        <w:t>conciliator in terms of s</w:t>
      </w:r>
      <w:r w:rsidR="002F5030" w:rsidRPr="00FE1253">
        <w:rPr>
          <w:rFonts w:ascii="Tahoma" w:hAnsi="Tahoma" w:cs="Tahoma"/>
        </w:rPr>
        <w:t>93 (1) of the Act, a Labour Officer (read designated agent) can issue a certificate of no settlement to the parties to the dispute or unfair labour practice in terms of no settlement is issued to the parties to the dispute or unfair labour practice when conciliation has failed or at the end of the thirty day period or any further period agreed between the parties”.  (</w:t>
      </w:r>
      <w:r w:rsidR="00B167E5" w:rsidRPr="00FE1253">
        <w:rPr>
          <w:rFonts w:ascii="Tahoma" w:hAnsi="Tahoma" w:cs="Tahoma"/>
        </w:rPr>
        <w:t>Page</w:t>
      </w:r>
      <w:r w:rsidR="002F5030" w:rsidRPr="00FE1253">
        <w:rPr>
          <w:rFonts w:ascii="Tahoma" w:hAnsi="Tahoma" w:cs="Tahoma"/>
        </w:rPr>
        <w:t xml:space="preserve"> 19)</w:t>
      </w:r>
    </w:p>
    <w:p w:rsidR="002F5030" w:rsidRDefault="002F5030" w:rsidP="00D54100">
      <w:pPr>
        <w:spacing w:line="360" w:lineRule="auto"/>
        <w:jc w:val="both"/>
        <w:rPr>
          <w:rFonts w:ascii="Tahoma" w:hAnsi="Tahoma" w:cs="Tahoma"/>
          <w:sz w:val="24"/>
          <w:szCs w:val="24"/>
        </w:rPr>
      </w:pPr>
    </w:p>
    <w:p w:rsidR="002F5030" w:rsidRDefault="002F5030" w:rsidP="00D54100">
      <w:pPr>
        <w:spacing w:line="360" w:lineRule="auto"/>
        <w:jc w:val="both"/>
        <w:rPr>
          <w:rFonts w:ascii="Tahoma" w:hAnsi="Tahoma" w:cs="Tahoma"/>
          <w:sz w:val="24"/>
          <w:szCs w:val="24"/>
        </w:rPr>
      </w:pPr>
      <w:r>
        <w:rPr>
          <w:rFonts w:ascii="Tahoma" w:hAnsi="Tahoma" w:cs="Tahoma"/>
          <w:sz w:val="24"/>
          <w:szCs w:val="24"/>
        </w:rPr>
        <w:t>The further procedure is explai</w:t>
      </w:r>
      <w:r w:rsidR="00A51E0D">
        <w:rPr>
          <w:rFonts w:ascii="Tahoma" w:hAnsi="Tahoma" w:cs="Tahoma"/>
          <w:sz w:val="24"/>
          <w:szCs w:val="24"/>
        </w:rPr>
        <w:t>ned at page 22. It</w:t>
      </w:r>
      <w:r w:rsidR="00FF6C6B">
        <w:rPr>
          <w:rFonts w:ascii="Tahoma" w:hAnsi="Tahoma" w:cs="Tahoma"/>
          <w:sz w:val="24"/>
          <w:szCs w:val="24"/>
        </w:rPr>
        <w:t xml:space="preserve"> is </w:t>
      </w:r>
      <w:r w:rsidR="00A51E0D">
        <w:rPr>
          <w:rFonts w:ascii="Tahoma" w:hAnsi="Tahoma" w:cs="Tahoma"/>
          <w:sz w:val="24"/>
          <w:szCs w:val="24"/>
        </w:rPr>
        <w:t>explained thus</w:t>
      </w:r>
      <w:r>
        <w:rPr>
          <w:rFonts w:ascii="Tahoma" w:hAnsi="Tahoma" w:cs="Tahoma"/>
          <w:sz w:val="24"/>
          <w:szCs w:val="24"/>
        </w:rPr>
        <w:t>:</w:t>
      </w:r>
    </w:p>
    <w:p w:rsidR="002F5030" w:rsidRDefault="002F5030" w:rsidP="00D54100">
      <w:pPr>
        <w:spacing w:line="360" w:lineRule="auto"/>
        <w:jc w:val="both"/>
        <w:rPr>
          <w:rFonts w:ascii="Tahoma" w:hAnsi="Tahoma" w:cs="Tahoma"/>
          <w:sz w:val="24"/>
          <w:szCs w:val="24"/>
        </w:rPr>
      </w:pPr>
    </w:p>
    <w:p w:rsidR="001A75B9" w:rsidRPr="00FE1253" w:rsidRDefault="002F5030" w:rsidP="00FE1253">
      <w:pPr>
        <w:spacing w:line="360" w:lineRule="auto"/>
        <w:ind w:left="720"/>
        <w:jc w:val="both"/>
        <w:rPr>
          <w:rFonts w:ascii="Tahoma" w:hAnsi="Tahoma" w:cs="Tahoma"/>
        </w:rPr>
      </w:pPr>
      <w:r w:rsidRPr="00FE1253">
        <w:rPr>
          <w:rFonts w:ascii="Tahoma" w:hAnsi="Tahoma" w:cs="Tahoma"/>
        </w:rPr>
        <w:t xml:space="preserve">“Parties </w:t>
      </w:r>
      <w:r w:rsidR="006D2982" w:rsidRPr="00FE1253">
        <w:rPr>
          <w:rFonts w:ascii="Tahoma" w:hAnsi="Tahoma" w:cs="Tahoma"/>
        </w:rPr>
        <w:t>cannot agree</w:t>
      </w:r>
      <w:r w:rsidR="00A51E0D" w:rsidRPr="00FE1253">
        <w:rPr>
          <w:rFonts w:ascii="Tahoma" w:hAnsi="Tahoma" w:cs="Tahoma"/>
        </w:rPr>
        <w:t xml:space="preserve"> to have a dispute of right dealt with </w:t>
      </w:r>
      <w:r w:rsidR="00A51E0D" w:rsidRPr="00FE1253">
        <w:rPr>
          <w:rFonts w:ascii="Tahoma" w:hAnsi="Tahoma" w:cs="Tahoma"/>
          <w:u w:val="single"/>
        </w:rPr>
        <w:t>other than</w:t>
      </w:r>
      <w:r w:rsidR="00A51E0D" w:rsidRPr="00FE1253">
        <w:rPr>
          <w:rFonts w:ascii="Tahoma" w:hAnsi="Tahoma" w:cs="Tahoma"/>
        </w:rPr>
        <w:t xml:space="preserve"> in terms </w:t>
      </w:r>
      <w:r w:rsidR="00FF6C6B">
        <w:rPr>
          <w:rFonts w:ascii="Tahoma" w:hAnsi="Tahoma" w:cs="Tahoma"/>
        </w:rPr>
        <w:t>of s</w:t>
      </w:r>
      <w:r w:rsidR="006D2982" w:rsidRPr="00FE1253">
        <w:rPr>
          <w:rFonts w:ascii="Tahoma" w:hAnsi="Tahoma" w:cs="Tahoma"/>
        </w:rPr>
        <w:t>93 (</w:t>
      </w:r>
      <w:r w:rsidR="00A51E0D" w:rsidRPr="00FE1253">
        <w:rPr>
          <w:rFonts w:ascii="Tahoma" w:hAnsi="Tahoma" w:cs="Tahoma"/>
        </w:rPr>
        <w:t xml:space="preserve">5) </w:t>
      </w:r>
      <w:r w:rsidR="006D2982" w:rsidRPr="00FE1253">
        <w:rPr>
          <w:rFonts w:ascii="Tahoma" w:hAnsi="Tahoma" w:cs="Tahoma"/>
        </w:rPr>
        <w:t>(c)</w:t>
      </w:r>
      <w:r w:rsidR="00A51E0D" w:rsidRPr="00FE1253">
        <w:rPr>
          <w:rFonts w:ascii="Tahoma" w:hAnsi="Tahoma" w:cs="Tahoma"/>
        </w:rPr>
        <w:t xml:space="preserve"> o</w:t>
      </w:r>
      <w:r w:rsidR="00FF6C6B">
        <w:rPr>
          <w:rFonts w:ascii="Tahoma" w:hAnsi="Tahoma" w:cs="Tahoma"/>
        </w:rPr>
        <w:t>f the Act.  The reason is that s</w:t>
      </w:r>
      <w:r w:rsidR="00A51E0D" w:rsidRPr="00FE1253">
        <w:rPr>
          <w:rFonts w:ascii="Tahoma" w:hAnsi="Tahoma" w:cs="Tahoma"/>
        </w:rPr>
        <w:t xml:space="preserve">93 (5) </w:t>
      </w:r>
      <w:r w:rsidR="006D2982" w:rsidRPr="00FE1253">
        <w:rPr>
          <w:rFonts w:ascii="Tahoma" w:hAnsi="Tahoma" w:cs="Tahoma"/>
        </w:rPr>
        <w:t>(c)</w:t>
      </w:r>
      <w:r w:rsidR="00A51E0D" w:rsidRPr="00FE1253">
        <w:rPr>
          <w:rFonts w:ascii="Tahoma" w:hAnsi="Tahoma" w:cs="Tahoma"/>
        </w:rPr>
        <w:t xml:space="preserve"> of the Act places the responsibility of making a </w:t>
      </w:r>
      <w:r w:rsidR="006D2982" w:rsidRPr="00FE1253">
        <w:rPr>
          <w:rFonts w:ascii="Tahoma" w:hAnsi="Tahoma" w:cs="Tahoma"/>
        </w:rPr>
        <w:t>‘draft</w:t>
      </w:r>
      <w:r w:rsidR="00A51E0D" w:rsidRPr="00FE1253">
        <w:rPr>
          <w:rFonts w:ascii="Tahoma" w:hAnsi="Tahoma" w:cs="Tahoma"/>
        </w:rPr>
        <w:t xml:space="preserve"> ruling’ on the Labour Officer (read designated agent).  He or she is required to make a </w:t>
      </w:r>
      <w:r w:rsidR="00B167E5" w:rsidRPr="00FE1253">
        <w:rPr>
          <w:rFonts w:ascii="Tahoma" w:hAnsi="Tahoma" w:cs="Tahoma"/>
        </w:rPr>
        <w:t>‘draft</w:t>
      </w:r>
      <w:r w:rsidR="00A51E0D" w:rsidRPr="00FE1253">
        <w:rPr>
          <w:rFonts w:ascii="Tahoma" w:hAnsi="Tahoma" w:cs="Tahoma"/>
        </w:rPr>
        <w:t xml:space="preserve"> </w:t>
      </w:r>
      <w:r w:rsidR="00B167E5" w:rsidRPr="00FE1253">
        <w:rPr>
          <w:rFonts w:ascii="Tahoma" w:hAnsi="Tahoma" w:cs="Tahoma"/>
        </w:rPr>
        <w:t>ruling’ on</w:t>
      </w:r>
      <w:r w:rsidR="00A51E0D" w:rsidRPr="00FE1253">
        <w:rPr>
          <w:rFonts w:ascii="Tahoma" w:hAnsi="Tahoma" w:cs="Tahoma"/>
        </w:rPr>
        <w:t xml:space="preserve"> the merits of the disputes as gathered from the conc</w:t>
      </w:r>
      <w:r w:rsidR="006D2982" w:rsidRPr="00FE1253">
        <w:rPr>
          <w:rFonts w:ascii="Tahoma" w:hAnsi="Tahoma" w:cs="Tahoma"/>
        </w:rPr>
        <w:t>iliation process and after issuing a certificate of no settlement.  At that stage the matter would no longer be entirely in the hands of the parties whom the Labour Officer w</w:t>
      </w:r>
      <w:r w:rsidR="00FF6C6B">
        <w:rPr>
          <w:rFonts w:ascii="Tahoma" w:hAnsi="Tahoma" w:cs="Tahoma"/>
        </w:rPr>
        <w:t>ould have been assisting to reach</w:t>
      </w:r>
      <w:r w:rsidR="006D2982" w:rsidRPr="00FE1253">
        <w:rPr>
          <w:rFonts w:ascii="Tahoma" w:hAnsi="Tahoma" w:cs="Tahoma"/>
        </w:rPr>
        <w:t xml:space="preserve"> a settlement of the dispute by agreement”</w:t>
      </w:r>
    </w:p>
    <w:p w:rsidR="006D2982" w:rsidRDefault="006D2982" w:rsidP="00D54100">
      <w:pPr>
        <w:spacing w:line="360" w:lineRule="auto"/>
        <w:jc w:val="both"/>
        <w:rPr>
          <w:rFonts w:ascii="Tahoma" w:hAnsi="Tahoma" w:cs="Tahoma"/>
          <w:sz w:val="24"/>
          <w:szCs w:val="24"/>
        </w:rPr>
      </w:pPr>
    </w:p>
    <w:p w:rsidR="00862773" w:rsidRDefault="006D2982" w:rsidP="00862773">
      <w:pPr>
        <w:spacing w:line="360" w:lineRule="auto"/>
        <w:ind w:firstLine="720"/>
        <w:jc w:val="both"/>
        <w:rPr>
          <w:rFonts w:ascii="Tahoma" w:hAnsi="Tahoma" w:cs="Tahoma"/>
          <w:sz w:val="24"/>
          <w:szCs w:val="24"/>
        </w:rPr>
      </w:pPr>
      <w:r>
        <w:rPr>
          <w:rFonts w:ascii="Tahoma" w:hAnsi="Tahoma" w:cs="Tahoma"/>
          <w:sz w:val="24"/>
          <w:szCs w:val="24"/>
        </w:rPr>
        <w:t xml:space="preserve">A reading of </w:t>
      </w:r>
      <w:r w:rsidR="00FF6C6B">
        <w:rPr>
          <w:rFonts w:ascii="Tahoma" w:hAnsi="Tahoma" w:cs="Tahoma"/>
          <w:sz w:val="24"/>
          <w:szCs w:val="24"/>
        </w:rPr>
        <w:t xml:space="preserve">the </w:t>
      </w:r>
      <w:r>
        <w:rPr>
          <w:rFonts w:ascii="Tahoma" w:hAnsi="Tahoma" w:cs="Tahoma"/>
          <w:sz w:val="24"/>
          <w:szCs w:val="24"/>
        </w:rPr>
        <w:t>record shows that there is a certificate of no settlement at page 17 which was issued by the Designated Agent on 18 July 2019.  The certificate cites the parties to the dispute</w:t>
      </w:r>
      <w:r w:rsidR="00FF6C6B">
        <w:rPr>
          <w:rFonts w:ascii="Tahoma" w:hAnsi="Tahoma" w:cs="Tahoma"/>
          <w:sz w:val="24"/>
          <w:szCs w:val="24"/>
        </w:rPr>
        <w:t>.  It shows that the dispute</w:t>
      </w:r>
      <w:r>
        <w:rPr>
          <w:rFonts w:ascii="Tahoma" w:hAnsi="Tahoma" w:cs="Tahoma"/>
          <w:sz w:val="24"/>
          <w:szCs w:val="24"/>
        </w:rPr>
        <w:t xml:space="preserve"> was “Refer</w:t>
      </w:r>
      <w:r w:rsidR="00057C28">
        <w:rPr>
          <w:rFonts w:ascii="Tahoma" w:hAnsi="Tahoma" w:cs="Tahoma"/>
          <w:sz w:val="24"/>
          <w:szCs w:val="24"/>
        </w:rPr>
        <w:t>red</w:t>
      </w:r>
      <w:r>
        <w:rPr>
          <w:rFonts w:ascii="Tahoma" w:hAnsi="Tahoma" w:cs="Tahoma"/>
          <w:sz w:val="24"/>
          <w:szCs w:val="24"/>
        </w:rPr>
        <w:t xml:space="preserve"> to conciliation on </w:t>
      </w:r>
      <w:r w:rsidR="009750FD">
        <w:rPr>
          <w:rFonts w:ascii="Tahoma" w:hAnsi="Tahoma" w:cs="Tahoma"/>
          <w:sz w:val="24"/>
          <w:szCs w:val="24"/>
        </w:rPr>
        <w:t xml:space="preserve">08 May 2019.  The certificate also shows that the </w:t>
      </w:r>
      <w:r w:rsidR="00B167E5">
        <w:rPr>
          <w:rFonts w:ascii="Tahoma" w:hAnsi="Tahoma" w:cs="Tahoma"/>
          <w:sz w:val="24"/>
          <w:szCs w:val="24"/>
        </w:rPr>
        <w:t>dispute “</w:t>
      </w:r>
      <w:r w:rsidR="00FF6C6B">
        <w:rPr>
          <w:rFonts w:ascii="Tahoma" w:hAnsi="Tahoma" w:cs="Tahoma"/>
          <w:sz w:val="24"/>
          <w:szCs w:val="24"/>
        </w:rPr>
        <w:t xml:space="preserve">remained </w:t>
      </w:r>
    </w:p>
    <w:p w:rsidR="00862773" w:rsidRDefault="00862773" w:rsidP="00862773">
      <w:pPr>
        <w:spacing w:line="360" w:lineRule="auto"/>
        <w:jc w:val="both"/>
        <w:rPr>
          <w:rFonts w:ascii="Tahoma" w:hAnsi="Tahoma" w:cs="Tahoma"/>
          <w:sz w:val="24"/>
          <w:szCs w:val="24"/>
        </w:rPr>
      </w:pPr>
    </w:p>
    <w:p w:rsidR="004D093B" w:rsidRDefault="00FF6C6B" w:rsidP="00862773">
      <w:pPr>
        <w:spacing w:line="360" w:lineRule="auto"/>
        <w:jc w:val="both"/>
        <w:rPr>
          <w:rFonts w:ascii="Tahoma" w:hAnsi="Tahoma" w:cs="Tahoma"/>
          <w:sz w:val="24"/>
          <w:szCs w:val="24"/>
        </w:rPr>
      </w:pPr>
      <w:proofErr w:type="gramStart"/>
      <w:r>
        <w:rPr>
          <w:rFonts w:ascii="Tahoma" w:hAnsi="Tahoma" w:cs="Tahoma"/>
          <w:sz w:val="24"/>
          <w:szCs w:val="24"/>
        </w:rPr>
        <w:lastRenderedPageBreak/>
        <w:t>unresolved</w:t>
      </w:r>
      <w:proofErr w:type="gramEnd"/>
      <w:r>
        <w:rPr>
          <w:rFonts w:ascii="Tahoma" w:hAnsi="Tahoma" w:cs="Tahoma"/>
          <w:sz w:val="24"/>
          <w:szCs w:val="24"/>
        </w:rPr>
        <w:t xml:space="preserve"> </w:t>
      </w:r>
      <w:r w:rsidR="009750FD">
        <w:rPr>
          <w:rFonts w:ascii="Tahoma" w:hAnsi="Tahoma" w:cs="Tahoma"/>
          <w:sz w:val="24"/>
          <w:szCs w:val="24"/>
        </w:rPr>
        <w:t xml:space="preserve">as 08 July 2019”.  </w:t>
      </w:r>
      <w:r>
        <w:rPr>
          <w:rFonts w:ascii="Tahoma" w:hAnsi="Tahoma" w:cs="Tahoma"/>
          <w:i/>
          <w:sz w:val="24"/>
          <w:szCs w:val="24"/>
        </w:rPr>
        <w:t>Prima</w:t>
      </w:r>
      <w:r w:rsidR="009750FD">
        <w:rPr>
          <w:rFonts w:ascii="Tahoma" w:hAnsi="Tahoma" w:cs="Tahoma"/>
          <w:sz w:val="24"/>
          <w:szCs w:val="24"/>
        </w:rPr>
        <w:t xml:space="preserve"> </w:t>
      </w:r>
      <w:r w:rsidR="009750FD" w:rsidRPr="004D093B">
        <w:rPr>
          <w:rFonts w:ascii="Tahoma" w:hAnsi="Tahoma" w:cs="Tahoma"/>
          <w:i/>
          <w:sz w:val="24"/>
          <w:szCs w:val="24"/>
        </w:rPr>
        <w:t>facie</w:t>
      </w:r>
      <w:r w:rsidR="009750FD">
        <w:rPr>
          <w:rFonts w:ascii="Tahoma" w:hAnsi="Tahoma" w:cs="Tahoma"/>
          <w:sz w:val="24"/>
          <w:szCs w:val="24"/>
        </w:rPr>
        <w:t xml:space="preserve">, the document shows that the dispute was referred to conciliation.  This is evidence that the </w:t>
      </w:r>
      <w:r w:rsidR="00B167E5">
        <w:rPr>
          <w:rFonts w:ascii="Tahoma" w:hAnsi="Tahoma" w:cs="Tahoma"/>
          <w:sz w:val="24"/>
          <w:szCs w:val="24"/>
        </w:rPr>
        <w:t>Designated</w:t>
      </w:r>
      <w:r w:rsidR="009750FD">
        <w:rPr>
          <w:rFonts w:ascii="Tahoma" w:hAnsi="Tahoma" w:cs="Tahoma"/>
          <w:sz w:val="24"/>
          <w:szCs w:val="24"/>
        </w:rPr>
        <w:t xml:space="preserve"> Agent</w:t>
      </w:r>
      <w:r w:rsidR="004D093B">
        <w:rPr>
          <w:rFonts w:ascii="Tahoma" w:hAnsi="Tahoma" w:cs="Tahoma"/>
          <w:sz w:val="24"/>
          <w:szCs w:val="24"/>
        </w:rPr>
        <w:t xml:space="preserve"> was uti</w:t>
      </w:r>
      <w:r w:rsidR="00057C28">
        <w:rPr>
          <w:rFonts w:ascii="Tahoma" w:hAnsi="Tahoma" w:cs="Tahoma"/>
          <w:sz w:val="24"/>
          <w:szCs w:val="24"/>
        </w:rPr>
        <w:t>lising the route prescribed in s</w:t>
      </w:r>
      <w:r w:rsidR="004D093B">
        <w:rPr>
          <w:rFonts w:ascii="Tahoma" w:hAnsi="Tahoma" w:cs="Tahoma"/>
          <w:sz w:val="24"/>
          <w:szCs w:val="24"/>
        </w:rPr>
        <w:t xml:space="preserve">93.  As </w:t>
      </w:r>
      <w:r>
        <w:rPr>
          <w:rFonts w:ascii="Tahoma" w:hAnsi="Tahoma" w:cs="Tahoma"/>
          <w:sz w:val="24"/>
          <w:szCs w:val="24"/>
        </w:rPr>
        <w:t>stated in the ISOQUANT CASE s</w:t>
      </w:r>
      <w:r w:rsidR="004D093B">
        <w:rPr>
          <w:rFonts w:ascii="Tahoma" w:hAnsi="Tahoma" w:cs="Tahoma"/>
          <w:sz w:val="24"/>
          <w:szCs w:val="24"/>
        </w:rPr>
        <w:t xml:space="preserve">upra, the </w:t>
      </w:r>
      <w:r w:rsidR="00B167E5">
        <w:rPr>
          <w:rFonts w:ascii="Tahoma" w:hAnsi="Tahoma" w:cs="Tahoma"/>
          <w:sz w:val="24"/>
          <w:szCs w:val="24"/>
        </w:rPr>
        <w:t>Designated</w:t>
      </w:r>
      <w:r w:rsidR="004D093B">
        <w:rPr>
          <w:rFonts w:ascii="Tahoma" w:hAnsi="Tahoma" w:cs="Tahoma"/>
          <w:sz w:val="24"/>
          <w:szCs w:val="24"/>
        </w:rPr>
        <w:t xml:space="preserve"> Agent issued a certificate of No </w:t>
      </w:r>
      <w:r w:rsidR="00B167E5">
        <w:rPr>
          <w:rFonts w:ascii="Tahoma" w:hAnsi="Tahoma" w:cs="Tahoma"/>
          <w:sz w:val="24"/>
          <w:szCs w:val="24"/>
        </w:rPr>
        <w:t>Settlement</w:t>
      </w:r>
      <w:r>
        <w:rPr>
          <w:rFonts w:ascii="Tahoma" w:hAnsi="Tahoma" w:cs="Tahoma"/>
          <w:sz w:val="24"/>
          <w:szCs w:val="24"/>
        </w:rPr>
        <w:t xml:space="preserve"> as prescribed in s</w:t>
      </w:r>
      <w:r w:rsidR="004D093B">
        <w:rPr>
          <w:rFonts w:ascii="Tahoma" w:hAnsi="Tahoma" w:cs="Tahoma"/>
          <w:sz w:val="24"/>
          <w:szCs w:val="24"/>
        </w:rPr>
        <w:t xml:space="preserve">93 (3) of the Act.  The </w:t>
      </w:r>
      <w:r w:rsidR="00B167E5">
        <w:rPr>
          <w:rFonts w:ascii="Tahoma" w:hAnsi="Tahoma" w:cs="Tahoma"/>
          <w:sz w:val="24"/>
          <w:szCs w:val="24"/>
        </w:rPr>
        <w:t>Designated</w:t>
      </w:r>
      <w:r w:rsidR="004D093B">
        <w:rPr>
          <w:rFonts w:ascii="Tahoma" w:hAnsi="Tahoma" w:cs="Tahoma"/>
          <w:sz w:val="24"/>
          <w:szCs w:val="24"/>
        </w:rPr>
        <w:t xml:space="preserve"> Agent thereafter made a “draft ruling”.  A Labour Officer would be required to show</w:t>
      </w:r>
      <w:r w:rsidR="00B167E5">
        <w:rPr>
          <w:rFonts w:ascii="Tahoma" w:hAnsi="Tahoma" w:cs="Tahoma"/>
          <w:sz w:val="24"/>
          <w:szCs w:val="24"/>
        </w:rPr>
        <w:t xml:space="preserve"> evidence that he/she consult</w:t>
      </w:r>
      <w:r w:rsidR="00862773">
        <w:rPr>
          <w:rFonts w:ascii="Tahoma" w:hAnsi="Tahoma" w:cs="Tahoma"/>
          <w:sz w:val="24"/>
          <w:szCs w:val="24"/>
        </w:rPr>
        <w:t>ed</w:t>
      </w:r>
      <w:r w:rsidR="00B167E5">
        <w:rPr>
          <w:rFonts w:ascii="Tahoma" w:hAnsi="Tahoma" w:cs="Tahoma"/>
          <w:sz w:val="24"/>
          <w:szCs w:val="24"/>
        </w:rPr>
        <w:t xml:space="preserve"> </w:t>
      </w:r>
      <w:r w:rsidR="004D093B">
        <w:rPr>
          <w:rFonts w:ascii="Tahoma" w:hAnsi="Tahoma" w:cs="Tahoma"/>
          <w:sz w:val="24"/>
          <w:szCs w:val="24"/>
        </w:rPr>
        <w:t xml:space="preserve"> his/her senior before proceeding to make the draft ruling.  In my view the decision </w:t>
      </w:r>
      <w:r w:rsidR="00B167E5">
        <w:rPr>
          <w:rFonts w:ascii="Tahoma" w:hAnsi="Tahoma" w:cs="Tahoma"/>
          <w:sz w:val="24"/>
          <w:szCs w:val="24"/>
        </w:rPr>
        <w:t>made by</w:t>
      </w:r>
      <w:r w:rsidR="004D093B">
        <w:rPr>
          <w:rFonts w:ascii="Tahoma" w:hAnsi="Tahoma" w:cs="Tahoma"/>
          <w:sz w:val="24"/>
          <w:szCs w:val="24"/>
        </w:rPr>
        <w:t xml:space="preserve"> the Designated Agent </w:t>
      </w:r>
      <w:r w:rsidR="004D093B" w:rsidRPr="004D093B">
        <w:rPr>
          <w:rFonts w:ascii="Tahoma" w:hAnsi="Tahoma" w:cs="Tahoma"/>
          <w:i/>
          <w:sz w:val="24"/>
          <w:szCs w:val="24"/>
          <w:u w:val="single"/>
        </w:rPr>
        <w:t xml:space="preserve">in </w:t>
      </w:r>
      <w:r w:rsidR="00B167E5" w:rsidRPr="004D093B">
        <w:rPr>
          <w:rFonts w:ascii="Tahoma" w:hAnsi="Tahoma" w:cs="Tahoma"/>
          <w:i/>
          <w:sz w:val="24"/>
          <w:szCs w:val="24"/>
          <w:u w:val="single"/>
        </w:rPr>
        <w:t>casu</w:t>
      </w:r>
      <w:r w:rsidR="00B167E5">
        <w:rPr>
          <w:rFonts w:ascii="Tahoma" w:hAnsi="Tahoma" w:cs="Tahoma"/>
          <w:sz w:val="24"/>
          <w:szCs w:val="24"/>
        </w:rPr>
        <w:t xml:space="preserve"> would</w:t>
      </w:r>
      <w:r w:rsidR="004D093B">
        <w:rPr>
          <w:rFonts w:ascii="Tahoma" w:hAnsi="Tahoma" w:cs="Tahoma"/>
          <w:sz w:val="24"/>
          <w:szCs w:val="24"/>
        </w:rPr>
        <w:t xml:space="preserve"> fall under the process of a “draft rul</w:t>
      </w:r>
      <w:r w:rsidR="00862773">
        <w:rPr>
          <w:rFonts w:ascii="Tahoma" w:hAnsi="Tahoma" w:cs="Tahoma"/>
          <w:sz w:val="24"/>
          <w:szCs w:val="24"/>
        </w:rPr>
        <w:t>ing” both in terms of the statut</w:t>
      </w:r>
      <w:r w:rsidR="004D093B">
        <w:rPr>
          <w:rFonts w:ascii="Tahoma" w:hAnsi="Tahoma" w:cs="Tahoma"/>
          <w:sz w:val="24"/>
          <w:szCs w:val="24"/>
        </w:rPr>
        <w:t>e and precedent.</w:t>
      </w:r>
      <w:r w:rsidR="00862773">
        <w:rPr>
          <w:rFonts w:ascii="Tahoma" w:hAnsi="Tahoma" w:cs="Tahoma"/>
          <w:sz w:val="24"/>
          <w:szCs w:val="24"/>
        </w:rPr>
        <w:t xml:space="preserve">  </w:t>
      </w:r>
      <w:r w:rsidR="00410380">
        <w:rPr>
          <w:rFonts w:ascii="Tahoma" w:hAnsi="Tahoma" w:cs="Tahoma"/>
          <w:sz w:val="24"/>
          <w:szCs w:val="24"/>
        </w:rPr>
        <w:t xml:space="preserve">Having found that </w:t>
      </w:r>
      <w:proofErr w:type="gramStart"/>
      <w:r w:rsidR="00410380">
        <w:rPr>
          <w:rFonts w:ascii="Tahoma" w:hAnsi="Tahoma" w:cs="Tahoma"/>
          <w:sz w:val="24"/>
          <w:szCs w:val="24"/>
        </w:rPr>
        <w:t>the this</w:t>
      </w:r>
      <w:proofErr w:type="gramEnd"/>
      <w:r w:rsidR="00410380">
        <w:rPr>
          <w:rFonts w:ascii="Tahoma" w:hAnsi="Tahoma" w:cs="Tahoma"/>
          <w:sz w:val="24"/>
          <w:szCs w:val="24"/>
        </w:rPr>
        <w:t xml:space="preserve"> decision falls under the “draft ruling</w:t>
      </w:r>
      <w:r w:rsidR="00B167E5">
        <w:rPr>
          <w:rFonts w:ascii="Tahoma" w:hAnsi="Tahoma" w:cs="Tahoma"/>
          <w:sz w:val="24"/>
          <w:szCs w:val="24"/>
        </w:rPr>
        <w:t>” category,</w:t>
      </w:r>
      <w:r w:rsidR="00410380">
        <w:rPr>
          <w:rFonts w:ascii="Tahoma" w:hAnsi="Tahoma" w:cs="Tahoma"/>
          <w:sz w:val="24"/>
          <w:szCs w:val="24"/>
        </w:rPr>
        <w:t xml:space="preserve"> the next issue to be decided is</w:t>
      </w:r>
      <w:r w:rsidR="00057C28">
        <w:rPr>
          <w:rFonts w:ascii="Tahoma" w:hAnsi="Tahoma" w:cs="Tahoma"/>
          <w:sz w:val="24"/>
          <w:szCs w:val="24"/>
        </w:rPr>
        <w:t xml:space="preserve"> whether a party to the disputes</w:t>
      </w:r>
      <w:r w:rsidR="00410380">
        <w:rPr>
          <w:rFonts w:ascii="Tahoma" w:hAnsi="Tahoma" w:cs="Tahoma"/>
          <w:sz w:val="24"/>
          <w:szCs w:val="24"/>
        </w:rPr>
        <w:t xml:space="preserve"> is capable of appealing against the ruling.  This was answered by the Learned Chie</w:t>
      </w:r>
      <w:r w:rsidR="00862773">
        <w:rPr>
          <w:rFonts w:ascii="Tahoma" w:hAnsi="Tahoma" w:cs="Tahoma"/>
          <w:sz w:val="24"/>
          <w:szCs w:val="24"/>
        </w:rPr>
        <w:t>f Justice in the ISOQUANT CASE supra.  At page 22 of the cyclostyled</w:t>
      </w:r>
      <w:r w:rsidR="00410380">
        <w:rPr>
          <w:rFonts w:ascii="Tahoma" w:hAnsi="Tahoma" w:cs="Tahoma"/>
          <w:sz w:val="24"/>
          <w:szCs w:val="24"/>
        </w:rPr>
        <w:t xml:space="preserve"> judgment, he had this to say:</w:t>
      </w:r>
    </w:p>
    <w:p w:rsidR="00410380" w:rsidRPr="00FE1253" w:rsidRDefault="00410380" w:rsidP="00D54100">
      <w:pPr>
        <w:spacing w:line="360" w:lineRule="auto"/>
        <w:jc w:val="both"/>
        <w:rPr>
          <w:rFonts w:ascii="Tahoma" w:hAnsi="Tahoma" w:cs="Tahoma"/>
        </w:rPr>
      </w:pPr>
    </w:p>
    <w:p w:rsidR="00410380" w:rsidRDefault="00410380" w:rsidP="00FE1253">
      <w:pPr>
        <w:spacing w:line="360" w:lineRule="auto"/>
        <w:ind w:left="720"/>
        <w:jc w:val="both"/>
        <w:rPr>
          <w:rFonts w:ascii="Tahoma" w:hAnsi="Tahoma" w:cs="Tahoma"/>
        </w:rPr>
      </w:pPr>
      <w:r w:rsidRPr="00FE1253">
        <w:rPr>
          <w:rFonts w:ascii="Tahoma" w:hAnsi="Tahoma" w:cs="Tahoma"/>
        </w:rPr>
        <w:t>“At this stage, the Labour off</w:t>
      </w:r>
      <w:r w:rsidR="00862773">
        <w:rPr>
          <w:rFonts w:ascii="Tahoma" w:hAnsi="Tahoma" w:cs="Tahoma"/>
        </w:rPr>
        <w:t xml:space="preserve">icer (read designated agent) directs </w:t>
      </w:r>
      <w:r w:rsidRPr="00FE1253">
        <w:rPr>
          <w:rFonts w:ascii="Tahoma" w:hAnsi="Tahoma" w:cs="Tahoma"/>
        </w:rPr>
        <w:t>that the employer or anyone who is found guilty of an unfair labour practice must cease or recti</w:t>
      </w:r>
      <w:r w:rsidR="00C74584" w:rsidRPr="00FE1253">
        <w:rPr>
          <w:rFonts w:ascii="Tahoma" w:hAnsi="Tahoma" w:cs="Tahoma"/>
        </w:rPr>
        <w:t xml:space="preserve">fy the </w:t>
      </w:r>
      <w:r w:rsidR="00B167E5" w:rsidRPr="00FE1253">
        <w:rPr>
          <w:rFonts w:ascii="Tahoma" w:hAnsi="Tahoma" w:cs="Tahoma"/>
        </w:rPr>
        <w:t>infringement</w:t>
      </w:r>
      <w:r w:rsidR="00C74584" w:rsidRPr="00FE1253">
        <w:rPr>
          <w:rFonts w:ascii="Tahoma" w:hAnsi="Tahoma" w:cs="Tahoma"/>
        </w:rPr>
        <w:t xml:space="preserve"> by paying a certain amount of money.  The ruling has no legal force at this stage.  An employee cannot enforce a “draft ruling”.  </w:t>
      </w:r>
      <w:r w:rsidR="00C74584" w:rsidRPr="00FE1253">
        <w:rPr>
          <w:rFonts w:ascii="Tahoma" w:hAnsi="Tahoma" w:cs="Tahoma"/>
          <w:u w:val="single"/>
        </w:rPr>
        <w:t>Both the employer and the employee cannot seek a review or appeal against the ruling</w:t>
      </w:r>
      <w:r w:rsidR="00862773">
        <w:rPr>
          <w:rFonts w:ascii="Tahoma" w:hAnsi="Tahoma" w:cs="Tahoma"/>
          <w:u w:val="single"/>
        </w:rPr>
        <w:t xml:space="preserve"> at this stage since it will</w:t>
      </w:r>
      <w:r w:rsidR="00C74584" w:rsidRPr="00FE1253">
        <w:rPr>
          <w:rFonts w:ascii="Tahoma" w:hAnsi="Tahoma" w:cs="Tahoma"/>
          <w:u w:val="single"/>
        </w:rPr>
        <w:t xml:space="preserve"> be a </w:t>
      </w:r>
      <w:r w:rsidR="00B167E5" w:rsidRPr="00FE1253">
        <w:rPr>
          <w:rFonts w:ascii="Tahoma" w:hAnsi="Tahoma" w:cs="Tahoma"/>
          <w:u w:val="single"/>
        </w:rPr>
        <w:t>‘draft’</w:t>
      </w:r>
      <w:r w:rsidR="00B167E5" w:rsidRPr="00FE1253">
        <w:rPr>
          <w:rFonts w:ascii="Tahoma" w:hAnsi="Tahoma" w:cs="Tahoma"/>
        </w:rPr>
        <w:t>.</w:t>
      </w:r>
      <w:r w:rsidR="00C74584" w:rsidRPr="00FE1253">
        <w:rPr>
          <w:rFonts w:ascii="Tahoma" w:hAnsi="Tahoma" w:cs="Tahoma"/>
        </w:rPr>
        <w:t xml:space="preserve">  It is a suspended ruling, which must not be taken as a direction that </w:t>
      </w:r>
      <w:r w:rsidR="00862773">
        <w:rPr>
          <w:rFonts w:ascii="Tahoma" w:hAnsi="Tahoma" w:cs="Tahoma"/>
        </w:rPr>
        <w:t>the money be paid there and then</w:t>
      </w:r>
      <w:r w:rsidR="00C74584" w:rsidRPr="00FE1253">
        <w:rPr>
          <w:rFonts w:ascii="Tahoma" w:hAnsi="Tahoma" w:cs="Tahoma"/>
        </w:rPr>
        <w:t xml:space="preserve">.  It is an </w:t>
      </w:r>
      <w:r w:rsidR="00856D7F" w:rsidRPr="00FE1253">
        <w:rPr>
          <w:rFonts w:ascii="Tahoma" w:hAnsi="Tahoma" w:cs="Tahoma"/>
        </w:rPr>
        <w:t>interlocutory ruling in abeyance and not a final ruling.  It is a ruling that is made pen</w:t>
      </w:r>
      <w:r w:rsidR="00862773">
        <w:rPr>
          <w:rFonts w:ascii="Tahoma" w:hAnsi="Tahoma" w:cs="Tahoma"/>
        </w:rPr>
        <w:t xml:space="preserve">ding the decision of the court </w:t>
      </w:r>
      <w:r w:rsidR="00862773" w:rsidRPr="00862773">
        <w:rPr>
          <w:rFonts w:ascii="Tahoma" w:hAnsi="Tahoma" w:cs="Tahoma"/>
          <w:u w:val="single"/>
        </w:rPr>
        <w:t>aquo</w:t>
      </w:r>
      <w:r w:rsidR="00856D7F" w:rsidRPr="00FE1253">
        <w:rPr>
          <w:rFonts w:ascii="Tahoma" w:hAnsi="Tahoma" w:cs="Tahoma"/>
        </w:rPr>
        <w:t>, which may subsequently give final legal effect to the ‘draft ruling’  “</w:t>
      </w:r>
    </w:p>
    <w:p w:rsidR="00856D7F" w:rsidRDefault="00856D7F" w:rsidP="00D54100">
      <w:pPr>
        <w:spacing w:line="360" w:lineRule="auto"/>
        <w:jc w:val="both"/>
        <w:rPr>
          <w:rFonts w:ascii="Tahoma" w:hAnsi="Tahoma" w:cs="Tahoma"/>
          <w:sz w:val="24"/>
          <w:szCs w:val="24"/>
        </w:rPr>
      </w:pPr>
    </w:p>
    <w:p w:rsidR="00862773" w:rsidRDefault="00121904" w:rsidP="00862773">
      <w:pPr>
        <w:spacing w:line="360" w:lineRule="auto"/>
        <w:ind w:firstLine="720"/>
        <w:jc w:val="both"/>
        <w:rPr>
          <w:rFonts w:ascii="Tahoma" w:hAnsi="Tahoma" w:cs="Tahoma"/>
          <w:sz w:val="24"/>
          <w:szCs w:val="24"/>
        </w:rPr>
      </w:pPr>
      <w:r>
        <w:rPr>
          <w:rFonts w:ascii="Tahoma" w:hAnsi="Tahoma" w:cs="Tahoma"/>
          <w:sz w:val="24"/>
          <w:szCs w:val="24"/>
        </w:rPr>
        <w:t>Elsewhere in this judgment I made a finding that the Designated Agent issued a certificate of no settlement when conciliation proceedings failed to settle the dispute between the parties.  I also referred to the fact th</w:t>
      </w:r>
      <w:r w:rsidR="00862773">
        <w:rPr>
          <w:rFonts w:ascii="Tahoma" w:hAnsi="Tahoma" w:cs="Tahoma"/>
          <w:sz w:val="24"/>
          <w:szCs w:val="24"/>
        </w:rPr>
        <w:t>at this was in compliance with s</w:t>
      </w:r>
      <w:r>
        <w:rPr>
          <w:rFonts w:ascii="Tahoma" w:hAnsi="Tahoma" w:cs="Tahoma"/>
          <w:sz w:val="24"/>
          <w:szCs w:val="24"/>
        </w:rPr>
        <w:t xml:space="preserve">93 (3) of the Act.  I also indicated that the procedure utilised by the </w:t>
      </w:r>
    </w:p>
    <w:p w:rsidR="00862773" w:rsidRDefault="00862773" w:rsidP="00862773">
      <w:pPr>
        <w:spacing w:line="360" w:lineRule="auto"/>
        <w:jc w:val="both"/>
        <w:rPr>
          <w:rFonts w:ascii="Tahoma" w:hAnsi="Tahoma" w:cs="Tahoma"/>
          <w:sz w:val="24"/>
          <w:szCs w:val="24"/>
        </w:rPr>
      </w:pPr>
    </w:p>
    <w:p w:rsidR="00862773" w:rsidRDefault="00121904" w:rsidP="00862773">
      <w:pPr>
        <w:spacing w:line="360" w:lineRule="auto"/>
        <w:jc w:val="both"/>
        <w:rPr>
          <w:rFonts w:ascii="Tahoma" w:hAnsi="Tahoma" w:cs="Tahoma"/>
          <w:sz w:val="24"/>
          <w:szCs w:val="24"/>
        </w:rPr>
      </w:pPr>
      <w:r>
        <w:rPr>
          <w:rFonts w:ascii="Tahoma" w:hAnsi="Tahoma" w:cs="Tahoma"/>
          <w:sz w:val="24"/>
          <w:szCs w:val="24"/>
        </w:rPr>
        <w:lastRenderedPageBreak/>
        <w:t xml:space="preserve">Designated Agent was that </w:t>
      </w:r>
      <w:r w:rsidR="00862773">
        <w:rPr>
          <w:rFonts w:ascii="Tahoma" w:hAnsi="Tahoma" w:cs="Tahoma"/>
          <w:sz w:val="24"/>
          <w:szCs w:val="24"/>
        </w:rPr>
        <w:t>prescribed in s</w:t>
      </w:r>
      <w:r w:rsidR="00136187">
        <w:rPr>
          <w:rFonts w:ascii="Tahoma" w:hAnsi="Tahoma" w:cs="Tahoma"/>
          <w:sz w:val="24"/>
          <w:szCs w:val="24"/>
        </w:rPr>
        <w:t xml:space="preserve">93 of the Act.  This shows that the ruling made by the Designated Agent had all the marks of a “draft ruling”.  </w:t>
      </w:r>
      <w:proofErr w:type="gramStart"/>
      <w:r w:rsidR="00136187">
        <w:rPr>
          <w:rFonts w:ascii="Tahoma" w:hAnsi="Tahoma" w:cs="Tahoma"/>
          <w:sz w:val="24"/>
          <w:szCs w:val="24"/>
        </w:rPr>
        <w:t>l</w:t>
      </w:r>
      <w:proofErr w:type="gramEnd"/>
      <w:r w:rsidR="00136187">
        <w:rPr>
          <w:rFonts w:ascii="Tahoma" w:hAnsi="Tahoma" w:cs="Tahoma"/>
          <w:sz w:val="24"/>
          <w:szCs w:val="24"/>
        </w:rPr>
        <w:t xml:space="preserve"> have referred to precedent which shows that </w:t>
      </w:r>
      <w:r w:rsidR="004E7EA7">
        <w:rPr>
          <w:rFonts w:ascii="Tahoma" w:hAnsi="Tahoma" w:cs="Tahoma"/>
          <w:sz w:val="24"/>
          <w:szCs w:val="24"/>
        </w:rPr>
        <w:t>a party cannot seek review of or appeal against a ‘draft ruling’.</w:t>
      </w:r>
      <w:r w:rsidR="00862773">
        <w:rPr>
          <w:rFonts w:ascii="Tahoma" w:hAnsi="Tahoma" w:cs="Tahoma"/>
          <w:sz w:val="24"/>
          <w:szCs w:val="24"/>
        </w:rPr>
        <w:t xml:space="preserve">  </w:t>
      </w:r>
    </w:p>
    <w:p w:rsidR="004E7EA7" w:rsidRDefault="004E7EA7" w:rsidP="00862773">
      <w:pPr>
        <w:spacing w:line="360" w:lineRule="auto"/>
        <w:ind w:firstLine="720"/>
        <w:jc w:val="both"/>
        <w:rPr>
          <w:rFonts w:ascii="Tahoma" w:hAnsi="Tahoma" w:cs="Tahoma"/>
          <w:sz w:val="24"/>
          <w:szCs w:val="24"/>
        </w:rPr>
      </w:pPr>
      <w:r>
        <w:rPr>
          <w:rFonts w:ascii="Tahoma" w:hAnsi="Tahoma" w:cs="Tahoma"/>
          <w:sz w:val="24"/>
          <w:szCs w:val="24"/>
        </w:rPr>
        <w:t xml:space="preserve">In the result, the point </w:t>
      </w:r>
      <w:r w:rsidRPr="004E7EA7">
        <w:rPr>
          <w:rFonts w:ascii="Tahoma" w:hAnsi="Tahoma" w:cs="Tahoma"/>
          <w:i/>
          <w:sz w:val="24"/>
          <w:szCs w:val="24"/>
        </w:rPr>
        <w:t xml:space="preserve">in </w:t>
      </w:r>
      <w:r w:rsidR="00B167E5" w:rsidRPr="004E7EA7">
        <w:rPr>
          <w:rFonts w:ascii="Tahoma" w:hAnsi="Tahoma" w:cs="Tahoma"/>
          <w:i/>
          <w:sz w:val="24"/>
          <w:szCs w:val="24"/>
        </w:rPr>
        <w:t>limine</w:t>
      </w:r>
      <w:r w:rsidR="00B167E5">
        <w:rPr>
          <w:rFonts w:ascii="Tahoma" w:hAnsi="Tahoma" w:cs="Tahoma"/>
          <w:i/>
          <w:sz w:val="24"/>
          <w:szCs w:val="24"/>
        </w:rPr>
        <w:t xml:space="preserve"> </w:t>
      </w:r>
      <w:r w:rsidR="00B167E5">
        <w:rPr>
          <w:rFonts w:ascii="Tahoma" w:hAnsi="Tahoma" w:cs="Tahoma"/>
          <w:sz w:val="24"/>
          <w:szCs w:val="24"/>
        </w:rPr>
        <w:t>raised</w:t>
      </w:r>
      <w:r>
        <w:rPr>
          <w:rFonts w:ascii="Tahoma" w:hAnsi="Tahoma" w:cs="Tahoma"/>
          <w:sz w:val="24"/>
          <w:szCs w:val="24"/>
        </w:rPr>
        <w:t xml:space="preserve"> by the respondent ought to be upheld.</w:t>
      </w:r>
    </w:p>
    <w:p w:rsidR="00862773" w:rsidRDefault="00862773" w:rsidP="00862773">
      <w:pPr>
        <w:spacing w:line="360" w:lineRule="auto"/>
        <w:ind w:firstLine="720"/>
        <w:jc w:val="both"/>
        <w:rPr>
          <w:rFonts w:ascii="Tahoma" w:hAnsi="Tahoma" w:cs="Tahoma"/>
          <w:sz w:val="24"/>
          <w:szCs w:val="24"/>
        </w:rPr>
      </w:pPr>
    </w:p>
    <w:p w:rsidR="004E7EA7" w:rsidRDefault="004E7EA7" w:rsidP="00D54100">
      <w:pPr>
        <w:spacing w:line="360" w:lineRule="auto"/>
        <w:jc w:val="both"/>
        <w:rPr>
          <w:rFonts w:ascii="Tahoma" w:hAnsi="Tahoma" w:cs="Tahoma"/>
          <w:sz w:val="24"/>
          <w:szCs w:val="24"/>
        </w:rPr>
      </w:pPr>
      <w:r>
        <w:rPr>
          <w:rFonts w:ascii="Tahoma" w:hAnsi="Tahoma" w:cs="Tahoma"/>
          <w:sz w:val="24"/>
          <w:szCs w:val="24"/>
        </w:rPr>
        <w:t>The Court makes the following order:</w:t>
      </w:r>
    </w:p>
    <w:p w:rsidR="004E7EA7" w:rsidRDefault="004E7EA7" w:rsidP="004E7EA7">
      <w:pPr>
        <w:pStyle w:val="ListParagraph"/>
        <w:numPr>
          <w:ilvl w:val="0"/>
          <w:numId w:val="18"/>
        </w:numPr>
        <w:spacing w:line="360" w:lineRule="auto"/>
        <w:jc w:val="both"/>
        <w:rPr>
          <w:rFonts w:ascii="Tahoma" w:hAnsi="Tahoma" w:cs="Tahoma"/>
          <w:sz w:val="24"/>
          <w:szCs w:val="24"/>
        </w:rPr>
      </w:pPr>
      <w:r>
        <w:rPr>
          <w:rFonts w:ascii="Tahoma" w:hAnsi="Tahoma" w:cs="Tahoma"/>
          <w:sz w:val="24"/>
          <w:szCs w:val="24"/>
        </w:rPr>
        <w:t xml:space="preserve">The point </w:t>
      </w:r>
      <w:r w:rsidRPr="00B167E5">
        <w:rPr>
          <w:rFonts w:ascii="Tahoma" w:hAnsi="Tahoma" w:cs="Tahoma"/>
          <w:i/>
          <w:sz w:val="24"/>
          <w:szCs w:val="24"/>
        </w:rPr>
        <w:t xml:space="preserve">in </w:t>
      </w:r>
      <w:r w:rsidR="00B167E5" w:rsidRPr="00B167E5">
        <w:rPr>
          <w:rFonts w:ascii="Tahoma" w:hAnsi="Tahoma" w:cs="Tahoma"/>
          <w:i/>
          <w:sz w:val="24"/>
          <w:szCs w:val="24"/>
        </w:rPr>
        <w:t>limine</w:t>
      </w:r>
      <w:r w:rsidR="00B167E5">
        <w:rPr>
          <w:rFonts w:ascii="Tahoma" w:hAnsi="Tahoma" w:cs="Tahoma"/>
          <w:sz w:val="24"/>
          <w:szCs w:val="24"/>
        </w:rPr>
        <w:t>,</w:t>
      </w:r>
      <w:r>
        <w:rPr>
          <w:rFonts w:ascii="Tahoma" w:hAnsi="Tahoma" w:cs="Tahoma"/>
          <w:sz w:val="24"/>
          <w:szCs w:val="24"/>
        </w:rPr>
        <w:t xml:space="preserve"> being with merit, be and is hereby upheld.</w:t>
      </w:r>
    </w:p>
    <w:p w:rsidR="004E7EA7" w:rsidRDefault="00B167E5" w:rsidP="004E7EA7">
      <w:pPr>
        <w:pStyle w:val="ListParagraph"/>
        <w:numPr>
          <w:ilvl w:val="0"/>
          <w:numId w:val="18"/>
        </w:numPr>
        <w:spacing w:line="360" w:lineRule="auto"/>
        <w:jc w:val="both"/>
        <w:rPr>
          <w:rFonts w:ascii="Tahoma" w:hAnsi="Tahoma" w:cs="Tahoma"/>
          <w:sz w:val="24"/>
          <w:szCs w:val="24"/>
        </w:rPr>
      </w:pPr>
      <w:r>
        <w:rPr>
          <w:rFonts w:ascii="Tahoma" w:hAnsi="Tahoma" w:cs="Tahoma"/>
          <w:sz w:val="24"/>
          <w:szCs w:val="24"/>
        </w:rPr>
        <w:t>The appeal be and is hereby struck off the roll as it is improperly before the Court.</w:t>
      </w:r>
    </w:p>
    <w:p w:rsidR="00B167E5" w:rsidRDefault="00B167E5" w:rsidP="004E7EA7">
      <w:pPr>
        <w:pStyle w:val="ListParagraph"/>
        <w:numPr>
          <w:ilvl w:val="0"/>
          <w:numId w:val="18"/>
        </w:numPr>
        <w:spacing w:line="360" w:lineRule="auto"/>
        <w:jc w:val="both"/>
        <w:rPr>
          <w:rFonts w:ascii="Tahoma" w:hAnsi="Tahoma" w:cs="Tahoma"/>
          <w:sz w:val="24"/>
          <w:szCs w:val="24"/>
        </w:rPr>
      </w:pPr>
      <w:r>
        <w:rPr>
          <w:rFonts w:ascii="Tahoma" w:hAnsi="Tahoma" w:cs="Tahoma"/>
          <w:sz w:val="24"/>
          <w:szCs w:val="24"/>
        </w:rPr>
        <w:t>Each party to meet its own costs.</w:t>
      </w:r>
    </w:p>
    <w:p w:rsidR="00B167E5" w:rsidRDefault="00B167E5" w:rsidP="00B167E5">
      <w:pPr>
        <w:spacing w:line="360" w:lineRule="auto"/>
        <w:jc w:val="both"/>
        <w:rPr>
          <w:rFonts w:ascii="Tahoma" w:hAnsi="Tahoma" w:cs="Tahoma"/>
          <w:sz w:val="24"/>
          <w:szCs w:val="24"/>
        </w:rPr>
      </w:pPr>
    </w:p>
    <w:p w:rsidR="00B167E5" w:rsidRDefault="00B167E5" w:rsidP="00B167E5">
      <w:pPr>
        <w:spacing w:line="360" w:lineRule="auto"/>
        <w:jc w:val="both"/>
        <w:rPr>
          <w:rFonts w:ascii="Tahoma" w:hAnsi="Tahoma" w:cs="Tahoma"/>
          <w:sz w:val="24"/>
          <w:szCs w:val="24"/>
        </w:rPr>
      </w:pPr>
    </w:p>
    <w:p w:rsidR="00B167E5" w:rsidRPr="00B167E5" w:rsidRDefault="00B167E5" w:rsidP="00B167E5">
      <w:pPr>
        <w:spacing w:line="360" w:lineRule="auto"/>
        <w:jc w:val="both"/>
        <w:rPr>
          <w:rFonts w:ascii="Tahoma" w:hAnsi="Tahoma" w:cs="Tahoma"/>
          <w:b/>
          <w:i/>
          <w:sz w:val="24"/>
          <w:szCs w:val="24"/>
        </w:rPr>
      </w:pPr>
      <w:r w:rsidRPr="00B167E5">
        <w:rPr>
          <w:rFonts w:ascii="Tahoma" w:hAnsi="Tahoma" w:cs="Tahoma"/>
          <w:b/>
          <w:i/>
          <w:sz w:val="24"/>
          <w:szCs w:val="24"/>
        </w:rPr>
        <w:t xml:space="preserve">COGLAN, WELSH AND GUEST     -      Respondent’s Legal Practitioners </w:t>
      </w:r>
    </w:p>
    <w:p w:rsidR="00A51E0D" w:rsidRDefault="00A51E0D" w:rsidP="00D54100">
      <w:pPr>
        <w:spacing w:line="360" w:lineRule="auto"/>
        <w:jc w:val="both"/>
        <w:rPr>
          <w:rFonts w:ascii="Tahoma" w:hAnsi="Tahoma" w:cs="Tahoma"/>
          <w:sz w:val="24"/>
          <w:szCs w:val="24"/>
        </w:rPr>
      </w:pPr>
    </w:p>
    <w:p w:rsidR="00810E4B" w:rsidRDefault="00810E4B" w:rsidP="00D54100">
      <w:pPr>
        <w:spacing w:line="360" w:lineRule="auto"/>
        <w:jc w:val="both"/>
        <w:rPr>
          <w:rFonts w:ascii="Tahoma" w:hAnsi="Tahoma" w:cs="Tahoma"/>
          <w:sz w:val="24"/>
          <w:szCs w:val="24"/>
        </w:rPr>
      </w:pPr>
    </w:p>
    <w:p w:rsidR="0007060D" w:rsidRPr="0007060D" w:rsidRDefault="00B54A2D" w:rsidP="00D54100">
      <w:pPr>
        <w:spacing w:line="360" w:lineRule="auto"/>
        <w:jc w:val="both"/>
        <w:rPr>
          <w:rFonts w:ascii="Tahoma" w:hAnsi="Tahoma" w:cs="Tahoma"/>
          <w:sz w:val="24"/>
          <w:szCs w:val="24"/>
        </w:rPr>
      </w:pPr>
      <w:r>
        <w:rPr>
          <w:rFonts w:ascii="Tahoma" w:hAnsi="Tahoma" w:cs="Tahoma"/>
          <w:sz w:val="24"/>
          <w:szCs w:val="24"/>
        </w:rPr>
        <w:t xml:space="preserve">  </w:t>
      </w:r>
    </w:p>
    <w:p w:rsidR="0086798D" w:rsidRDefault="0086798D" w:rsidP="00D54100">
      <w:pPr>
        <w:spacing w:line="360" w:lineRule="auto"/>
        <w:jc w:val="both"/>
        <w:rPr>
          <w:rFonts w:ascii="Tahoma" w:hAnsi="Tahoma" w:cs="Tahoma"/>
          <w:sz w:val="24"/>
          <w:szCs w:val="24"/>
        </w:rPr>
      </w:pPr>
    </w:p>
    <w:p w:rsidR="00774A26" w:rsidRDefault="00774A26" w:rsidP="007B10CA">
      <w:pPr>
        <w:spacing w:line="360" w:lineRule="auto"/>
        <w:ind w:firstLine="720"/>
        <w:jc w:val="both"/>
        <w:rPr>
          <w:rFonts w:ascii="Tahoma" w:hAnsi="Tahoma" w:cs="Tahoma"/>
          <w:sz w:val="24"/>
          <w:szCs w:val="24"/>
        </w:rPr>
      </w:pPr>
    </w:p>
    <w:p w:rsidR="00774A26" w:rsidRDefault="00774A26" w:rsidP="007B10CA">
      <w:pPr>
        <w:spacing w:line="360" w:lineRule="auto"/>
        <w:ind w:firstLine="720"/>
        <w:jc w:val="both"/>
        <w:rPr>
          <w:rFonts w:ascii="Tahoma" w:hAnsi="Tahoma" w:cs="Tahoma"/>
          <w:sz w:val="24"/>
          <w:szCs w:val="24"/>
        </w:rPr>
      </w:pPr>
    </w:p>
    <w:p w:rsidR="004F4E35" w:rsidRDefault="004F4E35" w:rsidP="00D54100">
      <w:pPr>
        <w:spacing w:line="360" w:lineRule="auto"/>
        <w:jc w:val="both"/>
        <w:rPr>
          <w:rFonts w:ascii="Tahoma" w:hAnsi="Tahoma" w:cs="Tahoma"/>
          <w:sz w:val="24"/>
          <w:szCs w:val="24"/>
        </w:rPr>
      </w:pPr>
    </w:p>
    <w:p w:rsidR="00774A26" w:rsidRDefault="00774A26" w:rsidP="0083088D">
      <w:pPr>
        <w:spacing w:line="360" w:lineRule="auto"/>
        <w:ind w:firstLine="720"/>
        <w:jc w:val="both"/>
        <w:rPr>
          <w:rFonts w:ascii="Tahoma" w:hAnsi="Tahoma" w:cs="Tahoma"/>
          <w:sz w:val="24"/>
          <w:szCs w:val="24"/>
        </w:rPr>
      </w:pPr>
    </w:p>
    <w:p w:rsidR="003747E0" w:rsidRPr="00774A26" w:rsidRDefault="003747E0">
      <w:pPr>
        <w:spacing w:line="360" w:lineRule="auto"/>
        <w:jc w:val="both"/>
        <w:rPr>
          <w:rFonts w:ascii="Tahoma" w:hAnsi="Tahoma" w:cs="Tahoma"/>
          <w:b/>
          <w:i/>
          <w:sz w:val="24"/>
          <w:szCs w:val="24"/>
        </w:rPr>
      </w:pPr>
    </w:p>
    <w:sectPr w:rsidR="003747E0" w:rsidRPr="00774A26" w:rsidSect="00781B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3E" w:rsidRDefault="0049493E" w:rsidP="00021CE8">
      <w:pPr>
        <w:spacing w:after="0" w:line="240" w:lineRule="auto"/>
      </w:pPr>
      <w:r>
        <w:separator/>
      </w:r>
    </w:p>
  </w:endnote>
  <w:endnote w:type="continuationSeparator" w:id="0">
    <w:p w:rsidR="0049493E" w:rsidRDefault="0049493E" w:rsidP="0002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9" w:rsidRDefault="00DC0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9" w:rsidRDefault="00DC0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9" w:rsidRDefault="00DC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3E" w:rsidRDefault="0049493E" w:rsidP="00021CE8">
      <w:pPr>
        <w:spacing w:after="0" w:line="240" w:lineRule="auto"/>
      </w:pPr>
      <w:r>
        <w:separator/>
      </w:r>
    </w:p>
  </w:footnote>
  <w:footnote w:type="continuationSeparator" w:id="0">
    <w:p w:rsidR="0049493E" w:rsidRDefault="0049493E" w:rsidP="0002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9" w:rsidRDefault="00DC0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56493"/>
      <w:docPartObj>
        <w:docPartGallery w:val="Page Numbers (Top of Page)"/>
        <w:docPartUnique/>
      </w:docPartObj>
    </w:sdtPr>
    <w:sdtEndPr>
      <w:rPr>
        <w:noProof/>
      </w:rPr>
    </w:sdtEndPr>
    <w:sdtContent>
      <w:p w:rsidR="00781B70" w:rsidRDefault="00781B70">
        <w:pPr>
          <w:pStyle w:val="Header"/>
          <w:jc w:val="right"/>
        </w:pPr>
      </w:p>
      <w:p w:rsidR="00781B70" w:rsidRDefault="00781B70">
        <w:pPr>
          <w:pStyle w:val="Header"/>
          <w:jc w:val="right"/>
          <w:rPr>
            <w:noProof/>
          </w:rPr>
        </w:pPr>
        <w:r>
          <w:fldChar w:fldCharType="begin"/>
        </w:r>
        <w:r>
          <w:instrText xml:space="preserve"> PAGE   \* MERGEFORMAT </w:instrText>
        </w:r>
        <w:r>
          <w:fldChar w:fldCharType="separate"/>
        </w:r>
        <w:r w:rsidR="00DC0609">
          <w:rPr>
            <w:noProof/>
          </w:rPr>
          <w:t>2</w:t>
        </w:r>
        <w:r>
          <w:rPr>
            <w:noProof/>
          </w:rPr>
          <w:fldChar w:fldCharType="end"/>
        </w:r>
      </w:p>
      <w:p w:rsidR="000E30D6" w:rsidRDefault="00774A26">
        <w:pPr>
          <w:pStyle w:val="Header"/>
          <w:jc w:val="right"/>
          <w:rPr>
            <w:noProof/>
          </w:rPr>
        </w:pPr>
        <w:r>
          <w:rPr>
            <w:noProof/>
          </w:rPr>
          <w:t xml:space="preserve">JUDGEMENT NO </w:t>
        </w:r>
        <w:r w:rsidR="00DC0609">
          <w:rPr>
            <w:noProof/>
          </w:rPr>
          <w:t>LC/H/170</w:t>
        </w:r>
        <w:bookmarkStart w:id="0" w:name="_GoBack"/>
        <w:bookmarkEnd w:id="0"/>
        <w:r w:rsidR="00781B70">
          <w:rPr>
            <w:noProof/>
          </w:rPr>
          <w:t>/2020</w:t>
        </w:r>
      </w:p>
      <w:p w:rsidR="00781B70" w:rsidRDefault="00FE1253">
        <w:pPr>
          <w:pStyle w:val="Header"/>
          <w:jc w:val="right"/>
        </w:pPr>
        <w:r>
          <w:rPr>
            <w:noProof/>
          </w:rPr>
          <w:t>CASE NO LC/H/188</w:t>
        </w:r>
        <w:r w:rsidR="000E30D6">
          <w:rPr>
            <w:noProof/>
          </w:rPr>
          <w:t>/19</w:t>
        </w:r>
      </w:p>
    </w:sdtContent>
  </w:sdt>
  <w:p w:rsidR="00021CE8" w:rsidRPr="00021CE8" w:rsidRDefault="00021CE8">
    <w:pPr>
      <w:pStyle w:val="Header"/>
      <w:rPr>
        <w:rFonts w:ascii="Tahoma" w:hAnsi="Tahoma" w:cs="Tahom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09" w:rsidRDefault="00DC0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CDB"/>
    <w:multiLevelType w:val="hybridMultilevel"/>
    <w:tmpl w:val="B16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C6630"/>
    <w:multiLevelType w:val="hybridMultilevel"/>
    <w:tmpl w:val="79F0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2413"/>
    <w:multiLevelType w:val="hybridMultilevel"/>
    <w:tmpl w:val="534860A8"/>
    <w:lvl w:ilvl="0" w:tplc="3009000F">
      <w:start w:val="1"/>
      <w:numFmt w:val="decimal"/>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3">
    <w:nsid w:val="17A12E26"/>
    <w:multiLevelType w:val="hybridMultilevel"/>
    <w:tmpl w:val="264C8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987447"/>
    <w:multiLevelType w:val="hybridMultilevel"/>
    <w:tmpl w:val="2FC27BE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02004E"/>
    <w:multiLevelType w:val="hybridMultilevel"/>
    <w:tmpl w:val="1FDE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8022D"/>
    <w:multiLevelType w:val="hybridMultilevel"/>
    <w:tmpl w:val="E2103AFE"/>
    <w:lvl w:ilvl="0" w:tplc="8AC04B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862F1"/>
    <w:multiLevelType w:val="hybridMultilevel"/>
    <w:tmpl w:val="3C98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D08F9"/>
    <w:multiLevelType w:val="hybridMultilevel"/>
    <w:tmpl w:val="AFA6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80025"/>
    <w:multiLevelType w:val="hybridMultilevel"/>
    <w:tmpl w:val="7B54E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E626C90"/>
    <w:multiLevelType w:val="hybridMultilevel"/>
    <w:tmpl w:val="6316BE84"/>
    <w:lvl w:ilvl="0" w:tplc="3DF2B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E7B02"/>
    <w:multiLevelType w:val="hybridMultilevel"/>
    <w:tmpl w:val="6952E57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431F3D96"/>
    <w:multiLevelType w:val="hybridMultilevel"/>
    <w:tmpl w:val="DB0610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496443E1"/>
    <w:multiLevelType w:val="hybridMultilevel"/>
    <w:tmpl w:val="FB905A5A"/>
    <w:lvl w:ilvl="0" w:tplc="29A02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1E6F2C"/>
    <w:multiLevelType w:val="hybridMultilevel"/>
    <w:tmpl w:val="1C46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77FC2"/>
    <w:multiLevelType w:val="hybridMultilevel"/>
    <w:tmpl w:val="03DEB2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D501DB3"/>
    <w:multiLevelType w:val="hybridMultilevel"/>
    <w:tmpl w:val="B772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75CED"/>
    <w:multiLevelType w:val="hybridMultilevel"/>
    <w:tmpl w:val="B44A1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12"/>
  </w:num>
  <w:num w:numId="5">
    <w:abstractNumId w:val="4"/>
  </w:num>
  <w:num w:numId="6">
    <w:abstractNumId w:val="15"/>
  </w:num>
  <w:num w:numId="7">
    <w:abstractNumId w:val="9"/>
  </w:num>
  <w:num w:numId="8">
    <w:abstractNumId w:val="10"/>
  </w:num>
  <w:num w:numId="9">
    <w:abstractNumId w:val="16"/>
  </w:num>
  <w:num w:numId="10">
    <w:abstractNumId w:val="0"/>
  </w:num>
  <w:num w:numId="11">
    <w:abstractNumId w:val="1"/>
  </w:num>
  <w:num w:numId="12">
    <w:abstractNumId w:val="3"/>
  </w:num>
  <w:num w:numId="13">
    <w:abstractNumId w:val="5"/>
  </w:num>
  <w:num w:numId="14">
    <w:abstractNumId w:val="6"/>
  </w:num>
  <w:num w:numId="15">
    <w:abstractNumId w:val="8"/>
  </w:num>
  <w:num w:numId="16">
    <w:abstractNumId w:val="13"/>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38"/>
    <w:rsid w:val="00004878"/>
    <w:rsid w:val="000200FC"/>
    <w:rsid w:val="00021CE8"/>
    <w:rsid w:val="0002612E"/>
    <w:rsid w:val="00027EEA"/>
    <w:rsid w:val="00030142"/>
    <w:rsid w:val="00031642"/>
    <w:rsid w:val="000343E5"/>
    <w:rsid w:val="000351EB"/>
    <w:rsid w:val="00037469"/>
    <w:rsid w:val="0004345B"/>
    <w:rsid w:val="00051CB2"/>
    <w:rsid w:val="00053594"/>
    <w:rsid w:val="00057C28"/>
    <w:rsid w:val="0007060D"/>
    <w:rsid w:val="00095860"/>
    <w:rsid w:val="000A122C"/>
    <w:rsid w:val="000A2215"/>
    <w:rsid w:val="000A7DF3"/>
    <w:rsid w:val="000D7766"/>
    <w:rsid w:val="000E30D6"/>
    <w:rsid w:val="000E5DAD"/>
    <w:rsid w:val="0010146E"/>
    <w:rsid w:val="00121904"/>
    <w:rsid w:val="00136187"/>
    <w:rsid w:val="001404B1"/>
    <w:rsid w:val="0014588A"/>
    <w:rsid w:val="00155235"/>
    <w:rsid w:val="00167E2A"/>
    <w:rsid w:val="00174F97"/>
    <w:rsid w:val="001806B1"/>
    <w:rsid w:val="001824C9"/>
    <w:rsid w:val="00187F0D"/>
    <w:rsid w:val="001A75B9"/>
    <w:rsid w:val="001B3270"/>
    <w:rsid w:val="001C19EA"/>
    <w:rsid w:val="001D24D7"/>
    <w:rsid w:val="00213E31"/>
    <w:rsid w:val="0021595C"/>
    <w:rsid w:val="00217D0C"/>
    <w:rsid w:val="00225920"/>
    <w:rsid w:val="00225CF3"/>
    <w:rsid w:val="002273D9"/>
    <w:rsid w:val="00235948"/>
    <w:rsid w:val="002548DD"/>
    <w:rsid w:val="00261FA8"/>
    <w:rsid w:val="00262299"/>
    <w:rsid w:val="00274BE3"/>
    <w:rsid w:val="00276791"/>
    <w:rsid w:val="002807A0"/>
    <w:rsid w:val="002A0AB4"/>
    <w:rsid w:val="002D355B"/>
    <w:rsid w:val="002E56FE"/>
    <w:rsid w:val="002F5030"/>
    <w:rsid w:val="00300737"/>
    <w:rsid w:val="00315A48"/>
    <w:rsid w:val="00331986"/>
    <w:rsid w:val="00337B96"/>
    <w:rsid w:val="00364B56"/>
    <w:rsid w:val="003747E0"/>
    <w:rsid w:val="00380B88"/>
    <w:rsid w:val="003814CA"/>
    <w:rsid w:val="00395DA4"/>
    <w:rsid w:val="003D2B8F"/>
    <w:rsid w:val="003D6A63"/>
    <w:rsid w:val="003D761F"/>
    <w:rsid w:val="003D7ECE"/>
    <w:rsid w:val="003E281E"/>
    <w:rsid w:val="003E5896"/>
    <w:rsid w:val="003F5DB9"/>
    <w:rsid w:val="00400F9C"/>
    <w:rsid w:val="00401022"/>
    <w:rsid w:val="00407AE0"/>
    <w:rsid w:val="00410380"/>
    <w:rsid w:val="004160B0"/>
    <w:rsid w:val="0042149D"/>
    <w:rsid w:val="004509E2"/>
    <w:rsid w:val="004665D6"/>
    <w:rsid w:val="004833FB"/>
    <w:rsid w:val="004926E5"/>
    <w:rsid w:val="0049338F"/>
    <w:rsid w:val="0049493E"/>
    <w:rsid w:val="004A050D"/>
    <w:rsid w:val="004A310A"/>
    <w:rsid w:val="004B1A32"/>
    <w:rsid w:val="004D093B"/>
    <w:rsid w:val="004D0F6E"/>
    <w:rsid w:val="004E7EA7"/>
    <w:rsid w:val="004F2D69"/>
    <w:rsid w:val="004F4E35"/>
    <w:rsid w:val="004F668D"/>
    <w:rsid w:val="005024DF"/>
    <w:rsid w:val="00514C71"/>
    <w:rsid w:val="00544A67"/>
    <w:rsid w:val="005658A8"/>
    <w:rsid w:val="005674D3"/>
    <w:rsid w:val="0058040F"/>
    <w:rsid w:val="00584552"/>
    <w:rsid w:val="005904DD"/>
    <w:rsid w:val="005A1398"/>
    <w:rsid w:val="005A6DBD"/>
    <w:rsid w:val="005B361E"/>
    <w:rsid w:val="005C38E6"/>
    <w:rsid w:val="005E170D"/>
    <w:rsid w:val="005E5188"/>
    <w:rsid w:val="005F13C4"/>
    <w:rsid w:val="005F5FD6"/>
    <w:rsid w:val="00601597"/>
    <w:rsid w:val="00602CB3"/>
    <w:rsid w:val="00613972"/>
    <w:rsid w:val="00632912"/>
    <w:rsid w:val="00633921"/>
    <w:rsid w:val="00635550"/>
    <w:rsid w:val="006371C7"/>
    <w:rsid w:val="006437D7"/>
    <w:rsid w:val="0065230E"/>
    <w:rsid w:val="0066643F"/>
    <w:rsid w:val="00670904"/>
    <w:rsid w:val="00672B26"/>
    <w:rsid w:val="00672C8A"/>
    <w:rsid w:val="00685CC8"/>
    <w:rsid w:val="0069116A"/>
    <w:rsid w:val="006A0F60"/>
    <w:rsid w:val="006B1ABC"/>
    <w:rsid w:val="006C6ECB"/>
    <w:rsid w:val="006D10B1"/>
    <w:rsid w:val="006D115B"/>
    <w:rsid w:val="006D2982"/>
    <w:rsid w:val="006D5680"/>
    <w:rsid w:val="006E3DB1"/>
    <w:rsid w:val="00706E61"/>
    <w:rsid w:val="00707F14"/>
    <w:rsid w:val="00724314"/>
    <w:rsid w:val="00734847"/>
    <w:rsid w:val="00735F69"/>
    <w:rsid w:val="007361B6"/>
    <w:rsid w:val="00741DF1"/>
    <w:rsid w:val="00763DFA"/>
    <w:rsid w:val="00770DE7"/>
    <w:rsid w:val="00774A26"/>
    <w:rsid w:val="007761C4"/>
    <w:rsid w:val="00781B70"/>
    <w:rsid w:val="00793B94"/>
    <w:rsid w:val="007A134F"/>
    <w:rsid w:val="007B10CA"/>
    <w:rsid w:val="007B500F"/>
    <w:rsid w:val="007D3A00"/>
    <w:rsid w:val="007D63C2"/>
    <w:rsid w:val="007E5C7F"/>
    <w:rsid w:val="00810E4B"/>
    <w:rsid w:val="0082099F"/>
    <w:rsid w:val="0082190A"/>
    <w:rsid w:val="00826049"/>
    <w:rsid w:val="0083088D"/>
    <w:rsid w:val="00851A26"/>
    <w:rsid w:val="00852FD1"/>
    <w:rsid w:val="00856D7F"/>
    <w:rsid w:val="00862773"/>
    <w:rsid w:val="0086798D"/>
    <w:rsid w:val="00867EC5"/>
    <w:rsid w:val="00887F51"/>
    <w:rsid w:val="008A064C"/>
    <w:rsid w:val="008A16C8"/>
    <w:rsid w:val="008B6D8E"/>
    <w:rsid w:val="008C5E80"/>
    <w:rsid w:val="008D5454"/>
    <w:rsid w:val="008F1465"/>
    <w:rsid w:val="008F20FF"/>
    <w:rsid w:val="00901638"/>
    <w:rsid w:val="00902390"/>
    <w:rsid w:val="00910474"/>
    <w:rsid w:val="00910673"/>
    <w:rsid w:val="00943AB7"/>
    <w:rsid w:val="00955263"/>
    <w:rsid w:val="00956150"/>
    <w:rsid w:val="00961700"/>
    <w:rsid w:val="00962862"/>
    <w:rsid w:val="00963A38"/>
    <w:rsid w:val="009750FD"/>
    <w:rsid w:val="00997818"/>
    <w:rsid w:val="009B028D"/>
    <w:rsid w:val="009B6A7C"/>
    <w:rsid w:val="009C63A5"/>
    <w:rsid w:val="00A02CFE"/>
    <w:rsid w:val="00A07D9A"/>
    <w:rsid w:val="00A1261D"/>
    <w:rsid w:val="00A17399"/>
    <w:rsid w:val="00A22356"/>
    <w:rsid w:val="00A278D4"/>
    <w:rsid w:val="00A51E0D"/>
    <w:rsid w:val="00A5605B"/>
    <w:rsid w:val="00A60CE8"/>
    <w:rsid w:val="00A62782"/>
    <w:rsid w:val="00A646BF"/>
    <w:rsid w:val="00A73FB9"/>
    <w:rsid w:val="00A76B0E"/>
    <w:rsid w:val="00A81339"/>
    <w:rsid w:val="00AC04C6"/>
    <w:rsid w:val="00AC6B31"/>
    <w:rsid w:val="00AD44DB"/>
    <w:rsid w:val="00AF2F1C"/>
    <w:rsid w:val="00B00BEB"/>
    <w:rsid w:val="00B072A7"/>
    <w:rsid w:val="00B106D5"/>
    <w:rsid w:val="00B15CB9"/>
    <w:rsid w:val="00B167E5"/>
    <w:rsid w:val="00B20B15"/>
    <w:rsid w:val="00B247C3"/>
    <w:rsid w:val="00B32709"/>
    <w:rsid w:val="00B33F3F"/>
    <w:rsid w:val="00B348AA"/>
    <w:rsid w:val="00B35E2D"/>
    <w:rsid w:val="00B4125B"/>
    <w:rsid w:val="00B54A2D"/>
    <w:rsid w:val="00B55D0B"/>
    <w:rsid w:val="00B6370D"/>
    <w:rsid w:val="00B83C32"/>
    <w:rsid w:val="00B83EB2"/>
    <w:rsid w:val="00B949B7"/>
    <w:rsid w:val="00BA3B4B"/>
    <w:rsid w:val="00BD1ECC"/>
    <w:rsid w:val="00BE1EDC"/>
    <w:rsid w:val="00C15736"/>
    <w:rsid w:val="00C32639"/>
    <w:rsid w:val="00C51172"/>
    <w:rsid w:val="00C56790"/>
    <w:rsid w:val="00C606E9"/>
    <w:rsid w:val="00C74584"/>
    <w:rsid w:val="00C76229"/>
    <w:rsid w:val="00C76418"/>
    <w:rsid w:val="00C7778C"/>
    <w:rsid w:val="00C84EEC"/>
    <w:rsid w:val="00C9355B"/>
    <w:rsid w:val="00CA0D89"/>
    <w:rsid w:val="00CC0CAD"/>
    <w:rsid w:val="00CC7253"/>
    <w:rsid w:val="00CE0F14"/>
    <w:rsid w:val="00CE6D93"/>
    <w:rsid w:val="00CF0F9E"/>
    <w:rsid w:val="00D000BE"/>
    <w:rsid w:val="00D23C6D"/>
    <w:rsid w:val="00D54100"/>
    <w:rsid w:val="00D632CE"/>
    <w:rsid w:val="00D77AF9"/>
    <w:rsid w:val="00D80850"/>
    <w:rsid w:val="00D92220"/>
    <w:rsid w:val="00DA5955"/>
    <w:rsid w:val="00DA76F2"/>
    <w:rsid w:val="00DB7B43"/>
    <w:rsid w:val="00DC0609"/>
    <w:rsid w:val="00DC7B19"/>
    <w:rsid w:val="00DD7DF9"/>
    <w:rsid w:val="00DE0941"/>
    <w:rsid w:val="00E17B1D"/>
    <w:rsid w:val="00E20517"/>
    <w:rsid w:val="00E20C8D"/>
    <w:rsid w:val="00E3436D"/>
    <w:rsid w:val="00E445AA"/>
    <w:rsid w:val="00E52398"/>
    <w:rsid w:val="00E55532"/>
    <w:rsid w:val="00E55BBB"/>
    <w:rsid w:val="00E66D48"/>
    <w:rsid w:val="00E73159"/>
    <w:rsid w:val="00E74A7A"/>
    <w:rsid w:val="00E74FC2"/>
    <w:rsid w:val="00E85BA3"/>
    <w:rsid w:val="00E915AE"/>
    <w:rsid w:val="00E94C15"/>
    <w:rsid w:val="00EA2303"/>
    <w:rsid w:val="00EC1169"/>
    <w:rsid w:val="00EC70F1"/>
    <w:rsid w:val="00ED3E7A"/>
    <w:rsid w:val="00EF4D48"/>
    <w:rsid w:val="00F0184B"/>
    <w:rsid w:val="00F05CC6"/>
    <w:rsid w:val="00F20007"/>
    <w:rsid w:val="00F215B0"/>
    <w:rsid w:val="00F35A4D"/>
    <w:rsid w:val="00F66DBE"/>
    <w:rsid w:val="00F72D5F"/>
    <w:rsid w:val="00F77FBE"/>
    <w:rsid w:val="00F81490"/>
    <w:rsid w:val="00F81D2D"/>
    <w:rsid w:val="00F83F05"/>
    <w:rsid w:val="00FA023A"/>
    <w:rsid w:val="00FB2844"/>
    <w:rsid w:val="00FB38A2"/>
    <w:rsid w:val="00FC6A0B"/>
    <w:rsid w:val="00FE1253"/>
    <w:rsid w:val="00FF6C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B5F5-1EEA-430D-9D4B-24B84D6E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14</cp:revision>
  <cp:lastPrinted>2020-07-15T12:40:00Z</cp:lastPrinted>
  <dcterms:created xsi:type="dcterms:W3CDTF">2020-07-07T10:41:00Z</dcterms:created>
  <dcterms:modified xsi:type="dcterms:W3CDTF">2020-07-22T08:22:00Z</dcterms:modified>
</cp:coreProperties>
</file>