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6E5" w:rsidRDefault="00C036E5" w:rsidP="009D1505">
      <w:pPr>
        <w:pStyle w:val="NoSpacing"/>
        <w:jc w:val="both"/>
        <w:rPr>
          <w:b/>
          <w:szCs w:val="24"/>
        </w:rPr>
      </w:pPr>
      <w:r>
        <w:rPr>
          <w:b/>
          <w:szCs w:val="24"/>
        </w:rPr>
        <w:t>1.</w:t>
      </w:r>
      <w:r>
        <w:rPr>
          <w:b/>
          <w:szCs w:val="24"/>
        </w:rPr>
        <w:tab/>
        <w:t>REDCLIFF MUNICIPALITY</w:t>
      </w:r>
      <w:r>
        <w:rPr>
          <w:b/>
          <w:szCs w:val="24"/>
        </w:rPr>
        <w:tab/>
      </w:r>
      <w:r>
        <w:rPr>
          <w:b/>
          <w:szCs w:val="24"/>
        </w:rPr>
        <w:tab/>
      </w:r>
      <w:r>
        <w:rPr>
          <w:b/>
          <w:szCs w:val="24"/>
        </w:rPr>
        <w:tab/>
      </w:r>
      <w:r>
        <w:rPr>
          <w:b/>
          <w:szCs w:val="24"/>
        </w:rPr>
        <w:tab/>
      </w:r>
      <w:r>
        <w:rPr>
          <w:b/>
          <w:szCs w:val="24"/>
        </w:rPr>
        <w:tab/>
        <w:t>HCA 64/18</w:t>
      </w:r>
    </w:p>
    <w:p w:rsidR="00C036E5" w:rsidRDefault="00C036E5" w:rsidP="009D1505">
      <w:pPr>
        <w:pStyle w:val="NoSpacing"/>
        <w:jc w:val="both"/>
        <w:rPr>
          <w:b/>
          <w:szCs w:val="24"/>
        </w:rPr>
      </w:pPr>
    </w:p>
    <w:p w:rsidR="00C036E5" w:rsidRDefault="00C036E5" w:rsidP="009D1505">
      <w:pPr>
        <w:pStyle w:val="NoSpacing"/>
        <w:ind w:firstLine="720"/>
        <w:jc w:val="both"/>
        <w:rPr>
          <w:b/>
          <w:szCs w:val="24"/>
        </w:rPr>
      </w:pPr>
      <w:r>
        <w:rPr>
          <w:b/>
          <w:szCs w:val="24"/>
        </w:rPr>
        <w:t>Versus</w:t>
      </w:r>
    </w:p>
    <w:p w:rsidR="00C036E5" w:rsidRDefault="00C036E5" w:rsidP="009D1505">
      <w:pPr>
        <w:pStyle w:val="NoSpacing"/>
        <w:jc w:val="both"/>
        <w:rPr>
          <w:b/>
          <w:szCs w:val="24"/>
        </w:rPr>
      </w:pPr>
    </w:p>
    <w:p w:rsidR="00C036E5" w:rsidRDefault="00C036E5" w:rsidP="009D1505">
      <w:pPr>
        <w:pStyle w:val="NoSpacing"/>
        <w:ind w:firstLine="720"/>
        <w:jc w:val="both"/>
        <w:rPr>
          <w:b/>
          <w:szCs w:val="24"/>
        </w:rPr>
      </w:pPr>
      <w:r>
        <w:rPr>
          <w:b/>
          <w:szCs w:val="24"/>
        </w:rPr>
        <w:t>KUDAKWASHE DAKA</w:t>
      </w:r>
    </w:p>
    <w:p w:rsidR="00C036E5" w:rsidRDefault="00C036E5" w:rsidP="009D1505">
      <w:pPr>
        <w:pStyle w:val="NoSpacing"/>
        <w:jc w:val="both"/>
        <w:rPr>
          <w:b/>
          <w:szCs w:val="24"/>
        </w:rPr>
      </w:pPr>
    </w:p>
    <w:p w:rsidR="00C036E5" w:rsidRDefault="00C036E5" w:rsidP="009D1505">
      <w:pPr>
        <w:pStyle w:val="NoSpacing"/>
        <w:jc w:val="both"/>
        <w:rPr>
          <w:szCs w:val="24"/>
        </w:rPr>
      </w:pPr>
    </w:p>
    <w:p w:rsidR="00C036E5" w:rsidRPr="00C036E5" w:rsidRDefault="00C036E5" w:rsidP="009D1505">
      <w:pPr>
        <w:pStyle w:val="NoSpacing"/>
        <w:jc w:val="both"/>
        <w:rPr>
          <w:b/>
          <w:szCs w:val="24"/>
        </w:rPr>
      </w:pPr>
      <w:r w:rsidRPr="00C036E5">
        <w:rPr>
          <w:b/>
          <w:szCs w:val="24"/>
        </w:rPr>
        <w:t>2.</w:t>
      </w:r>
      <w:r w:rsidRPr="00C036E5">
        <w:rPr>
          <w:b/>
          <w:szCs w:val="24"/>
        </w:rPr>
        <w:tab/>
        <w:t>REDCLIFF MUNICIPALITY</w:t>
      </w:r>
      <w:r w:rsidRPr="00C036E5">
        <w:rPr>
          <w:b/>
          <w:szCs w:val="24"/>
        </w:rPr>
        <w:tab/>
      </w:r>
      <w:r w:rsidRPr="00C036E5">
        <w:rPr>
          <w:b/>
          <w:szCs w:val="24"/>
        </w:rPr>
        <w:tab/>
      </w:r>
      <w:r w:rsidRPr="00C036E5">
        <w:rPr>
          <w:b/>
          <w:szCs w:val="24"/>
        </w:rPr>
        <w:tab/>
      </w:r>
      <w:r w:rsidRPr="00C036E5">
        <w:rPr>
          <w:b/>
          <w:szCs w:val="24"/>
        </w:rPr>
        <w:tab/>
      </w:r>
      <w:r w:rsidRPr="00C036E5">
        <w:rPr>
          <w:b/>
          <w:szCs w:val="24"/>
        </w:rPr>
        <w:tab/>
        <w:t>HCA 66/18</w:t>
      </w:r>
    </w:p>
    <w:p w:rsidR="00C036E5" w:rsidRPr="00C036E5" w:rsidRDefault="00C036E5" w:rsidP="009D1505">
      <w:pPr>
        <w:pStyle w:val="NoSpacing"/>
        <w:jc w:val="both"/>
        <w:rPr>
          <w:b/>
          <w:szCs w:val="24"/>
        </w:rPr>
      </w:pPr>
    </w:p>
    <w:p w:rsidR="00C036E5" w:rsidRPr="00C036E5" w:rsidRDefault="00C036E5" w:rsidP="009D1505">
      <w:pPr>
        <w:pStyle w:val="NoSpacing"/>
        <w:jc w:val="both"/>
        <w:rPr>
          <w:b/>
          <w:szCs w:val="24"/>
        </w:rPr>
      </w:pPr>
      <w:r w:rsidRPr="00C036E5">
        <w:rPr>
          <w:b/>
          <w:szCs w:val="24"/>
        </w:rPr>
        <w:tab/>
        <w:t xml:space="preserve">Versus </w:t>
      </w:r>
    </w:p>
    <w:p w:rsidR="00C036E5" w:rsidRPr="00C036E5" w:rsidRDefault="00C036E5" w:rsidP="009D1505">
      <w:pPr>
        <w:pStyle w:val="NoSpacing"/>
        <w:jc w:val="both"/>
        <w:rPr>
          <w:b/>
          <w:szCs w:val="24"/>
        </w:rPr>
      </w:pPr>
    </w:p>
    <w:p w:rsidR="00C036E5" w:rsidRPr="00C036E5" w:rsidRDefault="00C036E5" w:rsidP="009D1505">
      <w:pPr>
        <w:pStyle w:val="NoSpacing"/>
        <w:jc w:val="both"/>
        <w:rPr>
          <w:b/>
          <w:szCs w:val="24"/>
        </w:rPr>
      </w:pPr>
      <w:r w:rsidRPr="00C036E5">
        <w:rPr>
          <w:b/>
          <w:szCs w:val="24"/>
        </w:rPr>
        <w:tab/>
        <w:t>ONIAS NCUBE</w:t>
      </w:r>
    </w:p>
    <w:p w:rsidR="00C036E5" w:rsidRDefault="00C036E5" w:rsidP="009D1505">
      <w:pPr>
        <w:pStyle w:val="NoSpacing"/>
        <w:jc w:val="both"/>
        <w:rPr>
          <w:szCs w:val="24"/>
        </w:rPr>
      </w:pPr>
    </w:p>
    <w:p w:rsidR="00C036E5" w:rsidRDefault="00C036E5" w:rsidP="009D1505">
      <w:pPr>
        <w:pStyle w:val="NoSpacing"/>
        <w:jc w:val="both"/>
        <w:rPr>
          <w:szCs w:val="24"/>
        </w:rPr>
      </w:pPr>
    </w:p>
    <w:p w:rsidR="00C036E5" w:rsidRDefault="00C036E5" w:rsidP="009D1505">
      <w:pPr>
        <w:pStyle w:val="NoSpacing"/>
        <w:jc w:val="both"/>
        <w:rPr>
          <w:szCs w:val="24"/>
        </w:rPr>
      </w:pPr>
      <w:r>
        <w:rPr>
          <w:szCs w:val="24"/>
        </w:rPr>
        <w:t>IN THE HIGH COURT OF ZIMBABWE</w:t>
      </w:r>
    </w:p>
    <w:p w:rsidR="00C036E5" w:rsidRDefault="00036D9C" w:rsidP="009D1505">
      <w:pPr>
        <w:pStyle w:val="NoSpacing"/>
        <w:jc w:val="both"/>
        <w:rPr>
          <w:szCs w:val="24"/>
        </w:rPr>
      </w:pPr>
      <w:r>
        <w:rPr>
          <w:szCs w:val="24"/>
        </w:rPr>
        <w:t xml:space="preserve">MAKONESE AND </w:t>
      </w:r>
      <w:r w:rsidR="00C036E5">
        <w:rPr>
          <w:szCs w:val="24"/>
        </w:rPr>
        <w:t>TAKUVA J</w:t>
      </w:r>
      <w:r>
        <w:rPr>
          <w:szCs w:val="24"/>
        </w:rPr>
        <w:t>J</w:t>
      </w:r>
    </w:p>
    <w:p w:rsidR="00C036E5" w:rsidRDefault="00036D9C" w:rsidP="009D1505">
      <w:pPr>
        <w:pStyle w:val="NoSpacing"/>
        <w:jc w:val="both"/>
        <w:rPr>
          <w:szCs w:val="24"/>
        </w:rPr>
      </w:pPr>
      <w:r>
        <w:rPr>
          <w:szCs w:val="24"/>
        </w:rPr>
        <w:t>BULAWAYO 16 MAY 2022 AND 7 SEPTEMBER 2023</w:t>
      </w:r>
    </w:p>
    <w:p w:rsidR="00C036E5" w:rsidRDefault="00C036E5" w:rsidP="009D1505">
      <w:pPr>
        <w:pStyle w:val="NoSpacing"/>
        <w:jc w:val="both"/>
        <w:rPr>
          <w:szCs w:val="24"/>
        </w:rPr>
      </w:pPr>
    </w:p>
    <w:p w:rsidR="00C036E5" w:rsidRDefault="00C036E5" w:rsidP="009D1505">
      <w:pPr>
        <w:pStyle w:val="NoSpacing"/>
        <w:jc w:val="both"/>
        <w:rPr>
          <w:b/>
          <w:szCs w:val="24"/>
        </w:rPr>
      </w:pPr>
    </w:p>
    <w:p w:rsidR="00C036E5" w:rsidRDefault="00036D9C" w:rsidP="009D1505">
      <w:pPr>
        <w:pStyle w:val="NoSpacing"/>
        <w:jc w:val="both"/>
        <w:rPr>
          <w:b/>
          <w:szCs w:val="24"/>
        </w:rPr>
      </w:pPr>
      <w:r>
        <w:rPr>
          <w:b/>
          <w:szCs w:val="24"/>
        </w:rPr>
        <w:t>Civil Appeal</w:t>
      </w:r>
    </w:p>
    <w:p w:rsidR="00C036E5" w:rsidRDefault="00C036E5" w:rsidP="009D1505">
      <w:pPr>
        <w:pStyle w:val="NoSpacing"/>
        <w:jc w:val="both"/>
        <w:rPr>
          <w:szCs w:val="24"/>
        </w:rPr>
      </w:pPr>
    </w:p>
    <w:p w:rsidR="00C036E5" w:rsidRDefault="00C036E5" w:rsidP="009D1505">
      <w:pPr>
        <w:pStyle w:val="NoSpacing"/>
        <w:jc w:val="both"/>
        <w:rPr>
          <w:i/>
          <w:szCs w:val="24"/>
        </w:rPr>
      </w:pPr>
    </w:p>
    <w:p w:rsidR="00C036E5" w:rsidRDefault="00036D9C" w:rsidP="009D1505">
      <w:pPr>
        <w:pStyle w:val="NoSpacing"/>
        <w:jc w:val="both"/>
        <w:rPr>
          <w:szCs w:val="24"/>
        </w:rPr>
      </w:pPr>
      <w:r>
        <w:rPr>
          <w:i/>
          <w:szCs w:val="24"/>
        </w:rPr>
        <w:t xml:space="preserve">Advocate P. </w:t>
      </w:r>
      <w:proofErr w:type="spellStart"/>
      <w:r>
        <w:rPr>
          <w:i/>
          <w:szCs w:val="24"/>
        </w:rPr>
        <w:t>Dube</w:t>
      </w:r>
      <w:proofErr w:type="spellEnd"/>
      <w:r w:rsidR="00C036E5">
        <w:rPr>
          <w:i/>
          <w:szCs w:val="24"/>
        </w:rPr>
        <w:t xml:space="preserve">, </w:t>
      </w:r>
      <w:r>
        <w:rPr>
          <w:szCs w:val="24"/>
        </w:rPr>
        <w:t>for the appellants</w:t>
      </w:r>
    </w:p>
    <w:p w:rsidR="00C036E5" w:rsidRPr="00036D9C" w:rsidRDefault="00036D9C" w:rsidP="009D1505">
      <w:pPr>
        <w:pStyle w:val="NoSpacing"/>
        <w:jc w:val="both"/>
        <w:rPr>
          <w:szCs w:val="24"/>
        </w:rPr>
      </w:pPr>
      <w:r>
        <w:rPr>
          <w:szCs w:val="24"/>
        </w:rPr>
        <w:t>No appearance for the respondents</w:t>
      </w:r>
    </w:p>
    <w:p w:rsidR="00036D9C" w:rsidRDefault="00036D9C" w:rsidP="009D1505">
      <w:pPr>
        <w:jc w:val="both"/>
        <w:rPr>
          <w:rFonts w:ascii="Times New Roman" w:hAnsi="Times New Roman" w:cs="Times New Roman"/>
          <w:b/>
          <w:sz w:val="24"/>
          <w:szCs w:val="24"/>
        </w:rPr>
      </w:pPr>
    </w:p>
    <w:p w:rsidR="00223694" w:rsidRDefault="00C036E5" w:rsidP="009D150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sidR="00ED5AA4">
        <w:rPr>
          <w:rFonts w:ascii="Times New Roman" w:hAnsi="Times New Roman" w:cs="Times New Roman"/>
          <w:sz w:val="24"/>
          <w:szCs w:val="24"/>
        </w:rPr>
        <w:t xml:space="preserve">: </w:t>
      </w:r>
      <w:r w:rsidR="00ED5AA4">
        <w:rPr>
          <w:rFonts w:ascii="Times New Roman" w:hAnsi="Times New Roman" w:cs="Times New Roman"/>
          <w:sz w:val="24"/>
          <w:szCs w:val="24"/>
        </w:rPr>
        <w:tab/>
        <w:t xml:space="preserve">The appellant appeals against the Magistrate’s decision to register an arbitral award against the appellant in </w:t>
      </w:r>
      <w:proofErr w:type="spellStart"/>
      <w:r w:rsidR="00ED5AA4">
        <w:rPr>
          <w:rFonts w:ascii="Times New Roman" w:hAnsi="Times New Roman" w:cs="Times New Roman"/>
          <w:sz w:val="24"/>
          <w:szCs w:val="24"/>
        </w:rPr>
        <w:t>favour</w:t>
      </w:r>
      <w:proofErr w:type="spellEnd"/>
      <w:r w:rsidR="00ED5AA4">
        <w:rPr>
          <w:rFonts w:ascii="Times New Roman" w:hAnsi="Times New Roman" w:cs="Times New Roman"/>
          <w:sz w:val="24"/>
          <w:szCs w:val="24"/>
        </w:rPr>
        <w:t xml:space="preserve"> of the respondent</w:t>
      </w:r>
      <w:r w:rsidR="00555679">
        <w:rPr>
          <w:rFonts w:ascii="Times New Roman" w:hAnsi="Times New Roman" w:cs="Times New Roman"/>
          <w:sz w:val="24"/>
          <w:szCs w:val="24"/>
        </w:rPr>
        <w:t>s</w:t>
      </w:r>
      <w:r w:rsidR="00ED5AA4">
        <w:rPr>
          <w:rFonts w:ascii="Times New Roman" w:hAnsi="Times New Roman" w:cs="Times New Roman"/>
          <w:sz w:val="24"/>
          <w:szCs w:val="24"/>
        </w:rPr>
        <w:t xml:space="preserve">.  The Court </w:t>
      </w:r>
      <w:r w:rsidR="00ED5AA4" w:rsidRPr="00C03638">
        <w:rPr>
          <w:rFonts w:ascii="Times New Roman" w:hAnsi="Times New Roman" w:cs="Times New Roman"/>
          <w:i/>
          <w:sz w:val="24"/>
          <w:szCs w:val="24"/>
        </w:rPr>
        <w:t>a quo’s</w:t>
      </w:r>
      <w:r w:rsidR="00ED5AA4">
        <w:rPr>
          <w:rFonts w:ascii="Times New Roman" w:hAnsi="Times New Roman" w:cs="Times New Roman"/>
          <w:sz w:val="24"/>
          <w:szCs w:val="24"/>
        </w:rPr>
        <w:t xml:space="preserve"> ruling is on pages 8 – 10 of the record of proceedings.  The grounds of appeal appear on pages 1 – 4 of the record.  In those grounds appellant did not raise Prescription as one of the grounds.  No argument on prescription was made before the court </w:t>
      </w:r>
      <w:r w:rsidR="00ED5AA4" w:rsidRPr="00C03638">
        <w:rPr>
          <w:rFonts w:ascii="Times New Roman" w:hAnsi="Times New Roman" w:cs="Times New Roman"/>
          <w:i/>
          <w:sz w:val="24"/>
          <w:szCs w:val="24"/>
        </w:rPr>
        <w:t>a quo</w:t>
      </w:r>
      <w:r w:rsidR="00ED5AA4">
        <w:rPr>
          <w:rFonts w:ascii="Times New Roman" w:hAnsi="Times New Roman" w:cs="Times New Roman"/>
          <w:sz w:val="24"/>
          <w:szCs w:val="24"/>
        </w:rPr>
        <w:t>.  Accordingly the Magistrate did not consider it in his/her ruling.</w:t>
      </w:r>
    </w:p>
    <w:p w:rsidR="00ED5AA4" w:rsidRDefault="00ED5AA4" w:rsidP="009D15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from the Supplementary Heads of Argument that this ground being a point of law is being raised for the first time on appeal.  The requireme</w:t>
      </w:r>
      <w:r w:rsidR="00555679">
        <w:rPr>
          <w:rFonts w:ascii="Times New Roman" w:hAnsi="Times New Roman" w:cs="Times New Roman"/>
          <w:sz w:val="24"/>
          <w:szCs w:val="24"/>
        </w:rPr>
        <w:t xml:space="preserve">nts are that such procedure </w:t>
      </w:r>
      <w:r w:rsidR="002D2918">
        <w:rPr>
          <w:rFonts w:ascii="Times New Roman" w:hAnsi="Times New Roman" w:cs="Times New Roman"/>
          <w:sz w:val="24"/>
          <w:szCs w:val="24"/>
        </w:rPr>
        <w:t>i</w:t>
      </w:r>
      <w:r>
        <w:rPr>
          <w:rFonts w:ascii="Times New Roman" w:hAnsi="Times New Roman" w:cs="Times New Roman"/>
          <w:sz w:val="24"/>
          <w:szCs w:val="24"/>
        </w:rPr>
        <w:t xml:space="preserve">s proper as long as it does not prejudice the other party.  </w:t>
      </w:r>
      <w:r w:rsidRPr="002D2918">
        <w:rPr>
          <w:rFonts w:ascii="Times New Roman" w:hAnsi="Times New Roman" w:cs="Times New Roman"/>
          <w:i/>
          <w:sz w:val="24"/>
          <w:szCs w:val="24"/>
        </w:rPr>
        <w:t xml:space="preserve">In </w:t>
      </w:r>
      <w:proofErr w:type="spellStart"/>
      <w:r w:rsidRPr="002D2918">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w:t>
      </w:r>
      <w:r w:rsidR="00555679">
        <w:rPr>
          <w:rFonts w:ascii="Times New Roman" w:hAnsi="Times New Roman" w:cs="Times New Roman"/>
          <w:sz w:val="24"/>
          <w:szCs w:val="24"/>
        </w:rPr>
        <w:t>s have</w:t>
      </w:r>
      <w:r>
        <w:rPr>
          <w:rFonts w:ascii="Times New Roman" w:hAnsi="Times New Roman" w:cs="Times New Roman"/>
          <w:sz w:val="24"/>
          <w:szCs w:val="24"/>
        </w:rPr>
        <w:t xml:space="preserve"> not filed supplementary heads of argument on the point.  Appellant’s supplementary heads filed on 22 August 2019.  The question is when were they served on respondent’s legal practitioners?</w:t>
      </w:r>
    </w:p>
    <w:p w:rsidR="00653A3A" w:rsidRDefault="00ED5AA4" w:rsidP="009D15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relates to a contract of e</w:t>
      </w:r>
      <w:r w:rsidR="00BB611C">
        <w:rPr>
          <w:rFonts w:ascii="Times New Roman" w:hAnsi="Times New Roman" w:cs="Times New Roman"/>
          <w:sz w:val="24"/>
          <w:szCs w:val="24"/>
        </w:rPr>
        <w:t>m</w:t>
      </w:r>
      <w:r>
        <w:rPr>
          <w:rFonts w:ascii="Times New Roman" w:hAnsi="Times New Roman" w:cs="Times New Roman"/>
          <w:sz w:val="24"/>
          <w:szCs w:val="24"/>
        </w:rPr>
        <w:t>ployment wherein respondent</w:t>
      </w:r>
      <w:r w:rsidR="00555679">
        <w:rPr>
          <w:rFonts w:ascii="Times New Roman" w:hAnsi="Times New Roman" w:cs="Times New Roman"/>
          <w:sz w:val="24"/>
          <w:szCs w:val="24"/>
        </w:rPr>
        <w:t>s allege</w:t>
      </w:r>
      <w:r>
        <w:rPr>
          <w:rFonts w:ascii="Times New Roman" w:hAnsi="Times New Roman" w:cs="Times New Roman"/>
          <w:sz w:val="24"/>
          <w:szCs w:val="24"/>
        </w:rPr>
        <w:t xml:space="preserve"> breach of a </w:t>
      </w:r>
      <w:r w:rsidR="00BB611C">
        <w:rPr>
          <w:rFonts w:ascii="Times New Roman" w:hAnsi="Times New Roman" w:cs="Times New Roman"/>
          <w:sz w:val="24"/>
          <w:szCs w:val="24"/>
        </w:rPr>
        <w:t xml:space="preserve">contract of employment by failing to pay wages and salaries.  Matter </w:t>
      </w:r>
      <w:r w:rsidR="00555679">
        <w:rPr>
          <w:rFonts w:ascii="Times New Roman" w:hAnsi="Times New Roman" w:cs="Times New Roman"/>
          <w:sz w:val="24"/>
          <w:szCs w:val="24"/>
        </w:rPr>
        <w:t xml:space="preserve">was </w:t>
      </w:r>
      <w:r w:rsidR="00BB611C">
        <w:rPr>
          <w:rFonts w:ascii="Times New Roman" w:hAnsi="Times New Roman" w:cs="Times New Roman"/>
          <w:sz w:val="24"/>
          <w:szCs w:val="24"/>
        </w:rPr>
        <w:t>taken to an arbitrator who granted an award on 23</w:t>
      </w:r>
      <w:r w:rsidR="00BB611C" w:rsidRPr="00BB611C">
        <w:rPr>
          <w:rFonts w:ascii="Times New Roman" w:hAnsi="Times New Roman" w:cs="Times New Roman"/>
          <w:sz w:val="24"/>
          <w:szCs w:val="24"/>
          <w:vertAlign w:val="superscript"/>
        </w:rPr>
        <w:t>rd</w:t>
      </w:r>
      <w:r w:rsidR="00BB611C">
        <w:rPr>
          <w:rFonts w:ascii="Times New Roman" w:hAnsi="Times New Roman" w:cs="Times New Roman"/>
          <w:sz w:val="24"/>
          <w:szCs w:val="24"/>
        </w:rPr>
        <w:t xml:space="preserve"> October 2012.  For some unknown reason the award was </w:t>
      </w:r>
      <w:r w:rsidR="00BB611C">
        <w:rPr>
          <w:rFonts w:ascii="Times New Roman" w:hAnsi="Times New Roman" w:cs="Times New Roman"/>
          <w:sz w:val="24"/>
          <w:szCs w:val="24"/>
        </w:rPr>
        <w:lastRenderedPageBreak/>
        <w:t>quantified in November 2015.  The matter had been heard in January 2012.  Therefore, the cause of action was complete in Ja</w:t>
      </w:r>
      <w:r w:rsidR="00653A3A">
        <w:rPr>
          <w:rFonts w:ascii="Times New Roman" w:hAnsi="Times New Roman" w:cs="Times New Roman"/>
          <w:sz w:val="24"/>
          <w:szCs w:val="24"/>
        </w:rPr>
        <w:t>nuary 2012 when the respondent</w:t>
      </w:r>
      <w:r w:rsidR="00555679">
        <w:rPr>
          <w:rFonts w:ascii="Times New Roman" w:hAnsi="Times New Roman" w:cs="Times New Roman"/>
          <w:sz w:val="24"/>
          <w:szCs w:val="24"/>
        </w:rPr>
        <w:t>s were</w:t>
      </w:r>
      <w:r w:rsidR="00653A3A">
        <w:rPr>
          <w:rFonts w:ascii="Times New Roman" w:hAnsi="Times New Roman" w:cs="Times New Roman"/>
          <w:sz w:val="24"/>
          <w:szCs w:val="24"/>
        </w:rPr>
        <w:t xml:space="preserve"> fully awa</w:t>
      </w:r>
      <w:r w:rsidR="00555679">
        <w:rPr>
          <w:rFonts w:ascii="Times New Roman" w:hAnsi="Times New Roman" w:cs="Times New Roman"/>
          <w:sz w:val="24"/>
          <w:szCs w:val="24"/>
        </w:rPr>
        <w:t>re of the facts constituting their</w:t>
      </w:r>
      <w:r w:rsidR="00653A3A">
        <w:rPr>
          <w:rFonts w:ascii="Times New Roman" w:hAnsi="Times New Roman" w:cs="Times New Roman"/>
          <w:sz w:val="24"/>
          <w:szCs w:val="24"/>
        </w:rPr>
        <w:t xml:space="preserve"> cause of action – See </w:t>
      </w:r>
      <w:proofErr w:type="spellStart"/>
      <w:r w:rsidR="00653A3A" w:rsidRPr="00480A46">
        <w:rPr>
          <w:rFonts w:ascii="Times New Roman" w:hAnsi="Times New Roman" w:cs="Times New Roman"/>
          <w:i/>
          <w:sz w:val="24"/>
          <w:szCs w:val="24"/>
        </w:rPr>
        <w:t>Shinga</w:t>
      </w:r>
      <w:proofErr w:type="spellEnd"/>
      <w:r w:rsidR="00653A3A">
        <w:rPr>
          <w:rFonts w:ascii="Times New Roman" w:hAnsi="Times New Roman" w:cs="Times New Roman"/>
          <w:sz w:val="24"/>
          <w:szCs w:val="24"/>
        </w:rPr>
        <w:t xml:space="preserve"> v </w:t>
      </w:r>
      <w:r w:rsidR="00653A3A" w:rsidRPr="00480A46">
        <w:rPr>
          <w:rFonts w:ascii="Times New Roman" w:hAnsi="Times New Roman" w:cs="Times New Roman"/>
          <w:i/>
          <w:sz w:val="24"/>
          <w:szCs w:val="24"/>
        </w:rPr>
        <w:t>General Accident Insurance Co. (</w:t>
      </w:r>
      <w:proofErr w:type="spellStart"/>
      <w:r w:rsidR="00653A3A" w:rsidRPr="00480A46">
        <w:rPr>
          <w:rFonts w:ascii="Times New Roman" w:hAnsi="Times New Roman" w:cs="Times New Roman"/>
          <w:i/>
          <w:sz w:val="24"/>
          <w:szCs w:val="24"/>
        </w:rPr>
        <w:t>Zamb</w:t>
      </w:r>
      <w:proofErr w:type="spellEnd"/>
      <w:r w:rsidR="00653A3A" w:rsidRPr="00480A46">
        <w:rPr>
          <w:rFonts w:ascii="Times New Roman" w:hAnsi="Times New Roman" w:cs="Times New Roman"/>
          <w:i/>
          <w:sz w:val="24"/>
          <w:szCs w:val="24"/>
        </w:rPr>
        <w:t>)</w:t>
      </w:r>
      <w:r w:rsidR="00653A3A">
        <w:rPr>
          <w:rFonts w:ascii="Times New Roman" w:hAnsi="Times New Roman" w:cs="Times New Roman"/>
          <w:sz w:val="24"/>
          <w:szCs w:val="24"/>
        </w:rPr>
        <w:t xml:space="preserve"> 1989 (2) ZLR 268 (HC) at 278 A-C), </w:t>
      </w:r>
      <w:proofErr w:type="spellStart"/>
      <w:r w:rsidR="00653A3A" w:rsidRPr="00480A46">
        <w:rPr>
          <w:rFonts w:ascii="Times New Roman" w:hAnsi="Times New Roman" w:cs="Times New Roman"/>
          <w:i/>
          <w:sz w:val="24"/>
          <w:szCs w:val="24"/>
        </w:rPr>
        <w:t>Chiwawa</w:t>
      </w:r>
      <w:proofErr w:type="spellEnd"/>
      <w:r w:rsidR="00653A3A">
        <w:rPr>
          <w:rFonts w:ascii="Times New Roman" w:hAnsi="Times New Roman" w:cs="Times New Roman"/>
          <w:sz w:val="24"/>
          <w:szCs w:val="24"/>
        </w:rPr>
        <w:t xml:space="preserve"> v </w:t>
      </w:r>
      <w:proofErr w:type="spellStart"/>
      <w:r w:rsidR="00653A3A" w:rsidRPr="00480A46">
        <w:rPr>
          <w:rFonts w:ascii="Times New Roman" w:hAnsi="Times New Roman" w:cs="Times New Roman"/>
          <w:i/>
          <w:sz w:val="24"/>
          <w:szCs w:val="24"/>
        </w:rPr>
        <w:t>Mutzuri</w:t>
      </w:r>
      <w:proofErr w:type="spellEnd"/>
      <w:r w:rsidR="00653A3A" w:rsidRPr="00480A46">
        <w:rPr>
          <w:rFonts w:ascii="Times New Roman" w:hAnsi="Times New Roman" w:cs="Times New Roman"/>
          <w:i/>
          <w:sz w:val="24"/>
          <w:szCs w:val="24"/>
        </w:rPr>
        <w:t xml:space="preserve"> &amp; 4 </w:t>
      </w:r>
      <w:proofErr w:type="spellStart"/>
      <w:r w:rsidR="00653A3A" w:rsidRPr="00480A46">
        <w:rPr>
          <w:rFonts w:ascii="Times New Roman" w:hAnsi="Times New Roman" w:cs="Times New Roman"/>
          <w:i/>
          <w:sz w:val="24"/>
          <w:szCs w:val="24"/>
        </w:rPr>
        <w:t>Ors</w:t>
      </w:r>
      <w:proofErr w:type="spellEnd"/>
      <w:r w:rsidR="00653A3A">
        <w:rPr>
          <w:rFonts w:ascii="Times New Roman" w:hAnsi="Times New Roman" w:cs="Times New Roman"/>
          <w:sz w:val="24"/>
          <w:szCs w:val="24"/>
        </w:rPr>
        <w:t xml:space="preserve"> HH 7-2009 at p. 5.</w:t>
      </w:r>
    </w:p>
    <w:p w:rsidR="00653A3A" w:rsidRDefault="00653A3A" w:rsidP="009D15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Ordinarily the debt/claim would therefore prescribe in three </w:t>
      </w:r>
      <w:proofErr w:type="gramStart"/>
      <w:r>
        <w:rPr>
          <w:rFonts w:ascii="Times New Roman" w:hAnsi="Times New Roman" w:cs="Times New Roman"/>
          <w:sz w:val="24"/>
          <w:szCs w:val="24"/>
        </w:rPr>
        <w:t>years, that</w:t>
      </w:r>
      <w:proofErr w:type="gramEnd"/>
      <w:r>
        <w:rPr>
          <w:rFonts w:ascii="Times New Roman" w:hAnsi="Times New Roman" w:cs="Times New Roman"/>
          <w:sz w:val="24"/>
          <w:szCs w:val="24"/>
        </w:rPr>
        <w:t xml:space="preserve"> is by Feb</w:t>
      </w:r>
      <w:r w:rsidR="00555679">
        <w:rPr>
          <w:rFonts w:ascii="Times New Roman" w:hAnsi="Times New Roman" w:cs="Times New Roman"/>
          <w:sz w:val="24"/>
          <w:szCs w:val="24"/>
        </w:rPr>
        <w:t>ruary 2015.  An arbitral award is</w:t>
      </w:r>
      <w:r>
        <w:rPr>
          <w:rFonts w:ascii="Times New Roman" w:hAnsi="Times New Roman" w:cs="Times New Roman"/>
          <w:sz w:val="24"/>
          <w:szCs w:val="24"/>
        </w:rPr>
        <w:t xml:space="preserve"> subject to prescription – section 15 (d) of the Prescription Act (Chapter 8:11) See also </w:t>
      </w:r>
      <w:r w:rsidRPr="00087E36">
        <w:rPr>
          <w:rFonts w:ascii="Times New Roman" w:hAnsi="Times New Roman" w:cs="Times New Roman"/>
          <w:i/>
          <w:sz w:val="24"/>
          <w:szCs w:val="24"/>
        </w:rPr>
        <w:t xml:space="preserve">John </w:t>
      </w:r>
      <w:proofErr w:type="spellStart"/>
      <w:r w:rsidRPr="00087E36">
        <w:rPr>
          <w:rFonts w:ascii="Times New Roman" w:hAnsi="Times New Roman" w:cs="Times New Roman"/>
          <w:i/>
          <w:sz w:val="24"/>
          <w:szCs w:val="24"/>
        </w:rPr>
        <w:t>Conradie</w:t>
      </w:r>
      <w:proofErr w:type="spellEnd"/>
      <w:r w:rsidRPr="00087E36">
        <w:rPr>
          <w:rFonts w:ascii="Times New Roman" w:hAnsi="Times New Roman" w:cs="Times New Roman"/>
          <w:i/>
          <w:sz w:val="24"/>
          <w:szCs w:val="24"/>
        </w:rPr>
        <w:t xml:space="preserve"> Trust</w:t>
      </w:r>
      <w:r>
        <w:rPr>
          <w:rFonts w:ascii="Times New Roman" w:hAnsi="Times New Roman" w:cs="Times New Roman"/>
          <w:sz w:val="24"/>
          <w:szCs w:val="24"/>
        </w:rPr>
        <w:t xml:space="preserve"> v </w:t>
      </w:r>
      <w:r w:rsidRPr="00087E36">
        <w:rPr>
          <w:rFonts w:ascii="Times New Roman" w:hAnsi="Times New Roman" w:cs="Times New Roman"/>
          <w:i/>
          <w:sz w:val="24"/>
          <w:szCs w:val="24"/>
        </w:rPr>
        <w:t xml:space="preserve">The Federation of </w:t>
      </w:r>
      <w:proofErr w:type="spellStart"/>
      <w:r w:rsidRPr="00087E36">
        <w:rPr>
          <w:rFonts w:ascii="Times New Roman" w:hAnsi="Times New Roman" w:cs="Times New Roman"/>
          <w:i/>
          <w:sz w:val="24"/>
          <w:szCs w:val="24"/>
        </w:rPr>
        <w:t>Kushanda</w:t>
      </w:r>
      <w:proofErr w:type="spellEnd"/>
      <w:r w:rsidRPr="00087E36">
        <w:rPr>
          <w:rFonts w:ascii="Times New Roman" w:hAnsi="Times New Roman" w:cs="Times New Roman"/>
          <w:i/>
          <w:sz w:val="24"/>
          <w:szCs w:val="24"/>
        </w:rPr>
        <w:t xml:space="preserve"> Pre-Schools Trust</w:t>
      </w:r>
      <w:r>
        <w:rPr>
          <w:rFonts w:ascii="Times New Roman" w:hAnsi="Times New Roman" w:cs="Times New Roman"/>
          <w:sz w:val="24"/>
          <w:szCs w:val="24"/>
        </w:rPr>
        <w:t xml:space="preserve"> </w:t>
      </w:r>
      <w:r w:rsidRPr="00087E36">
        <w:rPr>
          <w:rFonts w:ascii="Times New Roman" w:hAnsi="Times New Roman" w:cs="Times New Roman"/>
          <w:i/>
          <w:sz w:val="24"/>
          <w:szCs w:val="24"/>
        </w:rPr>
        <w:t xml:space="preserve">&amp; </w:t>
      </w:r>
      <w:proofErr w:type="spellStart"/>
      <w:r w:rsidRPr="00087E36">
        <w:rPr>
          <w:rFonts w:ascii="Times New Roman" w:hAnsi="Times New Roman" w:cs="Times New Roman"/>
          <w:i/>
          <w:sz w:val="24"/>
          <w:szCs w:val="24"/>
        </w:rPr>
        <w:t>Ors</w:t>
      </w:r>
      <w:proofErr w:type="spellEnd"/>
      <w:r>
        <w:rPr>
          <w:rFonts w:ascii="Times New Roman" w:hAnsi="Times New Roman" w:cs="Times New Roman"/>
          <w:sz w:val="24"/>
          <w:szCs w:val="24"/>
        </w:rPr>
        <w:t xml:space="preserve"> SC 12-17, </w:t>
      </w:r>
      <w:proofErr w:type="spellStart"/>
      <w:r w:rsidRPr="00087E36">
        <w:rPr>
          <w:rFonts w:ascii="Times New Roman" w:hAnsi="Times New Roman" w:cs="Times New Roman"/>
          <w:i/>
          <w:sz w:val="24"/>
          <w:szCs w:val="24"/>
        </w:rPr>
        <w:t>Efrolou</w:t>
      </w:r>
      <w:proofErr w:type="spellEnd"/>
      <w:r w:rsidRPr="00087E36">
        <w:rPr>
          <w:rFonts w:ascii="Times New Roman" w:hAnsi="Times New Roman" w:cs="Times New Roman"/>
          <w:i/>
          <w:sz w:val="24"/>
          <w:szCs w:val="24"/>
        </w:rPr>
        <w:t xml:space="preserve"> (</w:t>
      </w:r>
      <w:proofErr w:type="spellStart"/>
      <w:r w:rsidRPr="00087E36">
        <w:rPr>
          <w:rFonts w:ascii="Times New Roman" w:hAnsi="Times New Roman" w:cs="Times New Roman"/>
          <w:i/>
          <w:sz w:val="24"/>
          <w:szCs w:val="24"/>
        </w:rPr>
        <w:t>Pvt</w:t>
      </w:r>
      <w:proofErr w:type="spellEnd"/>
      <w:r w:rsidRPr="00087E36">
        <w:rPr>
          <w:rFonts w:ascii="Times New Roman" w:hAnsi="Times New Roman" w:cs="Times New Roman"/>
          <w:i/>
          <w:sz w:val="24"/>
          <w:szCs w:val="24"/>
        </w:rPr>
        <w:t>) Ltd</w:t>
      </w:r>
      <w:r>
        <w:rPr>
          <w:rFonts w:ascii="Times New Roman" w:hAnsi="Times New Roman" w:cs="Times New Roman"/>
          <w:sz w:val="24"/>
          <w:szCs w:val="24"/>
        </w:rPr>
        <w:t xml:space="preserve"> v </w:t>
      </w:r>
      <w:proofErr w:type="spellStart"/>
      <w:r w:rsidRPr="00087E36">
        <w:rPr>
          <w:rFonts w:ascii="Times New Roman" w:hAnsi="Times New Roman" w:cs="Times New Roman"/>
          <w:i/>
          <w:sz w:val="24"/>
          <w:szCs w:val="24"/>
        </w:rPr>
        <w:t>Muringani</w:t>
      </w:r>
      <w:proofErr w:type="spellEnd"/>
      <w:r>
        <w:rPr>
          <w:rFonts w:ascii="Times New Roman" w:hAnsi="Times New Roman" w:cs="Times New Roman"/>
          <w:sz w:val="24"/>
          <w:szCs w:val="24"/>
        </w:rPr>
        <w:t xml:space="preserve"> HH 112-2013.</w:t>
      </w:r>
    </w:p>
    <w:p w:rsidR="00653A3A" w:rsidRDefault="00653A3A" w:rsidP="009D15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prescription can only be interrupted by judicial process as provided for in section 19 of </w:t>
      </w:r>
      <w:r w:rsidR="00555679">
        <w:rPr>
          <w:rFonts w:ascii="Times New Roman" w:hAnsi="Times New Roman" w:cs="Times New Roman"/>
          <w:sz w:val="24"/>
          <w:szCs w:val="24"/>
        </w:rPr>
        <w:t>the Prescription Act.  A</w:t>
      </w:r>
      <w:r>
        <w:rPr>
          <w:rFonts w:ascii="Times New Roman" w:hAnsi="Times New Roman" w:cs="Times New Roman"/>
          <w:sz w:val="24"/>
          <w:szCs w:val="24"/>
        </w:rPr>
        <w:t xml:space="preserve">rbitration proceedings do not interrupt prescription as they are not judicial proceedings as is apparent from their omission from section 19 of the Prescription Act.  See </w:t>
      </w:r>
      <w:proofErr w:type="spellStart"/>
      <w:r w:rsidRPr="002E29D3">
        <w:rPr>
          <w:rFonts w:ascii="Times New Roman" w:hAnsi="Times New Roman" w:cs="Times New Roman"/>
          <w:i/>
          <w:sz w:val="24"/>
          <w:szCs w:val="24"/>
        </w:rPr>
        <w:t>Metallon</w:t>
      </w:r>
      <w:proofErr w:type="spellEnd"/>
      <w:r w:rsidRPr="002E29D3">
        <w:rPr>
          <w:rFonts w:ascii="Times New Roman" w:hAnsi="Times New Roman" w:cs="Times New Roman"/>
          <w:i/>
          <w:sz w:val="24"/>
          <w:szCs w:val="24"/>
        </w:rPr>
        <w:t xml:space="preserve"> Gold </w:t>
      </w:r>
      <w:proofErr w:type="spellStart"/>
      <w:r w:rsidRPr="002E29D3">
        <w:rPr>
          <w:rFonts w:ascii="Times New Roman" w:hAnsi="Times New Roman" w:cs="Times New Roman"/>
          <w:i/>
          <w:sz w:val="24"/>
          <w:szCs w:val="24"/>
        </w:rPr>
        <w:t>Zim</w:t>
      </w:r>
      <w:proofErr w:type="spellEnd"/>
      <w:r w:rsidRPr="002E29D3">
        <w:rPr>
          <w:rFonts w:ascii="Times New Roman" w:hAnsi="Times New Roman" w:cs="Times New Roman"/>
          <w:i/>
          <w:sz w:val="24"/>
          <w:szCs w:val="24"/>
        </w:rPr>
        <w:t xml:space="preserve"> (</w:t>
      </w:r>
      <w:proofErr w:type="spellStart"/>
      <w:r w:rsidRPr="002E29D3">
        <w:rPr>
          <w:rFonts w:ascii="Times New Roman" w:hAnsi="Times New Roman" w:cs="Times New Roman"/>
          <w:i/>
          <w:sz w:val="24"/>
          <w:szCs w:val="24"/>
        </w:rPr>
        <w:t>Pvt</w:t>
      </w:r>
      <w:proofErr w:type="spellEnd"/>
      <w:r w:rsidRPr="002E29D3">
        <w:rPr>
          <w:rFonts w:ascii="Times New Roman" w:hAnsi="Times New Roman" w:cs="Times New Roman"/>
          <w:i/>
          <w:sz w:val="24"/>
          <w:szCs w:val="24"/>
        </w:rPr>
        <w:t>) Ltd and Anor</w:t>
      </w:r>
      <w:r>
        <w:rPr>
          <w:rFonts w:ascii="Times New Roman" w:hAnsi="Times New Roman" w:cs="Times New Roman"/>
          <w:sz w:val="24"/>
          <w:szCs w:val="24"/>
        </w:rPr>
        <w:t xml:space="preserve"> v </w:t>
      </w:r>
      <w:r w:rsidRPr="002E29D3">
        <w:rPr>
          <w:rFonts w:ascii="Times New Roman" w:hAnsi="Times New Roman" w:cs="Times New Roman"/>
          <w:i/>
          <w:sz w:val="24"/>
          <w:szCs w:val="24"/>
        </w:rPr>
        <w:t xml:space="preserve">Collen </w:t>
      </w:r>
      <w:proofErr w:type="spellStart"/>
      <w:r w:rsidRPr="002E29D3">
        <w:rPr>
          <w:rFonts w:ascii="Times New Roman" w:hAnsi="Times New Roman" w:cs="Times New Roman"/>
          <w:i/>
          <w:sz w:val="24"/>
          <w:szCs w:val="24"/>
        </w:rPr>
        <w:t>Gure</w:t>
      </w:r>
      <w:proofErr w:type="spellEnd"/>
      <w:r>
        <w:rPr>
          <w:rFonts w:ascii="Times New Roman" w:hAnsi="Times New Roman" w:cs="Times New Roman"/>
          <w:sz w:val="24"/>
          <w:szCs w:val="24"/>
        </w:rPr>
        <w:t xml:space="preserve"> HH 263-16.</w:t>
      </w:r>
    </w:p>
    <w:p w:rsidR="00653A3A" w:rsidRDefault="00653A3A" w:rsidP="009D15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this matter, the commencement of arbitration proceedings did not </w:t>
      </w:r>
      <w:r w:rsidR="00D62D0B">
        <w:rPr>
          <w:rFonts w:ascii="Times New Roman" w:hAnsi="Times New Roman" w:cs="Times New Roman"/>
          <w:sz w:val="24"/>
          <w:szCs w:val="24"/>
        </w:rPr>
        <w:t>interrupt prescription.  In terms of section 17 of the Prescription Act, arbitration proceedings could</w:t>
      </w:r>
      <w:r w:rsidR="00555679">
        <w:rPr>
          <w:rFonts w:ascii="Times New Roman" w:hAnsi="Times New Roman" w:cs="Times New Roman"/>
          <w:sz w:val="24"/>
          <w:szCs w:val="24"/>
        </w:rPr>
        <w:t xml:space="preserve"> only have delayed prescription. </w:t>
      </w:r>
      <w:r w:rsidR="00D62D0B">
        <w:rPr>
          <w:rFonts w:ascii="Times New Roman" w:hAnsi="Times New Roman" w:cs="Times New Roman"/>
          <w:sz w:val="24"/>
          <w:szCs w:val="24"/>
        </w:rPr>
        <w:t xml:space="preserve"> </w:t>
      </w:r>
      <w:r w:rsidR="00555679">
        <w:rPr>
          <w:rFonts w:ascii="Times New Roman" w:hAnsi="Times New Roman" w:cs="Times New Roman"/>
          <w:sz w:val="24"/>
          <w:szCs w:val="24"/>
        </w:rPr>
        <w:t xml:space="preserve">The question </w:t>
      </w:r>
      <w:r w:rsidR="00D62D0B">
        <w:rPr>
          <w:rFonts w:ascii="Times New Roman" w:hAnsi="Times New Roman" w:cs="Times New Roman"/>
          <w:sz w:val="24"/>
          <w:szCs w:val="24"/>
        </w:rPr>
        <w:t>is to what extent and for what period was the prescription period delayed before it could be completed.  Section 17 of the Prescription Act reads as follows;</w:t>
      </w:r>
    </w:p>
    <w:p w:rsidR="00D62D0B" w:rsidRDefault="00D62D0B" w:rsidP="00983E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“17 When completion of prescription delayed</w:t>
      </w:r>
    </w:p>
    <w:p w:rsidR="00D62D0B" w:rsidRPr="0084329B" w:rsidRDefault="0084329B" w:rsidP="00983E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sidR="00D62D0B" w:rsidRPr="0084329B">
        <w:rPr>
          <w:rFonts w:ascii="Times New Roman" w:hAnsi="Times New Roman" w:cs="Times New Roman"/>
          <w:sz w:val="24"/>
          <w:szCs w:val="24"/>
        </w:rPr>
        <w:t>if</w:t>
      </w:r>
      <w:proofErr w:type="gramEnd"/>
      <w:r w:rsidR="00D62D0B" w:rsidRPr="0084329B">
        <w:rPr>
          <w:rFonts w:ascii="Times New Roman" w:hAnsi="Times New Roman" w:cs="Times New Roman"/>
          <w:sz w:val="24"/>
          <w:szCs w:val="24"/>
        </w:rPr>
        <w:t xml:space="preserve"> –</w:t>
      </w:r>
    </w:p>
    <w:p w:rsidR="00D62D0B" w:rsidRPr="002E29D3" w:rsidRDefault="002E29D3" w:rsidP="00983E8D">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D62D0B" w:rsidRPr="002E29D3">
        <w:rPr>
          <w:rFonts w:ascii="Times New Roman" w:hAnsi="Times New Roman" w:cs="Times New Roman"/>
          <w:sz w:val="24"/>
          <w:szCs w:val="24"/>
        </w:rPr>
        <w:t>……………….; or</w:t>
      </w:r>
    </w:p>
    <w:p w:rsidR="00D62D0B" w:rsidRDefault="002E29D3" w:rsidP="00983E8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 or</w:t>
      </w:r>
    </w:p>
    <w:p w:rsidR="002E29D3" w:rsidRPr="002E29D3" w:rsidRDefault="002E29D3" w:rsidP="00983E8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or</w:t>
      </w:r>
    </w:p>
    <w:p w:rsidR="00167D54" w:rsidRPr="002E29D3" w:rsidRDefault="00A24C7E" w:rsidP="00983E8D">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D62D0B" w:rsidRPr="002E29D3">
        <w:rPr>
          <w:rFonts w:ascii="Times New Roman" w:hAnsi="Times New Roman" w:cs="Times New Roman"/>
          <w:sz w:val="24"/>
          <w:szCs w:val="24"/>
        </w:rPr>
        <w:t>The debt is the</w:t>
      </w:r>
      <w:r w:rsidR="00167D54" w:rsidRPr="002E29D3">
        <w:rPr>
          <w:rFonts w:ascii="Times New Roman" w:hAnsi="Times New Roman" w:cs="Times New Roman"/>
          <w:sz w:val="24"/>
          <w:szCs w:val="24"/>
        </w:rPr>
        <w:t xml:space="preserve"> subject matter of a dispute submitted to arbitration, or is the subject matter of a claim filed against the estate of a debtor who is deceased or against the insolvent estate of a debtor or against a company in liquidation or against an applicant under the Agricultural Assistance Scheme set out in the Third Schedule to the Agricultural Finance Corporation Act (Chapter 18:02), or</w:t>
      </w:r>
    </w:p>
    <w:p w:rsidR="00167D54" w:rsidRPr="008B1132" w:rsidRDefault="008B1132" w:rsidP="00983E8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w:t>
      </w:r>
      <w:r>
        <w:rPr>
          <w:rFonts w:ascii="Times New Roman" w:hAnsi="Times New Roman" w:cs="Times New Roman"/>
          <w:sz w:val="24"/>
          <w:szCs w:val="24"/>
        </w:rPr>
        <w:tab/>
        <w:t xml:space="preserve">……………………; </w:t>
      </w:r>
    </w:p>
    <w:p w:rsidR="00D62D0B" w:rsidRPr="00761119" w:rsidRDefault="00167D54" w:rsidP="00983E8D">
      <w:pPr>
        <w:spacing w:line="240" w:lineRule="auto"/>
        <w:ind w:left="2160"/>
        <w:jc w:val="both"/>
        <w:rPr>
          <w:rFonts w:ascii="Times New Roman" w:hAnsi="Times New Roman" w:cs="Times New Roman"/>
          <w:sz w:val="24"/>
          <w:szCs w:val="24"/>
        </w:rPr>
      </w:pPr>
      <w:r w:rsidRPr="00761119">
        <w:rPr>
          <w:rFonts w:ascii="Times New Roman" w:hAnsi="Times New Roman" w:cs="Times New Roman"/>
          <w:sz w:val="24"/>
          <w:szCs w:val="24"/>
          <w:u w:val="single"/>
        </w:rPr>
        <w:t>and the period of prescription would but for this subsection, be completed before or on, or within one year after the date on which the relevant impediment referred to in</w:t>
      </w:r>
      <w:r w:rsidR="00983E8D">
        <w:rPr>
          <w:rFonts w:ascii="Times New Roman" w:hAnsi="Times New Roman" w:cs="Times New Roman"/>
          <w:sz w:val="24"/>
          <w:szCs w:val="24"/>
          <w:u w:val="single"/>
        </w:rPr>
        <w:t xml:space="preserve"> paragraph (a), (b) (c) (d) or e</w:t>
      </w:r>
      <w:r w:rsidRPr="00761119">
        <w:rPr>
          <w:rFonts w:ascii="Times New Roman" w:hAnsi="Times New Roman" w:cs="Times New Roman"/>
          <w:sz w:val="24"/>
          <w:szCs w:val="24"/>
          <w:u w:val="single"/>
        </w:rPr>
        <w:t xml:space="preserve"> has </w:t>
      </w:r>
      <w:r w:rsidRPr="00761119">
        <w:rPr>
          <w:rFonts w:ascii="Times New Roman" w:hAnsi="Times New Roman" w:cs="Times New Roman"/>
          <w:sz w:val="24"/>
          <w:szCs w:val="24"/>
          <w:u w:val="single"/>
        </w:rPr>
        <w:lastRenderedPageBreak/>
        <w:t>ceased to exist the period of prescription shall not be completed before the expiration of the period of one year which follows that.”</w:t>
      </w:r>
      <w:r w:rsidRPr="00761119">
        <w:rPr>
          <w:rFonts w:ascii="Times New Roman" w:hAnsi="Times New Roman" w:cs="Times New Roman"/>
          <w:sz w:val="24"/>
          <w:szCs w:val="24"/>
        </w:rPr>
        <w:t xml:space="preserve"> (</w:t>
      </w:r>
      <w:proofErr w:type="gramStart"/>
      <w:r w:rsidRPr="00761119">
        <w:rPr>
          <w:rFonts w:ascii="Times New Roman" w:hAnsi="Times New Roman" w:cs="Times New Roman"/>
          <w:sz w:val="24"/>
          <w:szCs w:val="24"/>
        </w:rPr>
        <w:t>emphasis</w:t>
      </w:r>
      <w:proofErr w:type="gramEnd"/>
      <w:r w:rsidRPr="00761119">
        <w:rPr>
          <w:rFonts w:ascii="Times New Roman" w:hAnsi="Times New Roman" w:cs="Times New Roman"/>
          <w:sz w:val="24"/>
          <w:szCs w:val="24"/>
        </w:rPr>
        <w:t xml:space="preserve"> added)</w:t>
      </w:r>
      <w:r w:rsidR="00D62D0B" w:rsidRPr="00761119">
        <w:rPr>
          <w:rFonts w:ascii="Times New Roman" w:hAnsi="Times New Roman" w:cs="Times New Roman"/>
          <w:sz w:val="24"/>
          <w:szCs w:val="24"/>
        </w:rPr>
        <w:t xml:space="preserve"> </w:t>
      </w:r>
    </w:p>
    <w:p w:rsidR="002F04E2" w:rsidRDefault="002F04E2" w:rsidP="009D150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meaning of the above section is patently clear, namely that, arbitration is nothing more than a delaying impediment in the</w:t>
      </w:r>
      <w:r w:rsidR="002946F9">
        <w:rPr>
          <w:rFonts w:ascii="Times New Roman" w:hAnsi="Times New Roman" w:cs="Times New Roman"/>
          <w:sz w:val="24"/>
          <w:szCs w:val="24"/>
        </w:rPr>
        <w:t xml:space="preserve"> running of prescription effective from the date where the cause of action arose.  This impediment only delays the running of prescription by a year following the conclusion of arbitration process.</w:t>
      </w:r>
    </w:p>
    <w:p w:rsidR="002946F9" w:rsidRDefault="002946F9" w:rsidP="009D1505">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Applying this to the facts of t</w:t>
      </w:r>
      <w:r w:rsidR="001464F4">
        <w:rPr>
          <w:rFonts w:ascii="Times New Roman" w:hAnsi="Times New Roman" w:cs="Times New Roman"/>
          <w:sz w:val="24"/>
          <w:szCs w:val="24"/>
        </w:rPr>
        <w:t xml:space="preserve">he matter in </w:t>
      </w:r>
      <w:proofErr w:type="spellStart"/>
      <w:r w:rsidR="001464F4">
        <w:rPr>
          <w:rFonts w:ascii="Times New Roman" w:hAnsi="Times New Roman" w:cs="Times New Roman"/>
          <w:sz w:val="24"/>
          <w:szCs w:val="24"/>
        </w:rPr>
        <w:t>casu</w:t>
      </w:r>
      <w:proofErr w:type="spellEnd"/>
      <w:r w:rsidR="001464F4">
        <w:rPr>
          <w:rFonts w:ascii="Times New Roman" w:hAnsi="Times New Roman" w:cs="Times New Roman"/>
          <w:sz w:val="24"/>
          <w:szCs w:val="24"/>
        </w:rPr>
        <w:t xml:space="preserve"> </w:t>
      </w:r>
      <w:r>
        <w:rPr>
          <w:rFonts w:ascii="Times New Roman" w:hAnsi="Times New Roman" w:cs="Times New Roman"/>
          <w:sz w:val="24"/>
          <w:szCs w:val="24"/>
        </w:rPr>
        <w:t>and taking quite a liberal approach to the effect that the cause of action arose at the very least in January 2012 and that the arbitral process was completed by quantification of the award in November 2015, then prescription became complete a year after, that is in November 2016.</w:t>
      </w:r>
    </w:p>
    <w:p w:rsidR="002946F9" w:rsidRDefault="002946F9" w:rsidP="009D1505">
      <w:pPr>
        <w:spacing w:line="360" w:lineRule="auto"/>
        <w:jc w:val="both"/>
        <w:rPr>
          <w:rFonts w:ascii="Times New Roman" w:hAnsi="Times New Roman" w:cs="Times New Roman"/>
          <w:sz w:val="24"/>
          <w:szCs w:val="24"/>
        </w:rPr>
      </w:pPr>
      <w:r>
        <w:rPr>
          <w:rFonts w:ascii="Times New Roman" w:hAnsi="Times New Roman" w:cs="Times New Roman"/>
          <w:sz w:val="24"/>
          <w:szCs w:val="24"/>
        </w:rPr>
        <w:tab/>
        <w:t>Quite clearly, respondent</w:t>
      </w:r>
      <w:r w:rsidR="001464F4">
        <w:rPr>
          <w:rFonts w:ascii="Times New Roman" w:hAnsi="Times New Roman" w:cs="Times New Roman"/>
          <w:sz w:val="24"/>
          <w:szCs w:val="24"/>
        </w:rPr>
        <w:t>s were</w:t>
      </w:r>
      <w:r>
        <w:rPr>
          <w:rFonts w:ascii="Times New Roman" w:hAnsi="Times New Roman" w:cs="Times New Roman"/>
          <w:sz w:val="24"/>
          <w:szCs w:val="24"/>
        </w:rPr>
        <w:t xml:space="preserve"> therefore supposed to have registered the award or commenced judicial proceedings for registration of the award before November 2016 – See </w:t>
      </w:r>
      <w:proofErr w:type="spellStart"/>
      <w:r w:rsidRPr="006A24BE">
        <w:rPr>
          <w:rFonts w:ascii="Times New Roman" w:hAnsi="Times New Roman" w:cs="Times New Roman"/>
          <w:i/>
          <w:sz w:val="24"/>
          <w:szCs w:val="24"/>
        </w:rPr>
        <w:t>Chiwawa</w:t>
      </w:r>
      <w:proofErr w:type="spellEnd"/>
      <w:r>
        <w:rPr>
          <w:rFonts w:ascii="Times New Roman" w:hAnsi="Times New Roman" w:cs="Times New Roman"/>
          <w:sz w:val="24"/>
          <w:szCs w:val="24"/>
        </w:rPr>
        <w:t xml:space="preserve"> v </w:t>
      </w:r>
      <w:proofErr w:type="spellStart"/>
      <w:r w:rsidRPr="006A24BE">
        <w:rPr>
          <w:rFonts w:ascii="Times New Roman" w:hAnsi="Times New Roman" w:cs="Times New Roman"/>
          <w:i/>
          <w:sz w:val="24"/>
          <w:szCs w:val="24"/>
        </w:rPr>
        <w:t>Mutzuris</w:t>
      </w:r>
      <w:proofErr w:type="spellEnd"/>
      <w:r w:rsidRPr="006A24BE">
        <w:rPr>
          <w:rFonts w:ascii="Times New Roman" w:hAnsi="Times New Roman" w:cs="Times New Roman"/>
          <w:i/>
          <w:sz w:val="24"/>
          <w:szCs w:val="24"/>
        </w:rPr>
        <w:t xml:space="preserve"> and 4 </w:t>
      </w:r>
      <w:proofErr w:type="spellStart"/>
      <w:r w:rsidRPr="006A24BE">
        <w:rPr>
          <w:rFonts w:ascii="Times New Roman" w:hAnsi="Times New Roman" w:cs="Times New Roman"/>
          <w:i/>
          <w:sz w:val="24"/>
          <w:szCs w:val="24"/>
        </w:rPr>
        <w:t>Ors</w:t>
      </w:r>
      <w:proofErr w:type="spellEnd"/>
      <w:r>
        <w:rPr>
          <w:rFonts w:ascii="Times New Roman" w:hAnsi="Times New Roman" w:cs="Times New Roman"/>
          <w:sz w:val="24"/>
          <w:szCs w:val="24"/>
        </w:rPr>
        <w:t xml:space="preserve"> </w:t>
      </w:r>
      <w:r w:rsidRPr="001464F4">
        <w:rPr>
          <w:rFonts w:ascii="Times New Roman" w:hAnsi="Times New Roman" w:cs="Times New Roman"/>
          <w:i/>
          <w:sz w:val="24"/>
          <w:szCs w:val="24"/>
        </w:rPr>
        <w:t>supra</w:t>
      </w:r>
      <w:r>
        <w:rPr>
          <w:rFonts w:ascii="Times New Roman" w:hAnsi="Times New Roman" w:cs="Times New Roman"/>
          <w:sz w:val="24"/>
          <w:szCs w:val="24"/>
        </w:rPr>
        <w:t xml:space="preserve"> where the following was stated;</w:t>
      </w:r>
    </w:p>
    <w:p w:rsidR="002946F9" w:rsidRDefault="002946F9" w:rsidP="00DF5A9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period stipulated in the Act for the extinction of debts is peremptory.  It cannot be waived.  It is neither fixed in the discretion of court nor can the court extend the period for good cause shown.  Like the sword of Damocles, it falls on all uncollected debts and falls on a pre-determined date.”</w:t>
      </w:r>
    </w:p>
    <w:p w:rsidR="00E87EB0" w:rsidRDefault="00E87EB0" w:rsidP="009D15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this appeal are identical to those in </w:t>
      </w:r>
      <w:r w:rsidRPr="005124CF">
        <w:rPr>
          <w:rFonts w:ascii="Times New Roman" w:hAnsi="Times New Roman" w:cs="Times New Roman"/>
          <w:i/>
          <w:sz w:val="24"/>
          <w:szCs w:val="24"/>
        </w:rPr>
        <w:t>Redcliff Municipality</w:t>
      </w:r>
      <w:r>
        <w:rPr>
          <w:rFonts w:ascii="Times New Roman" w:hAnsi="Times New Roman" w:cs="Times New Roman"/>
          <w:sz w:val="24"/>
          <w:szCs w:val="24"/>
        </w:rPr>
        <w:t xml:space="preserve"> v </w:t>
      </w:r>
      <w:proofErr w:type="spellStart"/>
      <w:r w:rsidRPr="005124CF">
        <w:rPr>
          <w:rFonts w:ascii="Times New Roman" w:hAnsi="Times New Roman" w:cs="Times New Roman"/>
          <w:i/>
          <w:sz w:val="24"/>
          <w:szCs w:val="24"/>
        </w:rPr>
        <w:t>Onias</w:t>
      </w:r>
      <w:proofErr w:type="spellEnd"/>
      <w:r w:rsidRPr="005124CF">
        <w:rPr>
          <w:rFonts w:ascii="Times New Roman" w:hAnsi="Times New Roman" w:cs="Times New Roman"/>
          <w:i/>
          <w:sz w:val="24"/>
          <w:szCs w:val="24"/>
        </w:rPr>
        <w:t xml:space="preserve"> </w:t>
      </w:r>
      <w:proofErr w:type="spellStart"/>
      <w:r w:rsidRPr="005124CF">
        <w:rPr>
          <w:rFonts w:ascii="Times New Roman" w:hAnsi="Times New Roman" w:cs="Times New Roman"/>
          <w:i/>
          <w:sz w:val="24"/>
          <w:szCs w:val="24"/>
        </w:rPr>
        <w:t>Ncube</w:t>
      </w:r>
      <w:proofErr w:type="spellEnd"/>
      <w:r>
        <w:rPr>
          <w:rFonts w:ascii="Times New Roman" w:hAnsi="Times New Roman" w:cs="Times New Roman"/>
          <w:sz w:val="24"/>
          <w:szCs w:val="24"/>
        </w:rPr>
        <w:t xml:space="preserve"> HCA 66/18.  The two appeals</w:t>
      </w:r>
      <w:r w:rsidR="00117B77">
        <w:rPr>
          <w:rFonts w:ascii="Times New Roman" w:hAnsi="Times New Roman" w:cs="Times New Roman"/>
          <w:sz w:val="24"/>
          <w:szCs w:val="24"/>
        </w:rPr>
        <w:t xml:space="preserve"> were consolidated and argued at the same time</w:t>
      </w:r>
      <w:r>
        <w:rPr>
          <w:rFonts w:ascii="Times New Roman" w:hAnsi="Times New Roman" w:cs="Times New Roman"/>
          <w:sz w:val="24"/>
          <w:szCs w:val="24"/>
        </w:rPr>
        <w:t>.  The issues and grounds of appeal are similar in that in both cases the issue of prescription was raised and argued in factual circumstances that apply to both respondents.  Therefore the findings and conclusions of this court on the legal question of pre</w:t>
      </w:r>
      <w:r w:rsidR="00117B77">
        <w:rPr>
          <w:rFonts w:ascii="Times New Roman" w:hAnsi="Times New Roman" w:cs="Times New Roman"/>
          <w:sz w:val="24"/>
          <w:szCs w:val="24"/>
        </w:rPr>
        <w:t xml:space="preserve">scription apply to both </w:t>
      </w:r>
      <w:r>
        <w:rPr>
          <w:rFonts w:ascii="Times New Roman" w:hAnsi="Times New Roman" w:cs="Times New Roman"/>
          <w:sz w:val="24"/>
          <w:szCs w:val="24"/>
        </w:rPr>
        <w:t>respondents.  The award was granted on the same date and quantified on the same date.  Both respondents failed to prosecute their registration processes before November 2016.</w:t>
      </w:r>
    </w:p>
    <w:p w:rsidR="00E87EB0" w:rsidRDefault="00E87EB0" w:rsidP="009D15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point </w:t>
      </w:r>
      <w:r w:rsidRPr="007E708C">
        <w:rPr>
          <w:rFonts w:ascii="Times New Roman" w:hAnsi="Times New Roman" w:cs="Times New Roman"/>
          <w:i/>
          <w:sz w:val="24"/>
          <w:szCs w:val="24"/>
        </w:rPr>
        <w:t xml:space="preserve">in </w:t>
      </w:r>
      <w:proofErr w:type="spellStart"/>
      <w:r w:rsidRPr="007E708C">
        <w:rPr>
          <w:rFonts w:ascii="Times New Roman" w:hAnsi="Times New Roman" w:cs="Times New Roman"/>
          <w:i/>
          <w:sz w:val="24"/>
          <w:szCs w:val="24"/>
        </w:rPr>
        <w:t>limine</w:t>
      </w:r>
      <w:proofErr w:type="spellEnd"/>
      <w:r>
        <w:rPr>
          <w:rFonts w:ascii="Times New Roman" w:hAnsi="Times New Roman" w:cs="Times New Roman"/>
          <w:sz w:val="24"/>
          <w:szCs w:val="24"/>
        </w:rPr>
        <w:t xml:space="preserve"> has merit.</w:t>
      </w:r>
    </w:p>
    <w:p w:rsidR="00E87EB0" w:rsidRDefault="00E87EB0" w:rsidP="009D15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bookmarkStart w:id="0" w:name="_GoBack"/>
      <w:bookmarkEnd w:id="0"/>
    </w:p>
    <w:p w:rsidR="00E87EB0" w:rsidRDefault="00E87EB0" w:rsidP="009D15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appeal succeeds with costs.</w:t>
      </w:r>
    </w:p>
    <w:p w:rsidR="00E87EB0" w:rsidRDefault="00E87EB0" w:rsidP="009D15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decision of the court </w:t>
      </w:r>
      <w:r w:rsidRPr="007E708C">
        <w:rPr>
          <w:rFonts w:ascii="Times New Roman" w:hAnsi="Times New Roman" w:cs="Times New Roman"/>
          <w:i/>
          <w:sz w:val="24"/>
          <w:szCs w:val="24"/>
        </w:rPr>
        <w:t>a quo</w:t>
      </w:r>
      <w:r>
        <w:rPr>
          <w:rFonts w:ascii="Times New Roman" w:hAnsi="Times New Roman" w:cs="Times New Roman"/>
          <w:sz w:val="24"/>
          <w:szCs w:val="24"/>
        </w:rPr>
        <w:t xml:space="preserve"> be and is hereby set aside and substituted with following order:-</w:t>
      </w:r>
    </w:p>
    <w:p w:rsidR="00E87EB0" w:rsidRDefault="00E87EB0" w:rsidP="009D15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b/>
        <w:t>“The application for registration of the arbitral award be and is hereby dismissed with costs.”</w:t>
      </w:r>
    </w:p>
    <w:p w:rsidR="009D1505" w:rsidRDefault="009D1505" w:rsidP="009D1505">
      <w:pPr>
        <w:pStyle w:val="NoSpacing"/>
        <w:rPr>
          <w:i/>
        </w:rPr>
      </w:pPr>
    </w:p>
    <w:p w:rsidR="009D1505" w:rsidRDefault="009D1505" w:rsidP="009D1505">
      <w:pPr>
        <w:pStyle w:val="NoSpacing"/>
        <w:rPr>
          <w:i/>
        </w:rPr>
      </w:pPr>
    </w:p>
    <w:p w:rsidR="007E708C" w:rsidRDefault="007E708C" w:rsidP="009D1505">
      <w:pPr>
        <w:pStyle w:val="NoSpacing"/>
        <w:rPr>
          <w:i/>
        </w:rPr>
      </w:pPr>
    </w:p>
    <w:p w:rsidR="007E708C" w:rsidRDefault="007E708C" w:rsidP="009D1505">
      <w:pPr>
        <w:pStyle w:val="NoSpacing"/>
        <w:rPr>
          <w:i/>
        </w:rPr>
      </w:pPr>
    </w:p>
    <w:p w:rsidR="007E708C" w:rsidRDefault="007E708C" w:rsidP="009D1505">
      <w:pPr>
        <w:pStyle w:val="NoSpacing"/>
        <w:rPr>
          <w:i/>
        </w:rPr>
      </w:pPr>
    </w:p>
    <w:p w:rsidR="009D1505" w:rsidRDefault="009D1505" w:rsidP="009D1505">
      <w:pPr>
        <w:pStyle w:val="NoSpacing"/>
      </w:pPr>
      <w:r w:rsidRPr="009D1505">
        <w:rPr>
          <w:i/>
        </w:rPr>
        <w:t xml:space="preserve">Wilmot and Bennet c/o </w:t>
      </w:r>
      <w:proofErr w:type="spellStart"/>
      <w:r w:rsidRPr="009D1505">
        <w:rPr>
          <w:i/>
        </w:rPr>
        <w:t>Danziger</w:t>
      </w:r>
      <w:proofErr w:type="spellEnd"/>
      <w:r w:rsidRPr="009D1505">
        <w:rPr>
          <w:i/>
        </w:rPr>
        <w:t xml:space="preserve"> &amp; Partners</w:t>
      </w:r>
      <w:r>
        <w:t xml:space="preserve">, appellant’s legal </w:t>
      </w:r>
      <w:proofErr w:type="spellStart"/>
      <w:r>
        <w:t>practioners</w:t>
      </w:r>
      <w:proofErr w:type="spellEnd"/>
    </w:p>
    <w:p w:rsidR="009D1505" w:rsidRPr="002F04E2" w:rsidRDefault="009D1505" w:rsidP="009D1505">
      <w:pPr>
        <w:pStyle w:val="NoSpacing"/>
      </w:pPr>
      <w:proofErr w:type="spellStart"/>
      <w:r w:rsidRPr="009D1505">
        <w:rPr>
          <w:i/>
        </w:rPr>
        <w:t>Mavhiringidze</w:t>
      </w:r>
      <w:proofErr w:type="spellEnd"/>
      <w:r w:rsidRPr="009D1505">
        <w:rPr>
          <w:i/>
        </w:rPr>
        <w:t xml:space="preserve"> &amp; </w:t>
      </w:r>
      <w:proofErr w:type="spellStart"/>
      <w:r w:rsidRPr="009D1505">
        <w:rPr>
          <w:i/>
        </w:rPr>
        <w:t>Mashayare</w:t>
      </w:r>
      <w:proofErr w:type="spellEnd"/>
      <w:r w:rsidRPr="009D1505">
        <w:rPr>
          <w:i/>
        </w:rPr>
        <w:t xml:space="preserve"> c/o </w:t>
      </w:r>
      <w:proofErr w:type="spellStart"/>
      <w:r w:rsidRPr="009D1505">
        <w:rPr>
          <w:i/>
        </w:rPr>
        <w:t>Mashayamombe</w:t>
      </w:r>
      <w:proofErr w:type="spellEnd"/>
      <w:r w:rsidRPr="009D1505">
        <w:rPr>
          <w:i/>
        </w:rPr>
        <w:t xml:space="preserve"> &amp; Co. Attorneys</w:t>
      </w:r>
      <w:r>
        <w:t>, respondent’s legal practitioners</w:t>
      </w:r>
    </w:p>
    <w:p w:rsidR="002F04E2" w:rsidRDefault="002F04E2" w:rsidP="009D1505">
      <w:pPr>
        <w:pStyle w:val="NoSpacing"/>
      </w:pPr>
    </w:p>
    <w:p w:rsidR="002F04E2" w:rsidRPr="002F04E2" w:rsidRDefault="002F04E2" w:rsidP="002F04E2">
      <w:pPr>
        <w:spacing w:line="360" w:lineRule="auto"/>
        <w:rPr>
          <w:rFonts w:ascii="Times New Roman" w:hAnsi="Times New Roman" w:cs="Times New Roman"/>
          <w:sz w:val="24"/>
          <w:szCs w:val="24"/>
        </w:rPr>
      </w:pPr>
    </w:p>
    <w:p w:rsidR="00ED5AA4" w:rsidRDefault="00BB611C" w:rsidP="00ED5AA4">
      <w:pPr>
        <w:spacing w:line="360" w:lineRule="auto"/>
        <w:ind w:firstLine="720"/>
      </w:pPr>
      <w:r>
        <w:rPr>
          <w:rFonts w:ascii="Times New Roman" w:hAnsi="Times New Roman" w:cs="Times New Roman"/>
          <w:sz w:val="24"/>
          <w:szCs w:val="24"/>
        </w:rPr>
        <w:t xml:space="preserve"> </w:t>
      </w:r>
    </w:p>
    <w:sectPr w:rsidR="00ED5AA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7F1" w:rsidRDefault="00C457F1" w:rsidP="009D1505">
      <w:pPr>
        <w:spacing w:after="0" w:line="240" w:lineRule="auto"/>
      </w:pPr>
      <w:r>
        <w:separator/>
      </w:r>
    </w:p>
  </w:endnote>
  <w:endnote w:type="continuationSeparator" w:id="0">
    <w:p w:rsidR="00C457F1" w:rsidRDefault="00C457F1" w:rsidP="009D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7F1" w:rsidRDefault="00C457F1" w:rsidP="009D1505">
      <w:pPr>
        <w:spacing w:after="0" w:line="240" w:lineRule="auto"/>
      </w:pPr>
      <w:r>
        <w:separator/>
      </w:r>
    </w:p>
  </w:footnote>
  <w:footnote w:type="continuationSeparator" w:id="0">
    <w:p w:rsidR="00C457F1" w:rsidRDefault="00C457F1" w:rsidP="009D1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667942"/>
      <w:docPartObj>
        <w:docPartGallery w:val="Page Numbers (Top of Page)"/>
        <w:docPartUnique/>
      </w:docPartObj>
    </w:sdtPr>
    <w:sdtEndPr>
      <w:rPr>
        <w:rFonts w:ascii="Times New Roman" w:hAnsi="Times New Roman" w:cs="Times New Roman"/>
        <w:noProof/>
        <w:sz w:val="24"/>
        <w:szCs w:val="24"/>
      </w:rPr>
    </w:sdtEndPr>
    <w:sdtContent>
      <w:p w:rsidR="009D1505" w:rsidRPr="009D1505" w:rsidRDefault="009D1505">
        <w:pPr>
          <w:pStyle w:val="Header"/>
          <w:jc w:val="right"/>
          <w:rPr>
            <w:rFonts w:ascii="Times New Roman" w:hAnsi="Times New Roman" w:cs="Times New Roman"/>
            <w:noProof/>
            <w:sz w:val="24"/>
            <w:szCs w:val="24"/>
          </w:rPr>
        </w:pPr>
        <w:r w:rsidRPr="009D1505">
          <w:rPr>
            <w:rFonts w:ascii="Times New Roman" w:hAnsi="Times New Roman" w:cs="Times New Roman"/>
            <w:sz w:val="24"/>
            <w:szCs w:val="24"/>
          </w:rPr>
          <w:fldChar w:fldCharType="begin"/>
        </w:r>
        <w:r w:rsidRPr="009D1505">
          <w:rPr>
            <w:rFonts w:ascii="Times New Roman" w:hAnsi="Times New Roman" w:cs="Times New Roman"/>
            <w:sz w:val="24"/>
            <w:szCs w:val="24"/>
          </w:rPr>
          <w:instrText xml:space="preserve"> PAGE   \* MERGEFORMAT </w:instrText>
        </w:r>
        <w:r w:rsidRPr="009D1505">
          <w:rPr>
            <w:rFonts w:ascii="Times New Roman" w:hAnsi="Times New Roman" w:cs="Times New Roman"/>
            <w:sz w:val="24"/>
            <w:szCs w:val="24"/>
          </w:rPr>
          <w:fldChar w:fldCharType="separate"/>
        </w:r>
        <w:r w:rsidR="00117B77">
          <w:rPr>
            <w:rFonts w:ascii="Times New Roman" w:hAnsi="Times New Roman" w:cs="Times New Roman"/>
            <w:noProof/>
            <w:sz w:val="24"/>
            <w:szCs w:val="24"/>
          </w:rPr>
          <w:t>4</w:t>
        </w:r>
        <w:r w:rsidRPr="009D1505">
          <w:rPr>
            <w:rFonts w:ascii="Times New Roman" w:hAnsi="Times New Roman" w:cs="Times New Roman"/>
            <w:noProof/>
            <w:sz w:val="24"/>
            <w:szCs w:val="24"/>
          </w:rPr>
          <w:fldChar w:fldCharType="end"/>
        </w:r>
      </w:p>
      <w:p w:rsidR="009D1505" w:rsidRPr="009D1505" w:rsidRDefault="009D1505">
        <w:pPr>
          <w:pStyle w:val="Header"/>
          <w:jc w:val="right"/>
          <w:rPr>
            <w:rFonts w:ascii="Times New Roman" w:hAnsi="Times New Roman" w:cs="Times New Roman"/>
            <w:noProof/>
            <w:sz w:val="24"/>
            <w:szCs w:val="24"/>
          </w:rPr>
        </w:pPr>
        <w:r w:rsidRPr="009D1505">
          <w:rPr>
            <w:rFonts w:ascii="Times New Roman" w:hAnsi="Times New Roman" w:cs="Times New Roman"/>
            <w:noProof/>
            <w:sz w:val="24"/>
            <w:szCs w:val="24"/>
          </w:rPr>
          <w:t>HB</w:t>
        </w:r>
        <w:r w:rsidR="00C56599">
          <w:rPr>
            <w:rFonts w:ascii="Times New Roman" w:hAnsi="Times New Roman" w:cs="Times New Roman"/>
            <w:noProof/>
            <w:sz w:val="24"/>
            <w:szCs w:val="24"/>
          </w:rPr>
          <w:t xml:space="preserve"> 179/23</w:t>
        </w:r>
      </w:p>
      <w:p w:rsidR="009D1505" w:rsidRPr="009D1505" w:rsidRDefault="00C457F1">
        <w:pPr>
          <w:pStyle w:val="Header"/>
          <w:jc w:val="right"/>
          <w:rPr>
            <w:rFonts w:ascii="Times New Roman" w:hAnsi="Times New Roman" w:cs="Times New Roman"/>
            <w:sz w:val="24"/>
            <w:szCs w:val="24"/>
          </w:rPr>
        </w:pPr>
      </w:p>
    </w:sdtContent>
  </w:sdt>
  <w:p w:rsidR="009D1505" w:rsidRDefault="009D15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76F7C"/>
    <w:multiLevelType w:val="hybridMultilevel"/>
    <w:tmpl w:val="949EE168"/>
    <w:lvl w:ilvl="0" w:tplc="6F4E7436">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414B1274"/>
    <w:multiLevelType w:val="hybridMultilevel"/>
    <w:tmpl w:val="C9707ACC"/>
    <w:lvl w:ilvl="0" w:tplc="D452056E">
      <w:start w:val="1"/>
      <w:numFmt w:val="lowerLetter"/>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5D413FC0"/>
    <w:multiLevelType w:val="hybridMultilevel"/>
    <w:tmpl w:val="C79A0270"/>
    <w:lvl w:ilvl="0" w:tplc="049E76B6">
      <w:start w:val="2"/>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15:restartNumberingAfterBreak="0">
    <w:nsid w:val="62964D2C"/>
    <w:multiLevelType w:val="hybridMultilevel"/>
    <w:tmpl w:val="3CECA100"/>
    <w:lvl w:ilvl="0" w:tplc="33A48AB8">
      <w:start w:val="5"/>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E5"/>
    <w:rsid w:val="00036D9C"/>
    <w:rsid w:val="00087E36"/>
    <w:rsid w:val="000E68C0"/>
    <w:rsid w:val="00117B77"/>
    <w:rsid w:val="00125B41"/>
    <w:rsid w:val="001464F4"/>
    <w:rsid w:val="00167D54"/>
    <w:rsid w:val="001E365E"/>
    <w:rsid w:val="00216BE4"/>
    <w:rsid w:val="00223694"/>
    <w:rsid w:val="002946F9"/>
    <w:rsid w:val="002D2918"/>
    <w:rsid w:val="002E29D3"/>
    <w:rsid w:val="002F04E2"/>
    <w:rsid w:val="00480A46"/>
    <w:rsid w:val="005124CF"/>
    <w:rsid w:val="00555679"/>
    <w:rsid w:val="005B37F6"/>
    <w:rsid w:val="00653A3A"/>
    <w:rsid w:val="006A24BE"/>
    <w:rsid w:val="00752099"/>
    <w:rsid w:val="00761119"/>
    <w:rsid w:val="007E708C"/>
    <w:rsid w:val="00822D1E"/>
    <w:rsid w:val="0084329B"/>
    <w:rsid w:val="008B1132"/>
    <w:rsid w:val="008D0329"/>
    <w:rsid w:val="00965684"/>
    <w:rsid w:val="00983E8D"/>
    <w:rsid w:val="009A497F"/>
    <w:rsid w:val="009D1505"/>
    <w:rsid w:val="00A24C7E"/>
    <w:rsid w:val="00BB611C"/>
    <w:rsid w:val="00BD786F"/>
    <w:rsid w:val="00C03638"/>
    <w:rsid w:val="00C036E5"/>
    <w:rsid w:val="00C457F1"/>
    <w:rsid w:val="00C56599"/>
    <w:rsid w:val="00C66CAF"/>
    <w:rsid w:val="00D62D0B"/>
    <w:rsid w:val="00DC2BF8"/>
    <w:rsid w:val="00DF5A93"/>
    <w:rsid w:val="00E87EB0"/>
    <w:rsid w:val="00ED5AA4"/>
    <w:rsid w:val="00F669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487D2-7654-4174-A454-230F4381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6E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36E5"/>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D62D0B"/>
    <w:pPr>
      <w:ind w:left="720"/>
      <w:contextualSpacing/>
    </w:pPr>
  </w:style>
  <w:style w:type="paragraph" w:styleId="Header">
    <w:name w:val="header"/>
    <w:basedOn w:val="Normal"/>
    <w:link w:val="HeaderChar"/>
    <w:uiPriority w:val="99"/>
    <w:unhideWhenUsed/>
    <w:rsid w:val="009D1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505"/>
    <w:rPr>
      <w:rFonts w:eastAsiaTheme="minorEastAsia"/>
      <w:lang w:val="en-US"/>
    </w:rPr>
  </w:style>
  <w:style w:type="paragraph" w:styleId="Footer">
    <w:name w:val="footer"/>
    <w:basedOn w:val="Normal"/>
    <w:link w:val="FooterChar"/>
    <w:uiPriority w:val="99"/>
    <w:unhideWhenUsed/>
    <w:rsid w:val="009D1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50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34</cp:revision>
  <dcterms:created xsi:type="dcterms:W3CDTF">2023-08-31T08:23:00Z</dcterms:created>
  <dcterms:modified xsi:type="dcterms:W3CDTF">2023-09-05T08:38:00Z</dcterms:modified>
</cp:coreProperties>
</file>