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80F" w:rsidRDefault="0011580F" w:rsidP="0011580F">
      <w:pPr>
        <w:pStyle w:val="NoSpacing"/>
        <w:jc w:val="both"/>
        <w:rPr>
          <w:b/>
          <w:szCs w:val="24"/>
        </w:rPr>
      </w:pPr>
      <w:r>
        <w:rPr>
          <w:b/>
          <w:szCs w:val="24"/>
        </w:rPr>
        <w:t xml:space="preserve">RAYMOND CHIMONERA </w:t>
      </w:r>
    </w:p>
    <w:p w:rsidR="0011580F" w:rsidRDefault="0011580F" w:rsidP="0011580F">
      <w:pPr>
        <w:pStyle w:val="NoSpacing"/>
        <w:jc w:val="both"/>
        <w:rPr>
          <w:b/>
          <w:szCs w:val="24"/>
        </w:rPr>
      </w:pPr>
    </w:p>
    <w:p w:rsidR="0011580F" w:rsidRDefault="0011580F" w:rsidP="0011580F">
      <w:pPr>
        <w:pStyle w:val="NoSpacing"/>
        <w:jc w:val="both"/>
        <w:rPr>
          <w:b/>
          <w:szCs w:val="24"/>
        </w:rPr>
      </w:pPr>
      <w:r>
        <w:rPr>
          <w:b/>
          <w:szCs w:val="24"/>
        </w:rPr>
        <w:t xml:space="preserve">And </w:t>
      </w:r>
    </w:p>
    <w:p w:rsidR="0011580F" w:rsidRDefault="0011580F" w:rsidP="0011580F">
      <w:pPr>
        <w:pStyle w:val="NoSpacing"/>
        <w:jc w:val="both"/>
        <w:rPr>
          <w:b/>
          <w:szCs w:val="24"/>
        </w:rPr>
      </w:pPr>
    </w:p>
    <w:p w:rsidR="0011580F" w:rsidRPr="00D10188" w:rsidRDefault="0011580F" w:rsidP="0011580F">
      <w:pPr>
        <w:pStyle w:val="NoSpacing"/>
        <w:jc w:val="both"/>
        <w:rPr>
          <w:b/>
          <w:szCs w:val="24"/>
        </w:rPr>
      </w:pPr>
      <w:r>
        <w:rPr>
          <w:b/>
          <w:szCs w:val="24"/>
        </w:rPr>
        <w:t xml:space="preserve">KWANELE NDLOVU </w:t>
      </w:r>
    </w:p>
    <w:p w:rsidR="0011580F" w:rsidRPr="00D10188" w:rsidRDefault="0011580F" w:rsidP="0011580F">
      <w:pPr>
        <w:pStyle w:val="NoSpacing"/>
        <w:jc w:val="both"/>
        <w:rPr>
          <w:b/>
          <w:szCs w:val="24"/>
        </w:rPr>
      </w:pPr>
    </w:p>
    <w:p w:rsidR="0011580F" w:rsidRPr="00D10188" w:rsidRDefault="0011580F" w:rsidP="0011580F">
      <w:pPr>
        <w:pStyle w:val="NoSpacing"/>
        <w:jc w:val="both"/>
        <w:rPr>
          <w:b/>
          <w:szCs w:val="24"/>
        </w:rPr>
      </w:pPr>
      <w:r w:rsidRPr="00D10188">
        <w:rPr>
          <w:b/>
          <w:szCs w:val="24"/>
        </w:rPr>
        <w:t>Versus</w:t>
      </w:r>
    </w:p>
    <w:p w:rsidR="0011580F" w:rsidRPr="00D10188" w:rsidRDefault="0011580F" w:rsidP="0011580F">
      <w:pPr>
        <w:pStyle w:val="NoSpacing"/>
        <w:jc w:val="both"/>
        <w:rPr>
          <w:b/>
          <w:szCs w:val="24"/>
        </w:rPr>
      </w:pPr>
    </w:p>
    <w:p w:rsidR="0011580F" w:rsidRPr="00D10188" w:rsidRDefault="0011580F" w:rsidP="0011580F">
      <w:pPr>
        <w:pStyle w:val="NoSpacing"/>
        <w:jc w:val="both"/>
        <w:rPr>
          <w:b/>
          <w:szCs w:val="24"/>
        </w:rPr>
      </w:pPr>
      <w:r w:rsidRPr="00D10188">
        <w:rPr>
          <w:b/>
          <w:szCs w:val="24"/>
        </w:rPr>
        <w:t>THE STATE</w:t>
      </w:r>
    </w:p>
    <w:p w:rsidR="0011580F" w:rsidRPr="00D10188" w:rsidRDefault="0011580F" w:rsidP="0011580F">
      <w:pPr>
        <w:pStyle w:val="NoSpacing"/>
        <w:jc w:val="both"/>
        <w:rPr>
          <w:b/>
          <w:szCs w:val="24"/>
        </w:rPr>
      </w:pPr>
    </w:p>
    <w:p w:rsidR="0011580F" w:rsidRPr="00D10188" w:rsidRDefault="0011580F" w:rsidP="0011580F">
      <w:pPr>
        <w:pStyle w:val="NoSpacing"/>
        <w:jc w:val="both"/>
        <w:rPr>
          <w:szCs w:val="24"/>
        </w:rPr>
      </w:pPr>
      <w:r w:rsidRPr="00D10188">
        <w:rPr>
          <w:szCs w:val="24"/>
        </w:rPr>
        <w:t>IN THE HIGH COURT OF ZIMBABWE</w:t>
      </w:r>
    </w:p>
    <w:p w:rsidR="0011580F" w:rsidRPr="00D10188" w:rsidRDefault="0011580F" w:rsidP="0011580F">
      <w:pPr>
        <w:pStyle w:val="NoSpacing"/>
        <w:jc w:val="both"/>
        <w:rPr>
          <w:szCs w:val="24"/>
        </w:rPr>
      </w:pPr>
      <w:r>
        <w:rPr>
          <w:szCs w:val="24"/>
        </w:rPr>
        <w:t>DUBE-BANDA</w:t>
      </w:r>
      <w:r w:rsidRPr="00D10188">
        <w:rPr>
          <w:szCs w:val="24"/>
        </w:rPr>
        <w:t xml:space="preserve"> J</w:t>
      </w:r>
    </w:p>
    <w:p w:rsidR="0011580F" w:rsidRPr="00D10188" w:rsidRDefault="0011580F" w:rsidP="0011580F">
      <w:pPr>
        <w:pStyle w:val="NoSpacing"/>
        <w:jc w:val="both"/>
        <w:rPr>
          <w:szCs w:val="24"/>
        </w:rPr>
      </w:pPr>
      <w:r>
        <w:rPr>
          <w:szCs w:val="24"/>
        </w:rPr>
        <w:t>BULAWAYO 19, 22 MARCH 2021</w:t>
      </w:r>
      <w:r w:rsidRPr="00D10188">
        <w:rPr>
          <w:szCs w:val="24"/>
        </w:rPr>
        <w:t xml:space="preserve"> &amp; </w:t>
      </w:r>
      <w:r>
        <w:rPr>
          <w:szCs w:val="24"/>
        </w:rPr>
        <w:t>25 MARCH APRIL 2021</w:t>
      </w:r>
    </w:p>
    <w:p w:rsidR="0011580F" w:rsidRPr="00D10188" w:rsidRDefault="0011580F" w:rsidP="0011580F">
      <w:pPr>
        <w:pStyle w:val="NoSpacing"/>
        <w:jc w:val="both"/>
        <w:rPr>
          <w:szCs w:val="24"/>
        </w:rPr>
      </w:pPr>
    </w:p>
    <w:p w:rsidR="0011580F" w:rsidRPr="00D10188" w:rsidRDefault="0011580F" w:rsidP="0011580F">
      <w:pPr>
        <w:pStyle w:val="NoSpacing"/>
        <w:jc w:val="both"/>
        <w:rPr>
          <w:b/>
          <w:szCs w:val="24"/>
        </w:rPr>
      </w:pPr>
      <w:r w:rsidRPr="00D10188">
        <w:rPr>
          <w:b/>
          <w:szCs w:val="24"/>
        </w:rPr>
        <w:t>Application for bail pending appeal</w:t>
      </w:r>
    </w:p>
    <w:p w:rsidR="0011580F" w:rsidRPr="00D10188" w:rsidRDefault="0011580F" w:rsidP="0011580F">
      <w:pPr>
        <w:pStyle w:val="NoSpacing"/>
        <w:jc w:val="both"/>
        <w:rPr>
          <w:szCs w:val="24"/>
        </w:rPr>
      </w:pPr>
    </w:p>
    <w:p w:rsidR="0011580F" w:rsidRPr="00D10188" w:rsidRDefault="0011580F" w:rsidP="0011580F">
      <w:pPr>
        <w:pStyle w:val="NoSpacing"/>
        <w:jc w:val="both"/>
        <w:rPr>
          <w:szCs w:val="24"/>
        </w:rPr>
      </w:pPr>
      <w:r>
        <w:rPr>
          <w:i/>
          <w:szCs w:val="24"/>
        </w:rPr>
        <w:t xml:space="preserve">N. </w:t>
      </w:r>
      <w:proofErr w:type="spellStart"/>
      <w:r>
        <w:rPr>
          <w:i/>
          <w:szCs w:val="24"/>
        </w:rPr>
        <w:t>Sithole</w:t>
      </w:r>
      <w:proofErr w:type="spellEnd"/>
      <w:r>
        <w:rPr>
          <w:i/>
          <w:szCs w:val="24"/>
        </w:rPr>
        <w:t>,</w:t>
      </w:r>
      <w:r w:rsidRPr="00D10188">
        <w:rPr>
          <w:szCs w:val="24"/>
        </w:rPr>
        <w:t xml:space="preserve"> for the applicant</w:t>
      </w:r>
    </w:p>
    <w:p w:rsidR="0011580F" w:rsidRDefault="0011580F" w:rsidP="0011580F">
      <w:pPr>
        <w:pStyle w:val="NoSpacing"/>
        <w:jc w:val="both"/>
        <w:rPr>
          <w:szCs w:val="24"/>
        </w:rPr>
      </w:pPr>
      <w:r>
        <w:rPr>
          <w:i/>
          <w:szCs w:val="24"/>
        </w:rPr>
        <w:t xml:space="preserve">K. </w:t>
      </w:r>
      <w:proofErr w:type="spellStart"/>
      <w:r>
        <w:rPr>
          <w:i/>
          <w:szCs w:val="24"/>
        </w:rPr>
        <w:t>Ndlovu</w:t>
      </w:r>
      <w:proofErr w:type="spellEnd"/>
      <w:r>
        <w:rPr>
          <w:i/>
          <w:szCs w:val="24"/>
        </w:rPr>
        <w:t>,</w:t>
      </w:r>
      <w:r w:rsidRPr="00D10188">
        <w:rPr>
          <w:szCs w:val="24"/>
        </w:rPr>
        <w:t xml:space="preserve"> for the respondent</w:t>
      </w:r>
    </w:p>
    <w:p w:rsidR="0011580F" w:rsidRPr="00D10188" w:rsidRDefault="0011580F" w:rsidP="0011580F">
      <w:pPr>
        <w:pStyle w:val="NoSpacing"/>
        <w:jc w:val="both"/>
        <w:rPr>
          <w:szCs w:val="24"/>
        </w:rPr>
      </w:pPr>
    </w:p>
    <w:p w:rsidR="007D1363" w:rsidRPr="00FA4A5A" w:rsidRDefault="0011580F" w:rsidP="0011580F">
      <w:pPr>
        <w:spacing w:line="360" w:lineRule="auto"/>
        <w:ind w:firstLine="720"/>
        <w:jc w:val="both"/>
      </w:pPr>
      <w:r w:rsidRPr="00D475A4">
        <w:rPr>
          <w:b/>
        </w:rPr>
        <w:t>DUBE-BANDA J:</w:t>
      </w:r>
      <w:r>
        <w:t xml:space="preserve"> </w:t>
      </w:r>
      <w:r w:rsidR="00E60A42" w:rsidRPr="00FA4A5A">
        <w:t xml:space="preserve">This is an application for bail pending appeal. The </w:t>
      </w:r>
      <w:r w:rsidR="00C55B79">
        <w:t>applicants, including one other individual</w:t>
      </w:r>
      <w:r w:rsidR="005B4767" w:rsidRPr="00FA4A5A">
        <w:t xml:space="preserve"> who is not part of these proceedings, </w:t>
      </w:r>
      <w:r w:rsidR="00E60A42" w:rsidRPr="00FA4A5A">
        <w:t>were arraigned before the court of the Magistrate on a charge of theft as defined in section 113</w:t>
      </w:r>
      <w:r w:rsidR="00981822">
        <w:t xml:space="preserve"> (1) (a)</w:t>
      </w:r>
      <w:r w:rsidR="00E60A42" w:rsidRPr="00FA4A5A">
        <w:t xml:space="preserve"> of the Criminal Law (Codification and Reform) Act [Chapter 9:23]. </w:t>
      </w:r>
      <w:r w:rsidR="005B4767" w:rsidRPr="00FA4A5A">
        <w:t xml:space="preserve">After a contested trial, the three were found guilty as charged. First applicant </w:t>
      </w:r>
      <w:r w:rsidR="00795C0F" w:rsidRPr="00FA4A5A">
        <w:t>was sentenced to forty</w:t>
      </w:r>
      <w:r w:rsidR="005B4767" w:rsidRPr="00FA4A5A">
        <w:t xml:space="preserve"> months imprisonment, six months suspended on the usual conditions and a further </w:t>
      </w:r>
      <w:r w:rsidR="00C55B79">
        <w:t xml:space="preserve">twelve </w:t>
      </w:r>
      <w:r w:rsidR="005B4767" w:rsidRPr="00FA4A5A">
        <w:t xml:space="preserve">suspended on condition of restitution. He remained with an effective prison term of twenty-two months. </w:t>
      </w:r>
      <w:r w:rsidR="00795C0F" w:rsidRPr="00FA4A5A">
        <w:t xml:space="preserve">Second applicant was sentenced to fifty-four months imprisonment, twelve months suspended on condition of restitution. </w:t>
      </w:r>
      <w:r w:rsidR="00C55B79">
        <w:t xml:space="preserve">Forty two months effective. </w:t>
      </w:r>
    </w:p>
    <w:p w:rsidR="00CF0A58" w:rsidRPr="00FA4A5A" w:rsidRDefault="00CF0A58" w:rsidP="00893E79">
      <w:pPr>
        <w:spacing w:line="360" w:lineRule="auto"/>
        <w:ind w:firstLine="720"/>
        <w:jc w:val="both"/>
      </w:pPr>
    </w:p>
    <w:p w:rsidR="007D1363" w:rsidRPr="00FA4A5A" w:rsidRDefault="00CF0A58" w:rsidP="00893E79">
      <w:pPr>
        <w:spacing w:line="360" w:lineRule="auto"/>
        <w:ind w:firstLine="720"/>
        <w:jc w:val="both"/>
      </w:pPr>
      <w:r w:rsidRPr="00FA4A5A">
        <w:t>Aggrieved by both conviction and sentence, applicants noted an appeal to this court and such appeal is still pending under cover of case number HCA 68/20. Applicants now seeks to be admitted to bail pending the finalisation of such appeal. Th</w:t>
      </w:r>
      <w:r w:rsidR="00932287" w:rsidRPr="00FA4A5A">
        <w:t>e conviction is attacked on six</w:t>
      </w:r>
      <w:r w:rsidRPr="00FA4A5A">
        <w:t xml:space="preserve"> grounds and the sentence on one ground which are all set-out in the notice of appeal.</w:t>
      </w:r>
      <w:r w:rsidR="00932287" w:rsidRPr="00FA4A5A">
        <w:t xml:space="preserve"> </w:t>
      </w:r>
      <w:r w:rsidR="00DB70C7" w:rsidRPr="00FA4A5A">
        <w:t>In support of the application, applicants contend that they have good prospects of success on appeal</w:t>
      </w:r>
      <w:r w:rsidR="00E9344C" w:rsidRPr="00FA4A5A">
        <w:t xml:space="preserve"> against conviction</w:t>
      </w:r>
      <w:r w:rsidR="002A5300">
        <w:t xml:space="preserve"> and sentence</w:t>
      </w:r>
      <w:r w:rsidR="00DB70C7" w:rsidRPr="00FA4A5A">
        <w:t xml:space="preserve">. </w:t>
      </w:r>
      <w:r w:rsidR="00E9344C" w:rsidRPr="00FA4A5A">
        <w:t>In the main, it</w:t>
      </w:r>
      <w:r w:rsidR="00DB70C7" w:rsidRPr="00FA4A5A">
        <w:t xml:space="preserve"> is argued that the prosecution did not prove its case beyond a reasonable doubt; in that the witnesses provided conflicting and contradicting evidence; and that applicants’ version was </w:t>
      </w:r>
      <w:r w:rsidR="002A5300">
        <w:t>rejected without it being</w:t>
      </w:r>
      <w:r w:rsidR="00DB70C7" w:rsidRPr="00FA4A5A">
        <w:t xml:space="preserve"> shown to be f</w:t>
      </w:r>
      <w:r w:rsidR="002A5300">
        <w:t xml:space="preserve">alse beyond a reasonable doubt.  </w:t>
      </w:r>
    </w:p>
    <w:p w:rsidR="006D0303" w:rsidRPr="00FA4A5A" w:rsidRDefault="006D0303" w:rsidP="00893E79">
      <w:pPr>
        <w:spacing w:line="360" w:lineRule="auto"/>
        <w:ind w:firstLine="720"/>
        <w:jc w:val="both"/>
      </w:pPr>
    </w:p>
    <w:p w:rsidR="006D0303" w:rsidRPr="00FA4A5A" w:rsidRDefault="006D0303" w:rsidP="00893E79">
      <w:pPr>
        <w:spacing w:line="360" w:lineRule="auto"/>
        <w:ind w:firstLine="720"/>
        <w:jc w:val="both"/>
      </w:pPr>
      <w:r w:rsidRPr="00FA4A5A">
        <w:t>This application is not opposed. Respondent concedes that there are prospects of success on appeal. In its written submissions filed with this court, respondent avers that: applicants proffered an explanation with regards to their possession of the cel</w:t>
      </w:r>
      <w:r w:rsidR="00E43DC0">
        <w:t>l phone</w:t>
      </w:r>
      <w:r w:rsidRPr="00FA4A5A">
        <w:t xml:space="preserve"> handsets which were the subject of the charge; the state did not rebut the explanation and show that i</w:t>
      </w:r>
      <w:r w:rsidR="00E43DC0">
        <w:t>t was false beyond a reasonable doubt</w:t>
      </w:r>
      <w:r w:rsidRPr="00FA4A5A">
        <w:t xml:space="preserve">; and that applicants have reasonable prospects of success on appeal and therefore good candidates for bail pending appeal. </w:t>
      </w:r>
    </w:p>
    <w:p w:rsidR="007D1363" w:rsidRDefault="007D1363" w:rsidP="00893E79">
      <w:pPr>
        <w:spacing w:line="360" w:lineRule="auto"/>
        <w:ind w:firstLine="720"/>
        <w:jc w:val="both"/>
      </w:pPr>
    </w:p>
    <w:p w:rsidR="00893E79" w:rsidRDefault="006407F6" w:rsidP="002D6111">
      <w:pPr>
        <w:spacing w:line="360" w:lineRule="auto"/>
        <w:ind w:firstLine="720"/>
        <w:jc w:val="both"/>
      </w:pPr>
      <w:r>
        <w:t>Section 123 (1) (b) (ii) of the Criminal Procedure and Evidence Act</w:t>
      </w:r>
      <w:r w:rsidR="00272D64">
        <w:t xml:space="preserve"> [Chapter </w:t>
      </w:r>
      <w:r w:rsidR="007117A4">
        <w:t>9:07]</w:t>
      </w:r>
      <w:r w:rsidR="004429DA">
        <w:t xml:space="preserve"> (CPEA)</w:t>
      </w:r>
      <w:r w:rsidR="007117A4">
        <w:t>,</w:t>
      </w:r>
      <w:r>
        <w:t xml:space="preserve"> empowers this court to admit a convicted person to bail pending appeal. </w:t>
      </w:r>
      <w:r w:rsidR="00867473" w:rsidRPr="00867473">
        <w:t>The main factors to consider in</w:t>
      </w:r>
      <w:r w:rsidR="007117A4">
        <w:t xml:space="preserve"> an application </w:t>
      </w:r>
      <w:r w:rsidR="00167448">
        <w:t xml:space="preserve">for </w:t>
      </w:r>
      <w:r w:rsidR="00867473" w:rsidRPr="00867473">
        <w:t xml:space="preserve">bail brought by </w:t>
      </w:r>
      <w:r w:rsidR="00167448">
        <w:t>a person convicted</w:t>
      </w:r>
      <w:r w:rsidR="00867473" w:rsidRPr="00867473">
        <w:t xml:space="preserve"> are twofold. The first is the likelihood of </w:t>
      </w:r>
      <w:r w:rsidR="004429DA">
        <w:t xml:space="preserve">the applicant’s absconding. </w:t>
      </w:r>
      <w:r w:rsidR="00867473" w:rsidRPr="00867473">
        <w:t>The second is the applicant’s prospects of success on appeal in respect of both conviction and sentence. See</w:t>
      </w:r>
      <w:r w:rsidR="004429DA">
        <w:t>:</w:t>
      </w:r>
      <w:r w:rsidR="00867473" w:rsidRPr="00867473">
        <w:t xml:space="preserve"> </w:t>
      </w:r>
      <w:r w:rsidR="00867473" w:rsidRPr="00867473">
        <w:rPr>
          <w:i/>
          <w:iCs/>
        </w:rPr>
        <w:t xml:space="preserve">S v Williams </w:t>
      </w:r>
      <w:r w:rsidR="00867473" w:rsidRPr="00867473">
        <w:t xml:space="preserve">1980 ZLR 466 (A) at 468 G-H; </w:t>
      </w:r>
      <w:r w:rsidR="00867473" w:rsidRPr="00867473">
        <w:rPr>
          <w:i/>
          <w:iCs/>
        </w:rPr>
        <w:t xml:space="preserve">S v </w:t>
      </w:r>
      <w:proofErr w:type="spellStart"/>
      <w:r w:rsidR="00867473" w:rsidRPr="00867473">
        <w:rPr>
          <w:i/>
          <w:iCs/>
        </w:rPr>
        <w:t>Mutasa</w:t>
      </w:r>
      <w:proofErr w:type="spellEnd"/>
      <w:r w:rsidR="00867473" w:rsidRPr="00867473">
        <w:rPr>
          <w:i/>
          <w:iCs/>
        </w:rPr>
        <w:t xml:space="preserve"> </w:t>
      </w:r>
      <w:r w:rsidR="00867473" w:rsidRPr="00867473">
        <w:t xml:space="preserve">1988 (2) ZLR 4 (S) at 8D; </w:t>
      </w:r>
      <w:r w:rsidR="00867473" w:rsidRPr="00867473">
        <w:rPr>
          <w:i/>
          <w:iCs/>
        </w:rPr>
        <w:t xml:space="preserve">S v Woods </w:t>
      </w:r>
      <w:r w:rsidR="00867473" w:rsidRPr="00867473">
        <w:t xml:space="preserve">SC 60/93 at 3-4; </w:t>
      </w:r>
      <w:r w:rsidR="00867473" w:rsidRPr="00867473">
        <w:rPr>
          <w:i/>
          <w:iCs/>
        </w:rPr>
        <w:t xml:space="preserve">S v McGowan </w:t>
      </w:r>
      <w:r w:rsidR="00867473" w:rsidRPr="00867473">
        <w:t xml:space="preserve">1995 (2) ZLR 81 (S) at 83 E-H and 85 C-E. Other factors to be taken into consideration are the right of the individual to liberty and the possibility of a lengthy delay before the appeal can be heard. </w:t>
      </w:r>
      <w:r w:rsidR="00867473" w:rsidRPr="004429DA">
        <w:rPr>
          <w:iCs/>
        </w:rPr>
        <w:t>See</w:t>
      </w:r>
      <w:r w:rsidR="004429DA">
        <w:rPr>
          <w:i/>
          <w:iCs/>
        </w:rPr>
        <w:t>:</w:t>
      </w:r>
      <w:r w:rsidR="00867473" w:rsidRPr="00867473">
        <w:rPr>
          <w:i/>
          <w:iCs/>
        </w:rPr>
        <w:t xml:space="preserve"> </w:t>
      </w:r>
      <w:proofErr w:type="spellStart"/>
      <w:r w:rsidR="00867473" w:rsidRPr="00867473">
        <w:rPr>
          <w:i/>
          <w:iCs/>
        </w:rPr>
        <w:t>Mungwira</w:t>
      </w:r>
      <w:proofErr w:type="spellEnd"/>
      <w:r w:rsidR="00867473" w:rsidRPr="00867473">
        <w:rPr>
          <w:i/>
          <w:iCs/>
        </w:rPr>
        <w:t xml:space="preserve"> v S </w:t>
      </w:r>
      <w:r w:rsidR="00867473" w:rsidRPr="00867473">
        <w:t xml:space="preserve">HH 216/10. See: </w:t>
      </w:r>
      <w:proofErr w:type="spellStart"/>
      <w:r w:rsidR="00867473" w:rsidRPr="00867473">
        <w:rPr>
          <w:i/>
          <w:iCs/>
        </w:rPr>
        <w:t>Gaillah</w:t>
      </w:r>
      <w:proofErr w:type="spellEnd"/>
      <w:r w:rsidR="00867473" w:rsidRPr="00867473">
        <w:rPr>
          <w:i/>
          <w:iCs/>
        </w:rPr>
        <w:t xml:space="preserve"> </w:t>
      </w:r>
      <w:proofErr w:type="spellStart"/>
      <w:r w:rsidR="00867473" w:rsidRPr="00867473">
        <w:rPr>
          <w:i/>
          <w:iCs/>
        </w:rPr>
        <w:t>Muroyi</w:t>
      </w:r>
      <w:proofErr w:type="spellEnd"/>
      <w:r w:rsidR="00867473" w:rsidRPr="00867473">
        <w:rPr>
          <w:i/>
          <w:iCs/>
        </w:rPr>
        <w:t xml:space="preserve"> v The State (supra); Milton </w:t>
      </w:r>
      <w:proofErr w:type="spellStart"/>
      <w:r w:rsidR="00867473" w:rsidRPr="00867473">
        <w:rPr>
          <w:i/>
          <w:iCs/>
        </w:rPr>
        <w:t>Gomana</w:t>
      </w:r>
      <w:proofErr w:type="spellEnd"/>
      <w:r w:rsidR="00867473" w:rsidRPr="00867473">
        <w:rPr>
          <w:i/>
          <w:iCs/>
        </w:rPr>
        <w:t xml:space="preserve"> v The State </w:t>
      </w:r>
      <w:r w:rsidR="00867473" w:rsidRPr="00867473">
        <w:t>SC 166/20.</w:t>
      </w:r>
      <w:r w:rsidR="00893E79" w:rsidRPr="00893E79">
        <w:t xml:space="preserve"> In </w:t>
      </w:r>
      <w:r w:rsidR="00893E79" w:rsidRPr="00893E79">
        <w:rPr>
          <w:i/>
        </w:rPr>
        <w:t xml:space="preserve">Robert Martin </w:t>
      </w:r>
      <w:proofErr w:type="spellStart"/>
      <w:r w:rsidR="00893E79" w:rsidRPr="00893E79">
        <w:rPr>
          <w:i/>
        </w:rPr>
        <w:t>Gumbura</w:t>
      </w:r>
      <w:proofErr w:type="spellEnd"/>
      <w:r w:rsidR="00893E79" w:rsidRPr="00893E79">
        <w:rPr>
          <w:i/>
        </w:rPr>
        <w:t xml:space="preserve"> v The State</w:t>
      </w:r>
      <w:r w:rsidR="00893E79" w:rsidRPr="00893E79">
        <w:t xml:space="preserve"> SC 78/14, the court said the test to be applied in this regard is relatively uncomplicated: Is the appeal “reasonably arguable and not manifestly doomed to failure”? </w:t>
      </w:r>
    </w:p>
    <w:p w:rsidR="002D6111" w:rsidRPr="00867473" w:rsidRDefault="002D6111" w:rsidP="002D6111">
      <w:pPr>
        <w:spacing w:line="360" w:lineRule="auto"/>
        <w:ind w:firstLine="720"/>
        <w:jc w:val="both"/>
      </w:pPr>
    </w:p>
    <w:p w:rsidR="002C54F4" w:rsidRPr="00C06067" w:rsidRDefault="00D62EB1" w:rsidP="00C06067">
      <w:pPr>
        <w:autoSpaceDE w:val="0"/>
        <w:autoSpaceDN w:val="0"/>
        <w:adjustRightInd w:val="0"/>
        <w:spacing w:line="360" w:lineRule="auto"/>
        <w:ind w:firstLine="720"/>
        <w:jc w:val="both"/>
        <w:rPr>
          <w:rFonts w:eastAsiaTheme="minorHAnsi"/>
          <w:lang w:val="en-ZW"/>
        </w:rPr>
      </w:pPr>
      <w:r w:rsidRPr="00D62EB1">
        <w:rPr>
          <w:rFonts w:eastAsiaTheme="minorHAnsi"/>
          <w:lang w:val="en-ZW"/>
        </w:rPr>
        <w:t xml:space="preserve">Section 115C </w:t>
      </w:r>
      <w:r w:rsidR="00692D8C" w:rsidRPr="00D62EB1">
        <w:rPr>
          <w:rFonts w:eastAsiaTheme="minorHAnsi"/>
          <w:lang w:val="en-ZW"/>
        </w:rPr>
        <w:t>(2</w:t>
      </w:r>
      <w:r w:rsidR="004429DA">
        <w:rPr>
          <w:rFonts w:eastAsiaTheme="minorHAnsi"/>
          <w:lang w:val="en-ZW"/>
        </w:rPr>
        <w:t xml:space="preserve">) (b) of the CPEA </w:t>
      </w:r>
      <w:r>
        <w:rPr>
          <w:rFonts w:eastAsiaTheme="minorHAnsi"/>
          <w:lang w:val="en-ZW"/>
        </w:rPr>
        <w:t xml:space="preserve">says </w:t>
      </w:r>
      <w:r w:rsidRPr="00D62EB1">
        <w:rPr>
          <w:rFonts w:eastAsiaTheme="minorHAnsi"/>
          <w:lang w:val="en-ZW"/>
        </w:rPr>
        <w:t>w</w:t>
      </w:r>
      <w:r w:rsidR="00692D8C" w:rsidRPr="00D62EB1">
        <w:rPr>
          <w:rFonts w:eastAsiaTheme="minorHAnsi"/>
          <w:lang w:val="en-ZW"/>
        </w:rPr>
        <w:t>here an accused person who is in custody in respect of an offence applies to be admitted to bail</w:t>
      </w:r>
      <w:r w:rsidRPr="00D62EB1">
        <w:rPr>
          <w:rFonts w:eastAsiaTheme="minorHAnsi"/>
          <w:lang w:val="en-ZW"/>
        </w:rPr>
        <w:t xml:space="preserve"> after he or she has been convicted of the offence, he or she shall bear the burden of showing, on a balance of probabilities, that it is in the interests of justice for him or her to be released on bail.</w:t>
      </w:r>
      <w:r w:rsidR="00C06067">
        <w:rPr>
          <w:rFonts w:eastAsiaTheme="minorHAnsi"/>
          <w:lang w:val="en-ZW"/>
        </w:rPr>
        <w:t xml:space="preserve"> This legislative provision shifts the </w:t>
      </w:r>
      <w:r w:rsidR="00C06067" w:rsidRPr="00C06067">
        <w:rPr>
          <w:rFonts w:eastAsiaTheme="minorHAnsi"/>
          <w:i/>
          <w:lang w:val="en-ZW"/>
        </w:rPr>
        <w:t>onus</w:t>
      </w:r>
      <w:r w:rsidR="00C06067">
        <w:rPr>
          <w:rFonts w:eastAsiaTheme="minorHAnsi"/>
          <w:lang w:val="en-ZW"/>
        </w:rPr>
        <w:t xml:space="preserve"> on an applicant for bail pending appeal. </w:t>
      </w:r>
      <w:r w:rsidR="004429DA">
        <w:rPr>
          <w:sz w:val="23"/>
          <w:szCs w:val="23"/>
        </w:rPr>
        <w:t>According to the authorities,</w:t>
      </w:r>
      <w:r w:rsidR="00DC4542">
        <w:rPr>
          <w:sz w:val="23"/>
          <w:szCs w:val="23"/>
        </w:rPr>
        <w:t xml:space="preserve"> one speaks of the need to discharge an </w:t>
      </w:r>
      <w:r w:rsidR="00DC4542">
        <w:rPr>
          <w:i/>
          <w:iCs/>
          <w:sz w:val="23"/>
          <w:szCs w:val="23"/>
        </w:rPr>
        <w:t>onus</w:t>
      </w:r>
      <w:r w:rsidR="00DC4542">
        <w:rPr>
          <w:sz w:val="23"/>
          <w:szCs w:val="23"/>
        </w:rPr>
        <w:t>, it immediately becomes clear that there is an evidentiary burden that must be met. See: (</w:t>
      </w:r>
      <w:r w:rsidR="00DC4542" w:rsidRPr="002C54F4">
        <w:rPr>
          <w:i/>
          <w:sz w:val="23"/>
          <w:szCs w:val="23"/>
        </w:rPr>
        <w:t>1)</w:t>
      </w:r>
      <w:r w:rsidR="002C54F4" w:rsidRPr="002C54F4">
        <w:rPr>
          <w:i/>
        </w:rPr>
        <w:t xml:space="preserve"> </w:t>
      </w:r>
      <w:r w:rsidR="002C54F4">
        <w:rPr>
          <w:i/>
        </w:rPr>
        <w:t xml:space="preserve">Jennifer Nan </w:t>
      </w:r>
      <w:r w:rsidR="002C54F4" w:rsidRPr="002C54F4">
        <w:rPr>
          <w:i/>
        </w:rPr>
        <w:t xml:space="preserve">Brooker vs </w:t>
      </w:r>
      <w:r w:rsidR="002C54F4">
        <w:rPr>
          <w:i/>
        </w:rPr>
        <w:t>Richard</w:t>
      </w:r>
      <w:r w:rsidR="00A03B8B">
        <w:rPr>
          <w:i/>
        </w:rPr>
        <w:t xml:space="preserve"> Mudhanda </w:t>
      </w:r>
      <w:r w:rsidR="002C54F4">
        <w:rPr>
          <w:i/>
        </w:rPr>
        <w:t xml:space="preserve">and The Registrar of </w:t>
      </w:r>
      <w:r w:rsidR="002C54F4" w:rsidRPr="002C54F4">
        <w:rPr>
          <w:i/>
        </w:rPr>
        <w:t xml:space="preserve">Deeds </w:t>
      </w:r>
      <w:r w:rsidR="002C54F4">
        <w:rPr>
          <w:i/>
        </w:rPr>
        <w:t xml:space="preserve">(2) </w:t>
      </w:r>
      <w:r w:rsidR="002C54F4" w:rsidRPr="002C54F4">
        <w:rPr>
          <w:i/>
        </w:rPr>
        <w:t>A</w:t>
      </w:r>
      <w:r w:rsidR="002C54F4">
        <w:rPr>
          <w:i/>
        </w:rPr>
        <w:t xml:space="preserve">drienne Staley </w:t>
      </w:r>
      <w:r w:rsidR="002C54F4" w:rsidRPr="002C54F4">
        <w:rPr>
          <w:i/>
        </w:rPr>
        <w:t xml:space="preserve">Pierce </w:t>
      </w:r>
      <w:proofErr w:type="spellStart"/>
      <w:r w:rsidR="002C54F4">
        <w:rPr>
          <w:i/>
        </w:rPr>
        <w:t>vs</w:t>
      </w:r>
      <w:proofErr w:type="spellEnd"/>
      <w:r w:rsidR="002C54F4">
        <w:rPr>
          <w:i/>
        </w:rPr>
        <w:t xml:space="preserve"> Ri</w:t>
      </w:r>
      <w:r w:rsidR="00A03B8B">
        <w:rPr>
          <w:i/>
        </w:rPr>
        <w:t xml:space="preserve">chard </w:t>
      </w:r>
      <w:proofErr w:type="spellStart"/>
      <w:r w:rsidR="00A03B8B">
        <w:rPr>
          <w:i/>
        </w:rPr>
        <w:t>Mudhanda</w:t>
      </w:r>
      <w:proofErr w:type="spellEnd"/>
      <w:r w:rsidR="00A03B8B">
        <w:rPr>
          <w:i/>
        </w:rPr>
        <w:t xml:space="preserve"> and The </w:t>
      </w:r>
      <w:r w:rsidR="002C54F4">
        <w:rPr>
          <w:i/>
        </w:rPr>
        <w:t xml:space="preserve">Registrar of </w:t>
      </w:r>
      <w:r w:rsidR="002C54F4" w:rsidRPr="002C54F4">
        <w:rPr>
          <w:i/>
        </w:rPr>
        <w:t>Deeds</w:t>
      </w:r>
      <w:r w:rsidR="002C54F4">
        <w:t xml:space="preserve"> SC</w:t>
      </w:r>
      <w:r w:rsidR="00A03B8B">
        <w:t xml:space="preserve"> 5/18; </w:t>
      </w:r>
      <w:r w:rsidR="00A03B8B">
        <w:rPr>
          <w:i/>
          <w:iCs/>
          <w:sz w:val="23"/>
          <w:szCs w:val="23"/>
        </w:rPr>
        <w:t xml:space="preserve">Vincent Kondo and Edmore </w:t>
      </w:r>
      <w:proofErr w:type="spellStart"/>
      <w:r w:rsidR="00A03B8B">
        <w:rPr>
          <w:i/>
          <w:iCs/>
          <w:sz w:val="23"/>
          <w:szCs w:val="23"/>
        </w:rPr>
        <w:t>Marwizi</w:t>
      </w:r>
      <w:proofErr w:type="spellEnd"/>
      <w:r w:rsidR="00A03B8B">
        <w:rPr>
          <w:i/>
          <w:iCs/>
          <w:sz w:val="23"/>
          <w:szCs w:val="23"/>
        </w:rPr>
        <w:t xml:space="preserve"> </w:t>
      </w:r>
      <w:proofErr w:type="spellStart"/>
      <w:r w:rsidR="00A03B8B">
        <w:rPr>
          <w:i/>
          <w:iCs/>
          <w:sz w:val="23"/>
          <w:szCs w:val="23"/>
        </w:rPr>
        <w:t>Mapuranga</w:t>
      </w:r>
      <w:proofErr w:type="spellEnd"/>
      <w:r w:rsidR="00A03B8B">
        <w:rPr>
          <w:i/>
          <w:iCs/>
          <w:sz w:val="23"/>
          <w:szCs w:val="23"/>
        </w:rPr>
        <w:t xml:space="preserve"> v The State </w:t>
      </w:r>
      <w:r w:rsidR="00A03B8B">
        <w:rPr>
          <w:sz w:val="23"/>
          <w:szCs w:val="23"/>
        </w:rPr>
        <w:t>HH 99-17.</w:t>
      </w:r>
      <w:r w:rsidR="002C54F4" w:rsidRPr="002C54F4">
        <w:t xml:space="preserve"> </w:t>
      </w:r>
      <w:r w:rsidR="00DC4542">
        <w:rPr>
          <w:sz w:val="23"/>
          <w:szCs w:val="23"/>
        </w:rPr>
        <w:t>Such burden cannot be discharged by submissions contained in a bail statement. There must be evidence placed before court. Applicant must adduce evidence. The evidence must show that it is in the interests of justice that he be admitted to bail</w:t>
      </w:r>
      <w:r w:rsidR="002C54F4">
        <w:rPr>
          <w:sz w:val="23"/>
          <w:szCs w:val="23"/>
        </w:rPr>
        <w:t xml:space="preserve"> pending appeal. </w:t>
      </w:r>
      <w:r w:rsidR="002C54F4">
        <w:t xml:space="preserve"> </w:t>
      </w:r>
      <w:r w:rsidR="002C54F4">
        <w:rPr>
          <w:sz w:val="23"/>
          <w:szCs w:val="23"/>
        </w:rPr>
        <w:t xml:space="preserve">In such an application, an applicant may place evidence </w:t>
      </w:r>
      <w:r w:rsidR="002C54F4">
        <w:rPr>
          <w:sz w:val="23"/>
          <w:szCs w:val="23"/>
        </w:rPr>
        <w:lastRenderedPageBreak/>
        <w:t>before court by way of an affidavit.</w:t>
      </w:r>
      <w:r w:rsidR="002C54F4">
        <w:t xml:space="preserve"> This is permissible in bail applications. See: </w:t>
      </w:r>
      <w:proofErr w:type="spellStart"/>
      <w:r w:rsidR="002C54F4" w:rsidRPr="00DD1DE1">
        <w:rPr>
          <w:i/>
        </w:rPr>
        <w:t>Moekazi</w:t>
      </w:r>
      <w:proofErr w:type="spellEnd"/>
      <w:r w:rsidR="002C54F4" w:rsidRPr="00DD1DE1">
        <w:rPr>
          <w:i/>
        </w:rPr>
        <w:t xml:space="preserve"> v Additional Magistrate, Welkom </w:t>
      </w:r>
      <w:r w:rsidR="002C54F4">
        <w:t xml:space="preserve">1990 (2) SACR 212 (O). </w:t>
      </w:r>
    </w:p>
    <w:p w:rsidR="002C54F4" w:rsidRDefault="002C54F4" w:rsidP="002C54F4">
      <w:pPr>
        <w:autoSpaceDE w:val="0"/>
        <w:autoSpaceDN w:val="0"/>
        <w:adjustRightInd w:val="0"/>
        <w:spacing w:line="360" w:lineRule="auto"/>
        <w:jc w:val="both"/>
        <w:rPr>
          <w:sz w:val="23"/>
          <w:szCs w:val="23"/>
        </w:rPr>
      </w:pPr>
    </w:p>
    <w:p w:rsidR="00DB27F8" w:rsidRDefault="00A0600A" w:rsidP="00DB27F8">
      <w:pPr>
        <w:autoSpaceDE w:val="0"/>
        <w:autoSpaceDN w:val="0"/>
        <w:adjustRightInd w:val="0"/>
        <w:spacing w:line="360" w:lineRule="auto"/>
        <w:ind w:firstLine="720"/>
        <w:jc w:val="both"/>
        <w:rPr>
          <w:sz w:val="23"/>
          <w:szCs w:val="23"/>
        </w:rPr>
      </w:pPr>
      <w:r w:rsidRPr="00D475A4">
        <w:rPr>
          <w:i/>
          <w:sz w:val="23"/>
          <w:szCs w:val="23"/>
        </w:rPr>
        <w:t xml:space="preserve">In </w:t>
      </w:r>
      <w:proofErr w:type="spellStart"/>
      <w:r w:rsidRPr="00A0600A">
        <w:rPr>
          <w:i/>
          <w:sz w:val="23"/>
          <w:szCs w:val="23"/>
        </w:rPr>
        <w:t>casu</w:t>
      </w:r>
      <w:proofErr w:type="spellEnd"/>
      <w:r>
        <w:rPr>
          <w:sz w:val="23"/>
          <w:szCs w:val="23"/>
        </w:rPr>
        <w:t xml:space="preserve">, this application was filed on the 8 December 2020. No affidavit of evidence was filed in support of the application. At the hearing of this matter, I asked Mr </w:t>
      </w:r>
      <w:r w:rsidRPr="00A0600A">
        <w:rPr>
          <w:i/>
          <w:sz w:val="23"/>
          <w:szCs w:val="23"/>
        </w:rPr>
        <w:t>Sithole,</w:t>
      </w:r>
      <w:r>
        <w:rPr>
          <w:sz w:val="23"/>
          <w:szCs w:val="23"/>
        </w:rPr>
        <w:t xml:space="preserve"> </w:t>
      </w:r>
      <w:r w:rsidR="004429DA">
        <w:rPr>
          <w:sz w:val="23"/>
          <w:szCs w:val="23"/>
        </w:rPr>
        <w:t xml:space="preserve">applicants’ counsel, </w:t>
      </w:r>
      <w:r>
        <w:rPr>
          <w:sz w:val="23"/>
          <w:szCs w:val="23"/>
        </w:rPr>
        <w:t xml:space="preserve">whether an </w:t>
      </w:r>
      <w:r w:rsidRPr="00A0600A">
        <w:rPr>
          <w:i/>
          <w:sz w:val="23"/>
          <w:szCs w:val="23"/>
        </w:rPr>
        <w:t>onus</w:t>
      </w:r>
      <w:r>
        <w:rPr>
          <w:sz w:val="23"/>
          <w:szCs w:val="23"/>
        </w:rPr>
        <w:t xml:space="preserve"> can be discharged by </w:t>
      </w:r>
      <w:r w:rsidR="004429DA">
        <w:rPr>
          <w:sz w:val="23"/>
          <w:szCs w:val="23"/>
        </w:rPr>
        <w:t>bold statements contained in a</w:t>
      </w:r>
      <w:r>
        <w:rPr>
          <w:sz w:val="23"/>
          <w:szCs w:val="23"/>
        </w:rPr>
        <w:t xml:space="preserve"> bail statement. Mr </w:t>
      </w:r>
      <w:r w:rsidRPr="003D5C17">
        <w:rPr>
          <w:i/>
          <w:sz w:val="23"/>
          <w:szCs w:val="23"/>
        </w:rPr>
        <w:t xml:space="preserve">Sithole </w:t>
      </w:r>
      <w:r>
        <w:rPr>
          <w:sz w:val="23"/>
          <w:szCs w:val="23"/>
        </w:rPr>
        <w:t xml:space="preserve">told the </w:t>
      </w:r>
      <w:r w:rsidR="003D5C17">
        <w:rPr>
          <w:sz w:val="23"/>
          <w:szCs w:val="23"/>
        </w:rPr>
        <w:t>court that the failure to file</w:t>
      </w:r>
      <w:r>
        <w:rPr>
          <w:sz w:val="23"/>
          <w:szCs w:val="23"/>
        </w:rPr>
        <w:t xml:space="preserve"> an affidavi</w:t>
      </w:r>
      <w:r w:rsidR="003D5C17">
        <w:rPr>
          <w:sz w:val="23"/>
          <w:szCs w:val="23"/>
        </w:rPr>
        <w:t>t in this application was</w:t>
      </w:r>
      <w:r>
        <w:rPr>
          <w:sz w:val="23"/>
          <w:szCs w:val="23"/>
        </w:rPr>
        <w:t xml:space="preserve"> caused by his failure to access applicants who </w:t>
      </w:r>
      <w:r w:rsidR="003D5C17">
        <w:rPr>
          <w:sz w:val="23"/>
          <w:szCs w:val="23"/>
        </w:rPr>
        <w:t xml:space="preserve">are </w:t>
      </w:r>
      <w:r>
        <w:rPr>
          <w:sz w:val="23"/>
          <w:szCs w:val="23"/>
        </w:rPr>
        <w:t xml:space="preserve">lodged at </w:t>
      </w:r>
      <w:proofErr w:type="spellStart"/>
      <w:r>
        <w:rPr>
          <w:sz w:val="23"/>
          <w:szCs w:val="23"/>
        </w:rPr>
        <w:t>Khami</w:t>
      </w:r>
      <w:proofErr w:type="spellEnd"/>
      <w:r>
        <w:rPr>
          <w:sz w:val="23"/>
          <w:szCs w:val="23"/>
        </w:rPr>
        <w:t xml:space="preserve"> Prison. He contended that during </w:t>
      </w:r>
      <w:proofErr w:type="spellStart"/>
      <w:r w:rsidRPr="00313FC6">
        <w:rPr>
          <w:i/>
          <w:sz w:val="23"/>
          <w:szCs w:val="23"/>
        </w:rPr>
        <w:t>Covid</w:t>
      </w:r>
      <w:proofErr w:type="spellEnd"/>
      <w:r>
        <w:rPr>
          <w:sz w:val="23"/>
          <w:szCs w:val="23"/>
        </w:rPr>
        <w:t xml:space="preserve"> 19 induced lockdown, prison authorities barred outsiders from access</w:t>
      </w:r>
      <w:r w:rsidR="001D4C44">
        <w:rPr>
          <w:sz w:val="23"/>
          <w:szCs w:val="23"/>
        </w:rPr>
        <w:t>ing</w:t>
      </w:r>
      <w:r>
        <w:rPr>
          <w:sz w:val="23"/>
          <w:szCs w:val="23"/>
        </w:rPr>
        <w:t xml:space="preserve"> prison. This was to protect the </w:t>
      </w:r>
      <w:r w:rsidR="001D4C44">
        <w:rPr>
          <w:sz w:val="23"/>
          <w:szCs w:val="23"/>
        </w:rPr>
        <w:t xml:space="preserve">prison community, including inmates from </w:t>
      </w:r>
      <w:proofErr w:type="spellStart"/>
      <w:r w:rsidR="001D4C44" w:rsidRPr="00313FC6">
        <w:rPr>
          <w:i/>
          <w:sz w:val="23"/>
          <w:szCs w:val="23"/>
        </w:rPr>
        <w:t>Covid</w:t>
      </w:r>
      <w:proofErr w:type="spellEnd"/>
      <w:r w:rsidR="001D4C44" w:rsidRPr="00313FC6">
        <w:rPr>
          <w:i/>
          <w:sz w:val="23"/>
          <w:szCs w:val="23"/>
        </w:rPr>
        <w:t xml:space="preserve"> </w:t>
      </w:r>
      <w:r w:rsidR="001D4C44">
        <w:rPr>
          <w:sz w:val="23"/>
          <w:szCs w:val="23"/>
        </w:rPr>
        <w:t xml:space="preserve">19 infections. </w:t>
      </w:r>
      <w:r w:rsidR="00DB27F8">
        <w:rPr>
          <w:sz w:val="23"/>
          <w:szCs w:val="23"/>
        </w:rPr>
        <w:t>Now that the lockdown restrictions have been relaxed, he then asked that this matter be stood down, to enable him to secure affidavits from the two applicants. Mr</w:t>
      </w:r>
      <w:r w:rsidR="00DB27F8" w:rsidRPr="00DB27F8">
        <w:rPr>
          <w:i/>
          <w:sz w:val="23"/>
          <w:szCs w:val="23"/>
        </w:rPr>
        <w:t xml:space="preserve"> </w:t>
      </w:r>
      <w:proofErr w:type="spellStart"/>
      <w:r w:rsidR="00DB27F8" w:rsidRPr="00DB27F8">
        <w:rPr>
          <w:i/>
          <w:sz w:val="23"/>
          <w:szCs w:val="23"/>
        </w:rPr>
        <w:t>Ndlovu</w:t>
      </w:r>
      <w:proofErr w:type="spellEnd"/>
      <w:r w:rsidR="003F6D0E">
        <w:rPr>
          <w:sz w:val="23"/>
          <w:szCs w:val="23"/>
        </w:rPr>
        <w:t>, counsel for the respondent</w:t>
      </w:r>
      <w:r w:rsidR="00DB27F8">
        <w:rPr>
          <w:sz w:val="23"/>
          <w:szCs w:val="23"/>
        </w:rPr>
        <w:t>, submitted that, on the facts of this case, it would be in the interest of justice to have this matter stood down, to enable Mr</w:t>
      </w:r>
      <w:r w:rsidR="00DB27F8" w:rsidRPr="00DB27F8">
        <w:rPr>
          <w:i/>
          <w:sz w:val="23"/>
          <w:szCs w:val="23"/>
        </w:rPr>
        <w:t xml:space="preserve"> Sithole</w:t>
      </w:r>
      <w:r w:rsidR="00DB27F8">
        <w:rPr>
          <w:sz w:val="23"/>
          <w:szCs w:val="23"/>
        </w:rPr>
        <w:t xml:space="preserve"> to secure such affidavits. </w:t>
      </w:r>
      <w:r w:rsidR="009F26B3">
        <w:rPr>
          <w:sz w:val="23"/>
          <w:szCs w:val="23"/>
        </w:rPr>
        <w:t xml:space="preserve">I agreed. </w:t>
      </w:r>
      <w:r w:rsidR="008E3AB2">
        <w:rPr>
          <w:sz w:val="23"/>
          <w:szCs w:val="23"/>
        </w:rPr>
        <w:t xml:space="preserve">I </w:t>
      </w:r>
      <w:r w:rsidR="009F26B3">
        <w:rPr>
          <w:sz w:val="23"/>
          <w:szCs w:val="23"/>
        </w:rPr>
        <w:t xml:space="preserve">then </w:t>
      </w:r>
      <w:r w:rsidR="008E3AB2">
        <w:rPr>
          <w:sz w:val="23"/>
          <w:szCs w:val="23"/>
        </w:rPr>
        <w:t>stood down the matter to give Mr</w:t>
      </w:r>
      <w:r w:rsidR="00313FC6">
        <w:rPr>
          <w:sz w:val="23"/>
          <w:szCs w:val="23"/>
        </w:rPr>
        <w:t>.</w:t>
      </w:r>
      <w:r w:rsidR="008E3AB2">
        <w:rPr>
          <w:sz w:val="23"/>
          <w:szCs w:val="23"/>
        </w:rPr>
        <w:t xml:space="preserve"> </w:t>
      </w:r>
      <w:r w:rsidR="008E3AB2" w:rsidRPr="008E3AB2">
        <w:rPr>
          <w:i/>
          <w:sz w:val="23"/>
          <w:szCs w:val="23"/>
        </w:rPr>
        <w:t>Sithole</w:t>
      </w:r>
      <w:r w:rsidR="008E3AB2">
        <w:rPr>
          <w:sz w:val="23"/>
          <w:szCs w:val="23"/>
        </w:rPr>
        <w:t xml:space="preserve"> time to file affidavits in support of the application. The affidavits were then filed on the 22</w:t>
      </w:r>
      <w:r w:rsidR="008E3AB2">
        <w:rPr>
          <w:sz w:val="23"/>
          <w:szCs w:val="23"/>
          <w:vertAlign w:val="superscript"/>
        </w:rPr>
        <w:t xml:space="preserve"> </w:t>
      </w:r>
      <w:r w:rsidR="008E3AB2">
        <w:rPr>
          <w:sz w:val="23"/>
          <w:szCs w:val="23"/>
        </w:rPr>
        <w:t xml:space="preserve">March 2021. </w:t>
      </w:r>
    </w:p>
    <w:p w:rsidR="00981822" w:rsidRDefault="00981822" w:rsidP="00DB27F8">
      <w:pPr>
        <w:autoSpaceDE w:val="0"/>
        <w:autoSpaceDN w:val="0"/>
        <w:adjustRightInd w:val="0"/>
        <w:spacing w:line="360" w:lineRule="auto"/>
        <w:ind w:firstLine="720"/>
        <w:jc w:val="both"/>
        <w:rPr>
          <w:sz w:val="23"/>
          <w:szCs w:val="23"/>
        </w:rPr>
      </w:pPr>
    </w:p>
    <w:p w:rsidR="009779BB" w:rsidRPr="00981822" w:rsidRDefault="003F6D0E" w:rsidP="00981822">
      <w:pPr>
        <w:spacing w:line="360" w:lineRule="auto"/>
        <w:ind w:firstLine="720"/>
        <w:jc w:val="both"/>
      </w:pPr>
      <w:r>
        <w:t xml:space="preserve">In considering this application, the question is: is the appeal </w:t>
      </w:r>
      <w:r w:rsidR="00981822" w:rsidRPr="00893E79">
        <w:t>reasonably arguable and no</w:t>
      </w:r>
      <w:r>
        <w:t>t manifestly doomed to failure,</w:t>
      </w:r>
      <w:r w:rsidR="00981822" w:rsidRPr="00893E79">
        <w:t xml:space="preserve"> </w:t>
      </w:r>
      <w:r w:rsidR="00981822">
        <w:t>or put differently, does the appeal ha</w:t>
      </w:r>
      <w:r w:rsidR="00E43DC0">
        <w:t>ve</w:t>
      </w:r>
      <w:r w:rsidR="00981822">
        <w:t xml:space="preserve"> prospects of success? </w:t>
      </w:r>
      <w:r w:rsidR="00981822" w:rsidRPr="00981822">
        <w:rPr>
          <w:rFonts w:eastAsiaTheme="minorHAnsi"/>
          <w:lang w:val="en-ZW"/>
        </w:rPr>
        <w:t xml:space="preserve">Applicants were charged with section 113 (1) (a) of the </w:t>
      </w:r>
      <w:r>
        <w:rPr>
          <w:rFonts w:eastAsiaTheme="minorHAnsi"/>
          <w:lang w:val="en-ZW"/>
        </w:rPr>
        <w:t>Criminal Law (Codification and Reform) Act [Chapter 9:23]</w:t>
      </w:r>
      <w:r w:rsidR="00805756">
        <w:rPr>
          <w:rFonts w:eastAsiaTheme="minorHAnsi"/>
          <w:lang w:val="en-ZW"/>
        </w:rPr>
        <w:t xml:space="preserve">, </w:t>
      </w:r>
      <w:r w:rsidR="00805756" w:rsidRPr="00981822">
        <w:rPr>
          <w:rFonts w:eastAsiaTheme="minorHAnsi"/>
          <w:lang w:val="en-ZW"/>
        </w:rPr>
        <w:t>which</w:t>
      </w:r>
      <w:r w:rsidR="00981822" w:rsidRPr="00981822">
        <w:rPr>
          <w:rFonts w:eastAsiaTheme="minorHAnsi"/>
          <w:lang w:val="en-ZW"/>
        </w:rPr>
        <w:t xml:space="preserve"> says any person who takes property capable of being stolen knowing that another person is entitled to own, possess or control the property or realising that there is a real risk or possibility that another person may be so entitled; shall be guilty of theft. </w:t>
      </w:r>
      <w:r w:rsidR="009779BB" w:rsidRPr="009779BB">
        <w:rPr>
          <w:rFonts w:eastAsiaTheme="minorHAnsi"/>
          <w:lang w:val="en-ZW"/>
        </w:rPr>
        <w:t xml:space="preserve">There is no </w:t>
      </w:r>
      <w:r w:rsidR="007A718D" w:rsidRPr="009779BB">
        <w:rPr>
          <w:rFonts w:eastAsiaTheme="minorHAnsi"/>
          <w:lang w:val="en-ZW"/>
        </w:rPr>
        <w:t>direct evidence</w:t>
      </w:r>
      <w:r w:rsidR="009779BB" w:rsidRPr="009779BB">
        <w:rPr>
          <w:rFonts w:eastAsiaTheme="minorHAnsi"/>
          <w:b/>
          <w:bCs/>
          <w:lang w:val="en-ZW"/>
        </w:rPr>
        <w:t xml:space="preserve"> </w:t>
      </w:r>
      <w:r w:rsidR="009779BB" w:rsidRPr="009779BB">
        <w:rPr>
          <w:rFonts w:eastAsiaTheme="minorHAnsi"/>
          <w:bCs/>
          <w:lang w:val="en-ZW"/>
        </w:rPr>
        <w:t xml:space="preserve">against the applicants. </w:t>
      </w:r>
      <w:r w:rsidR="007A718D" w:rsidRPr="009779BB">
        <w:rPr>
          <w:rFonts w:eastAsiaTheme="minorHAnsi"/>
          <w:b/>
          <w:bCs/>
          <w:lang w:val="en-ZW"/>
        </w:rPr>
        <w:t xml:space="preserve"> </w:t>
      </w:r>
      <w:r w:rsidR="009779BB">
        <w:rPr>
          <w:rFonts w:eastAsiaTheme="minorHAnsi"/>
          <w:lang w:val="en-ZW"/>
        </w:rPr>
        <w:t>There is circumstantial</w:t>
      </w:r>
      <w:r w:rsidR="007A718D" w:rsidRPr="009779BB">
        <w:rPr>
          <w:rFonts w:eastAsiaTheme="minorHAnsi"/>
          <w:lang w:val="en-ZW"/>
        </w:rPr>
        <w:t xml:space="preserve"> evidence</w:t>
      </w:r>
      <w:r w:rsidR="009779BB">
        <w:rPr>
          <w:rFonts w:eastAsiaTheme="minorHAnsi"/>
          <w:lang w:val="en-ZW"/>
        </w:rPr>
        <w:t xml:space="preserve">, which </w:t>
      </w:r>
      <w:r w:rsidR="004C6EEE">
        <w:rPr>
          <w:rFonts w:eastAsiaTheme="minorHAnsi"/>
          <w:lang w:val="en-ZW"/>
        </w:rPr>
        <w:t>authorities describe</w:t>
      </w:r>
      <w:r w:rsidR="009779BB">
        <w:rPr>
          <w:rFonts w:eastAsiaTheme="minorHAnsi"/>
          <w:lang w:val="en-ZW"/>
        </w:rPr>
        <w:t xml:space="preserve"> as evidence</w:t>
      </w:r>
      <w:r w:rsidR="007A718D" w:rsidRPr="009779BB">
        <w:rPr>
          <w:rFonts w:eastAsiaTheme="minorHAnsi"/>
          <w:lang w:val="en-ZW"/>
        </w:rPr>
        <w:t xml:space="preserve"> of the </w:t>
      </w:r>
      <w:r w:rsidR="009779BB">
        <w:rPr>
          <w:rFonts w:eastAsiaTheme="minorHAnsi"/>
          <w:lang w:val="en-ZW"/>
        </w:rPr>
        <w:t>surrounding facts from which a c</w:t>
      </w:r>
      <w:r w:rsidR="007A718D" w:rsidRPr="009779BB">
        <w:rPr>
          <w:rFonts w:eastAsiaTheme="minorHAnsi"/>
          <w:lang w:val="en-ZW"/>
        </w:rPr>
        <w:t>ourt may</w:t>
      </w:r>
      <w:r w:rsidR="007A718D" w:rsidRPr="009779BB">
        <w:rPr>
          <w:rFonts w:eastAsiaTheme="minorHAnsi"/>
          <w:b/>
          <w:bCs/>
          <w:lang w:val="en-ZW"/>
        </w:rPr>
        <w:t xml:space="preserve">, </w:t>
      </w:r>
      <w:r w:rsidR="007A718D" w:rsidRPr="009779BB">
        <w:rPr>
          <w:rFonts w:eastAsiaTheme="minorHAnsi"/>
          <w:lang w:val="en-ZW"/>
        </w:rPr>
        <w:t>within certain parameters</w:t>
      </w:r>
      <w:r w:rsidR="007A718D" w:rsidRPr="009779BB">
        <w:rPr>
          <w:rFonts w:eastAsiaTheme="minorHAnsi"/>
          <w:b/>
          <w:bCs/>
          <w:lang w:val="en-ZW"/>
        </w:rPr>
        <w:t xml:space="preserve">, </w:t>
      </w:r>
      <w:r w:rsidR="007A718D" w:rsidRPr="009779BB">
        <w:rPr>
          <w:rFonts w:eastAsiaTheme="minorHAnsi"/>
          <w:lang w:val="en-ZW"/>
        </w:rPr>
        <w:t>infer the guilt of the accused person in respe</w:t>
      </w:r>
      <w:r w:rsidR="00313FC6">
        <w:rPr>
          <w:rFonts w:eastAsiaTheme="minorHAnsi"/>
          <w:lang w:val="en-ZW"/>
        </w:rPr>
        <w:t xml:space="preserve">ct of the offence charged. </w:t>
      </w:r>
      <w:r w:rsidR="009779BB">
        <w:rPr>
          <w:rFonts w:eastAsiaTheme="minorHAnsi"/>
          <w:lang w:val="en-ZW"/>
        </w:rPr>
        <w:t xml:space="preserve"> </w:t>
      </w:r>
    </w:p>
    <w:p w:rsidR="009779BB" w:rsidRPr="009779BB" w:rsidRDefault="009779BB" w:rsidP="009779BB">
      <w:pPr>
        <w:autoSpaceDE w:val="0"/>
        <w:autoSpaceDN w:val="0"/>
        <w:adjustRightInd w:val="0"/>
        <w:rPr>
          <w:rFonts w:ascii="ArialMT" w:eastAsiaTheme="minorHAnsi" w:hAnsi="ArialMT" w:cs="ArialMT"/>
          <w:lang w:val="en-ZW"/>
        </w:rPr>
      </w:pPr>
    </w:p>
    <w:p w:rsidR="00246E24" w:rsidRDefault="001B0DC9" w:rsidP="00E27295">
      <w:pPr>
        <w:autoSpaceDE w:val="0"/>
        <w:autoSpaceDN w:val="0"/>
        <w:adjustRightInd w:val="0"/>
        <w:spacing w:line="360" w:lineRule="auto"/>
        <w:ind w:firstLine="720"/>
        <w:jc w:val="both"/>
      </w:pPr>
      <w:r>
        <w:t xml:space="preserve">First applicant was implicated in the commission of the offence by the complainant. </w:t>
      </w:r>
      <w:r w:rsidR="008C7487">
        <w:t xml:space="preserve">He was found in possession of some of the stolen </w:t>
      </w:r>
      <w:r w:rsidR="00805756">
        <w:t xml:space="preserve">cell </w:t>
      </w:r>
      <w:r w:rsidR="008C7487">
        <w:t>phone</w:t>
      </w:r>
      <w:r w:rsidR="00805756">
        <w:t xml:space="preserve"> handsets</w:t>
      </w:r>
      <w:r w:rsidR="008C7487">
        <w:t xml:space="preserve">. </w:t>
      </w:r>
      <w:r w:rsidR="008A69C3">
        <w:t>His version is that he got the ph</w:t>
      </w:r>
      <w:r w:rsidR="00246E24">
        <w:t xml:space="preserve">ones from a third party. His defence is that </w:t>
      </w:r>
      <w:r w:rsidR="00805756">
        <w:t xml:space="preserve">he was </w:t>
      </w:r>
      <w:r w:rsidR="008A69C3">
        <w:t xml:space="preserve">selling the </w:t>
      </w:r>
      <w:r w:rsidR="00805756">
        <w:t>cell phone handsets</w:t>
      </w:r>
      <w:r w:rsidR="008A69C3">
        <w:t xml:space="preserve"> on behalf of this third party. He was putting a mark-up of his own. The court </w:t>
      </w:r>
      <w:r w:rsidR="008A69C3" w:rsidRPr="008A69C3">
        <w:rPr>
          <w:i/>
        </w:rPr>
        <w:t xml:space="preserve">a quo </w:t>
      </w:r>
      <w:r w:rsidR="008A69C3">
        <w:t>was not impressed</w:t>
      </w:r>
      <w:r w:rsidR="00246E24">
        <w:t xml:space="preserve"> by</w:t>
      </w:r>
      <w:r w:rsidR="008A69C3">
        <w:t xml:space="preserve"> his version, which had some inconstancies, e.g</w:t>
      </w:r>
      <w:r w:rsidR="008A69C3" w:rsidRPr="00E43DC0">
        <w:rPr>
          <w:u w:val="single"/>
        </w:rPr>
        <w:t xml:space="preserve">. he was sort of </w:t>
      </w:r>
      <w:r w:rsidR="00EE1C57" w:rsidRPr="00E43DC0">
        <w:rPr>
          <w:u w:val="single"/>
        </w:rPr>
        <w:t xml:space="preserve">vacilitating about </w:t>
      </w:r>
      <w:r w:rsidR="00EE1C57">
        <w:t xml:space="preserve">the number of phones he got from this third party.  </w:t>
      </w:r>
      <w:r w:rsidR="00246E24">
        <w:t xml:space="preserve">Again, there is evidence which suggests that first applicant might have made an admission to the complainant. In its judgment the court </w:t>
      </w:r>
      <w:r w:rsidR="00246E24" w:rsidRPr="00246E24">
        <w:rPr>
          <w:i/>
        </w:rPr>
        <w:t xml:space="preserve">a quo </w:t>
      </w:r>
      <w:r w:rsidR="00246E24">
        <w:t xml:space="preserve">did not comment on </w:t>
      </w:r>
      <w:r w:rsidR="00805756">
        <w:t>weight, if any of the admission allegedly made to the complainant.</w:t>
      </w:r>
      <w:r w:rsidR="00246E24">
        <w:t xml:space="preserve"> </w:t>
      </w:r>
      <w:r w:rsidR="00246E24">
        <w:lastRenderedPageBreak/>
        <w:t xml:space="preserve">It might well be because the court did not attach any weight to such evidence, this might be for the appeal court to decide. Not this court seized with a bail application pending appeal. I take the view that, it is possible that the appeal court might well find that first applicant’s version about the involvement of a third party </w:t>
      </w:r>
      <w:r w:rsidR="00E43DC0">
        <w:t>h</w:t>
      </w:r>
      <w:r w:rsidR="00805756">
        <w:t>as</w:t>
      </w:r>
      <w:r w:rsidR="00E27295">
        <w:t xml:space="preserve"> not been shown to be false beyond a reasonable doubt. My view is that the first applicant’s appeal is </w:t>
      </w:r>
      <w:r w:rsidR="00246E24" w:rsidRPr="00893E79">
        <w:t>reasonably arguable and no</w:t>
      </w:r>
      <w:r w:rsidR="00E27295">
        <w:t xml:space="preserve">t manifestly doomed to failure </w:t>
      </w:r>
      <w:r w:rsidR="00805756">
        <w:t>or put differently,</w:t>
      </w:r>
      <w:r w:rsidR="00246E24">
        <w:t xml:space="preserve"> the </w:t>
      </w:r>
      <w:r w:rsidR="00E27295">
        <w:t xml:space="preserve">appeal has prospects of success. </w:t>
      </w:r>
    </w:p>
    <w:p w:rsidR="00F06C96" w:rsidRDefault="00F06C96" w:rsidP="00E27295">
      <w:pPr>
        <w:autoSpaceDE w:val="0"/>
        <w:autoSpaceDN w:val="0"/>
        <w:adjustRightInd w:val="0"/>
        <w:spacing w:line="360" w:lineRule="auto"/>
        <w:ind w:firstLine="720"/>
        <w:jc w:val="both"/>
      </w:pPr>
    </w:p>
    <w:p w:rsidR="00425F4D" w:rsidRDefault="00E43DC0" w:rsidP="00AC5198">
      <w:pPr>
        <w:autoSpaceDE w:val="0"/>
        <w:autoSpaceDN w:val="0"/>
        <w:adjustRightInd w:val="0"/>
        <w:spacing w:line="360" w:lineRule="auto"/>
        <w:ind w:firstLine="720"/>
        <w:jc w:val="both"/>
      </w:pPr>
      <w:r>
        <w:t>Second applicant’s</w:t>
      </w:r>
      <w:r w:rsidR="00AC5198">
        <w:t xml:space="preserve"> </w:t>
      </w:r>
      <w:bookmarkStart w:id="0" w:name="_GoBack"/>
      <w:bookmarkEnd w:id="0"/>
      <w:r w:rsidR="00F06C96">
        <w:t>version is that</w:t>
      </w:r>
      <w:r>
        <w:t>,</w:t>
      </w:r>
      <w:r w:rsidR="00F06C96">
        <w:t xml:space="preserve"> him and the other person who was convicted and not part of these</w:t>
      </w:r>
      <w:r>
        <w:t xml:space="preserve"> proceedings got the cell phone</w:t>
      </w:r>
      <w:r w:rsidR="00F06C96">
        <w:t xml:space="preserve"> handsets from the first applicant. In his version, first applicant admits</w:t>
      </w:r>
      <w:r w:rsidR="002D6111">
        <w:t>, in his evidence</w:t>
      </w:r>
      <w:r w:rsidR="00F06C96">
        <w:t xml:space="preserve"> that indeed he gave these two the handsets to sell on his behalf. On the facts of this case, this applicant has prospects of success on appeal. </w:t>
      </w:r>
      <w:r w:rsidR="00425F4D">
        <w:t xml:space="preserve">I take the view that, in respect of both applicants, the concession made by the respondent was properly taken. I agree with it. </w:t>
      </w:r>
    </w:p>
    <w:p w:rsidR="00425F4D" w:rsidRDefault="00425F4D" w:rsidP="002D6111">
      <w:pPr>
        <w:autoSpaceDE w:val="0"/>
        <w:autoSpaceDN w:val="0"/>
        <w:adjustRightInd w:val="0"/>
        <w:spacing w:line="360" w:lineRule="auto"/>
        <w:jc w:val="both"/>
      </w:pPr>
    </w:p>
    <w:p w:rsidR="002D6111" w:rsidRDefault="002D6111" w:rsidP="002D6111">
      <w:pPr>
        <w:autoSpaceDE w:val="0"/>
        <w:autoSpaceDN w:val="0"/>
        <w:adjustRightInd w:val="0"/>
        <w:spacing w:line="360" w:lineRule="auto"/>
        <w:jc w:val="both"/>
        <w:rPr>
          <w:b/>
        </w:rPr>
      </w:pPr>
      <w:r w:rsidRPr="002D6111">
        <w:rPr>
          <w:b/>
        </w:rPr>
        <w:t xml:space="preserve">Disposition </w:t>
      </w:r>
    </w:p>
    <w:p w:rsidR="002D6111" w:rsidRDefault="002D6111" w:rsidP="002D6111">
      <w:pPr>
        <w:autoSpaceDE w:val="0"/>
        <w:autoSpaceDN w:val="0"/>
        <w:adjustRightInd w:val="0"/>
        <w:spacing w:line="360" w:lineRule="auto"/>
        <w:jc w:val="both"/>
        <w:rPr>
          <w:b/>
        </w:rPr>
      </w:pPr>
    </w:p>
    <w:p w:rsidR="002D6111" w:rsidRDefault="002D6111" w:rsidP="002D6111">
      <w:pPr>
        <w:autoSpaceDE w:val="0"/>
        <w:autoSpaceDN w:val="0"/>
        <w:adjustRightInd w:val="0"/>
        <w:spacing w:line="360" w:lineRule="auto"/>
        <w:ind w:firstLine="720"/>
        <w:jc w:val="both"/>
        <w:rPr>
          <w:rFonts w:eastAsiaTheme="minorHAnsi"/>
          <w:lang w:val="en-ZW"/>
        </w:rPr>
      </w:pPr>
      <w:r w:rsidRPr="002D6111">
        <w:t>In conclusion, I</w:t>
      </w:r>
      <w:r>
        <w:t xml:space="preserve"> take the view that </w:t>
      </w:r>
      <w:r>
        <w:rPr>
          <w:rFonts w:eastAsiaTheme="minorHAnsi"/>
          <w:lang w:val="en-ZW"/>
        </w:rPr>
        <w:t>applicants have discharged the</w:t>
      </w:r>
      <w:r w:rsidRPr="00D62EB1">
        <w:rPr>
          <w:rFonts w:eastAsiaTheme="minorHAnsi"/>
          <w:lang w:val="en-ZW"/>
        </w:rPr>
        <w:t xml:space="preserve"> burden of showing, on a balance of probabilities, that it is in the inte</w:t>
      </w:r>
      <w:r>
        <w:rPr>
          <w:rFonts w:eastAsiaTheme="minorHAnsi"/>
          <w:lang w:val="en-ZW"/>
        </w:rPr>
        <w:t>rests of justice that they be</w:t>
      </w:r>
      <w:r w:rsidRPr="00D62EB1">
        <w:rPr>
          <w:rFonts w:eastAsiaTheme="minorHAnsi"/>
          <w:lang w:val="en-ZW"/>
        </w:rPr>
        <w:t xml:space="preserve"> released on bail.</w:t>
      </w:r>
      <w:r>
        <w:rPr>
          <w:rFonts w:eastAsiaTheme="minorHAnsi"/>
          <w:lang w:val="en-ZW"/>
        </w:rPr>
        <w:t xml:space="preserve"> In the result, I order as follows: </w:t>
      </w:r>
    </w:p>
    <w:p w:rsidR="002D6111" w:rsidRDefault="002D6111" w:rsidP="00425F4D">
      <w:pPr>
        <w:pStyle w:val="ListParagraph"/>
        <w:autoSpaceDE w:val="0"/>
        <w:autoSpaceDN w:val="0"/>
        <w:adjustRightInd w:val="0"/>
        <w:spacing w:line="360" w:lineRule="auto"/>
        <w:ind w:left="1080"/>
        <w:jc w:val="both"/>
      </w:pPr>
    </w:p>
    <w:p w:rsidR="00425F4D" w:rsidRDefault="00425F4D" w:rsidP="00425F4D">
      <w:pPr>
        <w:pStyle w:val="ListParagraph"/>
        <w:numPr>
          <w:ilvl w:val="0"/>
          <w:numId w:val="3"/>
        </w:numPr>
        <w:autoSpaceDE w:val="0"/>
        <w:autoSpaceDN w:val="0"/>
        <w:adjustRightInd w:val="0"/>
        <w:spacing w:line="360" w:lineRule="auto"/>
        <w:jc w:val="both"/>
      </w:pPr>
      <w:r>
        <w:t xml:space="preserve">First applicant (Raymond </w:t>
      </w:r>
      <w:proofErr w:type="spellStart"/>
      <w:r>
        <w:t>Chinomera</w:t>
      </w:r>
      <w:proofErr w:type="spellEnd"/>
      <w:r>
        <w:t>) and second applicants (</w:t>
      </w:r>
      <w:proofErr w:type="spellStart"/>
      <w:r>
        <w:t>Kwanele</w:t>
      </w:r>
      <w:proofErr w:type="spellEnd"/>
      <w:r>
        <w:t xml:space="preserve"> </w:t>
      </w:r>
      <w:proofErr w:type="spellStart"/>
      <w:r>
        <w:t>Ndlovu</w:t>
      </w:r>
      <w:proofErr w:type="spellEnd"/>
      <w:r>
        <w:t xml:space="preserve">) are and hereby admitted to bail pending the finalisation of the appeal pending before this court under cover of case number HCA 68/20. </w:t>
      </w:r>
    </w:p>
    <w:p w:rsidR="00425F4D" w:rsidRDefault="00C17773" w:rsidP="00425F4D">
      <w:pPr>
        <w:pStyle w:val="ListParagraph"/>
        <w:numPr>
          <w:ilvl w:val="0"/>
          <w:numId w:val="3"/>
        </w:numPr>
        <w:autoSpaceDE w:val="0"/>
        <w:autoSpaceDN w:val="0"/>
        <w:adjustRightInd w:val="0"/>
        <w:spacing w:line="360" w:lineRule="auto"/>
        <w:jc w:val="both"/>
      </w:pPr>
      <w:r>
        <w:t xml:space="preserve">Each applicant pay a bail deposit in the sum of RTGS20 000.00 with the Deputy Registrar of the High Court, Bulawayo. </w:t>
      </w:r>
    </w:p>
    <w:p w:rsidR="00C17773" w:rsidRDefault="00C17773" w:rsidP="00425F4D">
      <w:pPr>
        <w:pStyle w:val="ListParagraph"/>
        <w:numPr>
          <w:ilvl w:val="0"/>
          <w:numId w:val="3"/>
        </w:numPr>
        <w:autoSpaceDE w:val="0"/>
        <w:autoSpaceDN w:val="0"/>
        <w:adjustRightInd w:val="0"/>
        <w:spacing w:line="360" w:lineRule="auto"/>
        <w:jc w:val="both"/>
      </w:pPr>
      <w:r>
        <w:t xml:space="preserve">First applicant reports at </w:t>
      </w:r>
      <w:proofErr w:type="spellStart"/>
      <w:r>
        <w:t>Cowdray</w:t>
      </w:r>
      <w:proofErr w:type="spellEnd"/>
      <w:r>
        <w:t xml:space="preserve"> Park Police Station every Monday and Friday between 06:00 hours and 18:00 hours until the finalisation of the appeal in HCA 68/20.</w:t>
      </w:r>
    </w:p>
    <w:p w:rsidR="00C17773" w:rsidRDefault="00C17773" w:rsidP="00425F4D">
      <w:pPr>
        <w:pStyle w:val="ListParagraph"/>
        <w:numPr>
          <w:ilvl w:val="0"/>
          <w:numId w:val="3"/>
        </w:numPr>
        <w:autoSpaceDE w:val="0"/>
        <w:autoSpaceDN w:val="0"/>
        <w:adjustRightInd w:val="0"/>
        <w:spacing w:line="360" w:lineRule="auto"/>
        <w:jc w:val="both"/>
      </w:pPr>
      <w:r>
        <w:t xml:space="preserve">Second applicant reports at </w:t>
      </w:r>
      <w:proofErr w:type="spellStart"/>
      <w:r>
        <w:t>Mzilikazi</w:t>
      </w:r>
      <w:proofErr w:type="spellEnd"/>
      <w:r>
        <w:t xml:space="preserve"> Police S</w:t>
      </w:r>
      <w:r w:rsidR="00E43DC0">
        <w:t>tation every Monday and Friday</w:t>
      </w:r>
      <w:r>
        <w:t xml:space="preserve"> </w:t>
      </w:r>
      <w:proofErr w:type="gramStart"/>
      <w:r>
        <w:t>between</w:t>
      </w:r>
      <w:proofErr w:type="gramEnd"/>
      <w:r>
        <w:t xml:space="preserve"> 06:00 hours and 18:00 hours until the finalisation of the appeal in HCA 68/20.</w:t>
      </w:r>
    </w:p>
    <w:p w:rsidR="00C17773" w:rsidRDefault="00C17773" w:rsidP="00425F4D">
      <w:pPr>
        <w:pStyle w:val="ListParagraph"/>
        <w:numPr>
          <w:ilvl w:val="0"/>
          <w:numId w:val="3"/>
        </w:numPr>
        <w:autoSpaceDE w:val="0"/>
        <w:autoSpaceDN w:val="0"/>
        <w:adjustRightInd w:val="0"/>
        <w:spacing w:line="360" w:lineRule="auto"/>
        <w:jc w:val="both"/>
      </w:pPr>
      <w:r>
        <w:t xml:space="preserve">First applicant resides at house number 5575 </w:t>
      </w:r>
      <w:proofErr w:type="spellStart"/>
      <w:r>
        <w:t>Cowdray</w:t>
      </w:r>
      <w:proofErr w:type="spellEnd"/>
      <w:r>
        <w:t xml:space="preserve"> Park, Bulawayo until the finalisation of the appeal in HCA 68/20.</w:t>
      </w:r>
    </w:p>
    <w:p w:rsidR="00C17773" w:rsidRDefault="00C17773" w:rsidP="00425F4D">
      <w:pPr>
        <w:pStyle w:val="ListParagraph"/>
        <w:numPr>
          <w:ilvl w:val="0"/>
          <w:numId w:val="3"/>
        </w:numPr>
        <w:autoSpaceDE w:val="0"/>
        <w:autoSpaceDN w:val="0"/>
        <w:adjustRightInd w:val="0"/>
        <w:spacing w:line="360" w:lineRule="auto"/>
        <w:jc w:val="both"/>
      </w:pPr>
      <w:r>
        <w:lastRenderedPageBreak/>
        <w:t xml:space="preserve">Second applicant to reside at </w:t>
      </w:r>
      <w:r w:rsidR="00581AC7">
        <w:t>number 2269 11</w:t>
      </w:r>
      <w:r w:rsidR="00581AC7" w:rsidRPr="00581AC7">
        <w:rPr>
          <w:vertAlign w:val="superscript"/>
        </w:rPr>
        <w:t>th</w:t>
      </w:r>
      <w:r w:rsidR="00581AC7">
        <w:t xml:space="preserve"> Street Makokoba, Bulawayo until the finalisation of the appeal in HCA 68/20.</w:t>
      </w:r>
    </w:p>
    <w:p w:rsidR="007E646D" w:rsidRDefault="007E646D" w:rsidP="007E646D">
      <w:pPr>
        <w:autoSpaceDE w:val="0"/>
        <w:autoSpaceDN w:val="0"/>
        <w:adjustRightInd w:val="0"/>
        <w:spacing w:line="360" w:lineRule="auto"/>
        <w:jc w:val="both"/>
      </w:pPr>
    </w:p>
    <w:p w:rsidR="007E646D" w:rsidRDefault="007E646D" w:rsidP="007E646D">
      <w:pPr>
        <w:autoSpaceDE w:val="0"/>
        <w:autoSpaceDN w:val="0"/>
        <w:adjustRightInd w:val="0"/>
        <w:spacing w:line="360" w:lineRule="auto"/>
        <w:jc w:val="both"/>
      </w:pPr>
    </w:p>
    <w:p w:rsidR="007E646D" w:rsidRPr="00D10188" w:rsidRDefault="007E646D" w:rsidP="007E646D">
      <w:pPr>
        <w:pStyle w:val="NoSpacing"/>
        <w:jc w:val="both"/>
        <w:rPr>
          <w:szCs w:val="24"/>
        </w:rPr>
      </w:pPr>
      <w:r>
        <w:rPr>
          <w:i/>
          <w:szCs w:val="24"/>
        </w:rPr>
        <w:t>Ncube Attorneys</w:t>
      </w:r>
      <w:r w:rsidRPr="00D10188">
        <w:rPr>
          <w:szCs w:val="24"/>
        </w:rPr>
        <w:t xml:space="preserve"> applicant’s legal practitioners</w:t>
      </w:r>
    </w:p>
    <w:p w:rsidR="007E646D" w:rsidRPr="00D10188" w:rsidRDefault="007E646D" w:rsidP="007E646D">
      <w:pPr>
        <w:pStyle w:val="NoSpacing"/>
        <w:jc w:val="both"/>
        <w:rPr>
          <w:szCs w:val="24"/>
        </w:rPr>
      </w:pPr>
      <w:r w:rsidRPr="00D10188">
        <w:rPr>
          <w:i/>
          <w:szCs w:val="24"/>
        </w:rPr>
        <w:t>National Prosecuting Authority</w:t>
      </w:r>
      <w:r w:rsidRPr="00D10188">
        <w:rPr>
          <w:szCs w:val="24"/>
        </w:rPr>
        <w:t>, respondent’s legal practitioners</w:t>
      </w:r>
    </w:p>
    <w:p w:rsidR="007E646D" w:rsidRPr="002D6111" w:rsidRDefault="007E646D" w:rsidP="007E646D">
      <w:pPr>
        <w:autoSpaceDE w:val="0"/>
        <w:autoSpaceDN w:val="0"/>
        <w:adjustRightInd w:val="0"/>
        <w:spacing w:line="360" w:lineRule="auto"/>
        <w:jc w:val="both"/>
      </w:pPr>
    </w:p>
    <w:sectPr w:rsidR="007E646D" w:rsidRPr="002D611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5A4" w:rsidRDefault="00D475A4" w:rsidP="00D475A4">
      <w:r>
        <w:separator/>
      </w:r>
    </w:p>
  </w:endnote>
  <w:endnote w:type="continuationSeparator" w:id="0">
    <w:p w:rsidR="00D475A4" w:rsidRDefault="00D475A4" w:rsidP="00D4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5A4" w:rsidRDefault="00D475A4" w:rsidP="00D475A4">
      <w:r>
        <w:separator/>
      </w:r>
    </w:p>
  </w:footnote>
  <w:footnote w:type="continuationSeparator" w:id="0">
    <w:p w:rsidR="00D475A4" w:rsidRDefault="00D475A4" w:rsidP="00D47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822698"/>
      <w:docPartObj>
        <w:docPartGallery w:val="Page Numbers (Top of Page)"/>
        <w:docPartUnique/>
      </w:docPartObj>
    </w:sdtPr>
    <w:sdtEndPr>
      <w:rPr>
        <w:noProof/>
      </w:rPr>
    </w:sdtEndPr>
    <w:sdtContent>
      <w:p w:rsidR="00D475A4" w:rsidRDefault="00D475A4">
        <w:pPr>
          <w:pStyle w:val="Header"/>
          <w:jc w:val="right"/>
          <w:rPr>
            <w:noProof/>
          </w:rPr>
        </w:pPr>
        <w:r>
          <w:fldChar w:fldCharType="begin"/>
        </w:r>
        <w:r>
          <w:instrText xml:space="preserve"> PAGE   \* MERGEFORMAT </w:instrText>
        </w:r>
        <w:r>
          <w:fldChar w:fldCharType="separate"/>
        </w:r>
        <w:r w:rsidR="00975D9D">
          <w:rPr>
            <w:noProof/>
          </w:rPr>
          <w:t>5</w:t>
        </w:r>
        <w:r>
          <w:rPr>
            <w:noProof/>
          </w:rPr>
          <w:fldChar w:fldCharType="end"/>
        </w:r>
      </w:p>
      <w:p w:rsidR="00D475A4" w:rsidRDefault="00D475A4">
        <w:pPr>
          <w:pStyle w:val="Header"/>
          <w:jc w:val="right"/>
          <w:rPr>
            <w:noProof/>
          </w:rPr>
        </w:pPr>
        <w:r>
          <w:rPr>
            <w:noProof/>
          </w:rPr>
          <w:t>HB 54/21</w:t>
        </w:r>
      </w:p>
      <w:p w:rsidR="00D475A4" w:rsidRDefault="00D475A4">
        <w:pPr>
          <w:pStyle w:val="Header"/>
          <w:jc w:val="right"/>
        </w:pPr>
        <w:r>
          <w:rPr>
            <w:noProof/>
          </w:rPr>
          <w:t>HCB 366/20</w:t>
        </w:r>
      </w:p>
    </w:sdtContent>
  </w:sdt>
  <w:p w:rsidR="00D475A4" w:rsidRDefault="00D475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D2078"/>
    <w:multiLevelType w:val="hybridMultilevel"/>
    <w:tmpl w:val="B59CC412"/>
    <w:lvl w:ilvl="0" w:tplc="8BC6B9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69F51A8"/>
    <w:multiLevelType w:val="hybridMultilevel"/>
    <w:tmpl w:val="65504F0A"/>
    <w:lvl w:ilvl="0" w:tplc="97C00F6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68A53CC8"/>
    <w:multiLevelType w:val="hybridMultilevel"/>
    <w:tmpl w:val="37D410F2"/>
    <w:lvl w:ilvl="0" w:tplc="CA96904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73"/>
    <w:rsid w:val="00054398"/>
    <w:rsid w:val="00107C9C"/>
    <w:rsid w:val="0011580F"/>
    <w:rsid w:val="00167448"/>
    <w:rsid w:val="001B0DC9"/>
    <w:rsid w:val="001B42D9"/>
    <w:rsid w:val="001D4C44"/>
    <w:rsid w:val="00246E24"/>
    <w:rsid w:val="00272D64"/>
    <w:rsid w:val="002A5300"/>
    <w:rsid w:val="002C54F4"/>
    <w:rsid w:val="002D6111"/>
    <w:rsid w:val="002F4E45"/>
    <w:rsid w:val="00313FC6"/>
    <w:rsid w:val="003D5C17"/>
    <w:rsid w:val="003F6D0E"/>
    <w:rsid w:val="00425F4D"/>
    <w:rsid w:val="004429DA"/>
    <w:rsid w:val="004C6EEE"/>
    <w:rsid w:val="004F7141"/>
    <w:rsid w:val="00581AC7"/>
    <w:rsid w:val="005B4767"/>
    <w:rsid w:val="006407F6"/>
    <w:rsid w:val="00692D8C"/>
    <w:rsid w:val="006D0303"/>
    <w:rsid w:val="007117A4"/>
    <w:rsid w:val="00795C0F"/>
    <w:rsid w:val="007A718D"/>
    <w:rsid w:val="007C4F87"/>
    <w:rsid w:val="007D1363"/>
    <w:rsid w:val="007E646D"/>
    <w:rsid w:val="00805756"/>
    <w:rsid w:val="00867473"/>
    <w:rsid w:val="00893E79"/>
    <w:rsid w:val="008A69C3"/>
    <w:rsid w:val="008C7487"/>
    <w:rsid w:val="008E3AB2"/>
    <w:rsid w:val="00932287"/>
    <w:rsid w:val="00975D9D"/>
    <w:rsid w:val="009779BB"/>
    <w:rsid w:val="00981822"/>
    <w:rsid w:val="009F26B3"/>
    <w:rsid w:val="00A03B8B"/>
    <w:rsid w:val="00A0600A"/>
    <w:rsid w:val="00AC5198"/>
    <w:rsid w:val="00B06C18"/>
    <w:rsid w:val="00BE2545"/>
    <w:rsid w:val="00C06067"/>
    <w:rsid w:val="00C17773"/>
    <w:rsid w:val="00C55B79"/>
    <w:rsid w:val="00CF0A58"/>
    <w:rsid w:val="00D475A4"/>
    <w:rsid w:val="00D62EB1"/>
    <w:rsid w:val="00DB27F8"/>
    <w:rsid w:val="00DB70C7"/>
    <w:rsid w:val="00DC4542"/>
    <w:rsid w:val="00E27295"/>
    <w:rsid w:val="00E43DC0"/>
    <w:rsid w:val="00E60A42"/>
    <w:rsid w:val="00E9344C"/>
    <w:rsid w:val="00EE1C57"/>
    <w:rsid w:val="00F06C96"/>
    <w:rsid w:val="00FA4A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9E596-9050-45B9-8D1D-DA64E917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47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747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81822"/>
    <w:pPr>
      <w:ind w:left="720"/>
      <w:contextualSpacing/>
    </w:pPr>
  </w:style>
  <w:style w:type="paragraph" w:styleId="NoSpacing">
    <w:name w:val="No Spacing"/>
    <w:uiPriority w:val="1"/>
    <w:qFormat/>
    <w:rsid w:val="0011580F"/>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D475A4"/>
    <w:pPr>
      <w:tabs>
        <w:tab w:val="center" w:pos="4513"/>
        <w:tab w:val="right" w:pos="9026"/>
      </w:tabs>
    </w:pPr>
  </w:style>
  <w:style w:type="character" w:customStyle="1" w:styleId="HeaderChar">
    <w:name w:val="Header Char"/>
    <w:basedOn w:val="DefaultParagraphFont"/>
    <w:link w:val="Header"/>
    <w:uiPriority w:val="99"/>
    <w:rsid w:val="00D475A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475A4"/>
    <w:pPr>
      <w:tabs>
        <w:tab w:val="center" w:pos="4513"/>
        <w:tab w:val="right" w:pos="9026"/>
      </w:tabs>
    </w:pPr>
  </w:style>
  <w:style w:type="character" w:customStyle="1" w:styleId="FooterChar">
    <w:name w:val="Footer Char"/>
    <w:basedOn w:val="DefaultParagraphFont"/>
    <w:link w:val="Footer"/>
    <w:uiPriority w:val="99"/>
    <w:rsid w:val="00D475A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47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5A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HCB</cp:lastModifiedBy>
  <cp:revision>49</cp:revision>
  <cp:lastPrinted>2021-03-25T06:07:00Z</cp:lastPrinted>
  <dcterms:created xsi:type="dcterms:W3CDTF">2021-03-22T21:12:00Z</dcterms:created>
  <dcterms:modified xsi:type="dcterms:W3CDTF">2021-03-25T06:10:00Z</dcterms:modified>
</cp:coreProperties>
</file>